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pPr>
    </w:p>
    <w:p>
      <w:pPr>
        <w:rPr>
          <w:rFonts w:eastAsia="仿宋_GB2312"/>
          <w:sz w:val="36"/>
          <w:szCs w:val="36"/>
        </w:rPr>
      </w:pPr>
    </w:p>
    <w:p>
      <w:pPr>
        <w:rPr>
          <w:rFonts w:eastAsia="仿宋_GB2312"/>
          <w:sz w:val="36"/>
          <w:szCs w:val="36"/>
        </w:rPr>
      </w:pPr>
    </w:p>
    <w:p>
      <w:pPr>
        <w:jc w:val="center"/>
        <w:rPr>
          <w:rFonts w:eastAsia="黑体"/>
          <w:sz w:val="52"/>
          <w:szCs w:val="52"/>
        </w:rPr>
      </w:pPr>
    </w:p>
    <w:p>
      <w:pPr>
        <w:jc w:val="center"/>
        <w:rPr>
          <w:rFonts w:eastAsia="华文仿宋"/>
          <w:b/>
          <w:sz w:val="72"/>
          <w:szCs w:val="72"/>
        </w:rPr>
      </w:pPr>
      <w:r>
        <w:rPr>
          <w:rFonts w:eastAsia="华文仿宋"/>
          <w:b/>
          <w:sz w:val="72"/>
          <w:szCs w:val="72"/>
        </w:rPr>
        <w:t>建设项目环境影响报告表</w:t>
      </w:r>
    </w:p>
    <w:p>
      <w:pPr>
        <w:adjustRightInd w:val="0"/>
        <w:snapToGrid w:val="0"/>
        <w:spacing w:beforeLines="80"/>
        <w:jc w:val="center"/>
        <w:rPr>
          <w:rFonts w:eastAsia="楷体_GB2312"/>
          <w:bCs/>
          <w:sz w:val="48"/>
          <w:szCs w:val="48"/>
        </w:rPr>
      </w:pPr>
      <w:r>
        <w:rPr>
          <w:rFonts w:eastAsia="楷体_GB2312"/>
          <w:bCs/>
          <w:sz w:val="48"/>
          <w:szCs w:val="48"/>
        </w:rPr>
        <w:t>（污染影响类）</w:t>
      </w:r>
    </w:p>
    <w:p>
      <w:pPr>
        <w:pStyle w:val="2"/>
      </w:pPr>
    </w:p>
    <w:p>
      <w:pPr>
        <w:pStyle w:val="3"/>
      </w:pPr>
    </w:p>
    <w:p/>
    <w:p>
      <w:pPr>
        <w:pStyle w:val="2"/>
      </w:pPr>
    </w:p>
    <w:p>
      <w:pPr>
        <w:pStyle w:val="3"/>
      </w:pPr>
    </w:p>
    <w:p/>
    <w:p>
      <w:pPr>
        <w:pStyle w:val="2"/>
      </w:pPr>
    </w:p>
    <w:p>
      <w:pPr>
        <w:pStyle w:val="3"/>
      </w:pPr>
    </w:p>
    <w:p>
      <w:pPr>
        <w:pStyle w:val="3"/>
      </w:pPr>
    </w:p>
    <w:p/>
    <w:p>
      <w:pPr>
        <w:pStyle w:val="2"/>
      </w:pPr>
    </w:p>
    <w:p>
      <w:pPr>
        <w:pStyle w:val="3"/>
      </w:pPr>
    </w:p>
    <w:p/>
    <w:p>
      <w:pPr>
        <w:pStyle w:val="2"/>
      </w:pPr>
    </w:p>
    <w:p/>
    <w:p>
      <w:pPr>
        <w:pStyle w:val="2"/>
      </w:pPr>
    </w:p>
    <w:p>
      <w:pPr>
        <w:pStyle w:val="3"/>
      </w:pPr>
    </w:p>
    <w:p>
      <w:pPr>
        <w:pStyle w:val="3"/>
      </w:pPr>
    </w:p>
    <w:tbl>
      <w:tblPr>
        <w:tblStyle w:val="34"/>
        <w:tblW w:w="0" w:type="auto"/>
        <w:tblInd w:w="0" w:type="dxa"/>
        <w:tblLayout w:type="autofit"/>
        <w:tblCellMar>
          <w:top w:w="0" w:type="dxa"/>
          <w:left w:w="108" w:type="dxa"/>
          <w:bottom w:w="0" w:type="dxa"/>
          <w:right w:w="108" w:type="dxa"/>
        </w:tblCellMar>
      </w:tblPr>
      <w:tblGrid>
        <w:gridCol w:w="2775"/>
        <w:gridCol w:w="6399"/>
      </w:tblGrid>
      <w:tr>
        <w:tc>
          <w:tcPr>
            <w:tcW w:w="2775" w:type="dxa"/>
          </w:tcPr>
          <w:p>
            <w:pPr>
              <w:spacing w:line="360" w:lineRule="auto"/>
              <w:rPr>
                <w:rFonts w:eastAsia="仿宋"/>
                <w:spacing w:val="26"/>
                <w:sz w:val="44"/>
                <w:szCs w:val="44"/>
              </w:rPr>
            </w:pPr>
            <w:r>
              <w:rPr>
                <w:rFonts w:eastAsia="仿宋"/>
                <w:spacing w:val="26"/>
                <w:sz w:val="36"/>
                <w:szCs w:val="36"/>
              </w:rPr>
              <w:t>项 目 名 称：</w:t>
            </w:r>
          </w:p>
        </w:tc>
        <w:tc>
          <w:tcPr>
            <w:tcW w:w="6399" w:type="dxa"/>
          </w:tcPr>
          <w:p>
            <w:pPr>
              <w:spacing w:line="360" w:lineRule="auto"/>
              <w:rPr>
                <w:rFonts w:eastAsia="仿宋"/>
                <w:sz w:val="36"/>
                <w:szCs w:val="36"/>
              </w:rPr>
            </w:pPr>
            <w:r>
              <w:rPr>
                <w:rFonts w:eastAsia="仿宋"/>
                <w:sz w:val="36"/>
                <w:szCs w:val="36"/>
                <w:u w:val="single"/>
              </w:rPr>
              <w:t xml:space="preserve">光电倍增管生产线改造项目            </w:t>
            </w:r>
          </w:p>
        </w:tc>
      </w:tr>
      <w:tr>
        <w:tblPrEx>
          <w:tblCellMar>
            <w:top w:w="0" w:type="dxa"/>
            <w:left w:w="108" w:type="dxa"/>
            <w:bottom w:w="0" w:type="dxa"/>
            <w:right w:w="108" w:type="dxa"/>
          </w:tblCellMar>
        </w:tblPrEx>
        <w:tc>
          <w:tcPr>
            <w:tcW w:w="2775" w:type="dxa"/>
          </w:tcPr>
          <w:p>
            <w:pPr>
              <w:spacing w:line="360" w:lineRule="auto"/>
              <w:rPr>
                <w:rFonts w:eastAsia="仿宋"/>
                <w:sz w:val="44"/>
                <w:szCs w:val="44"/>
              </w:rPr>
            </w:pPr>
            <w:r>
              <w:rPr>
                <w:rFonts w:eastAsia="仿宋"/>
                <w:spacing w:val="-11"/>
                <w:sz w:val="36"/>
                <w:szCs w:val="36"/>
              </w:rPr>
              <w:t>建设单位(盖章)：</w:t>
            </w:r>
          </w:p>
        </w:tc>
        <w:tc>
          <w:tcPr>
            <w:tcW w:w="6399" w:type="dxa"/>
          </w:tcPr>
          <w:p>
            <w:pPr>
              <w:spacing w:line="360" w:lineRule="auto"/>
              <w:rPr>
                <w:rFonts w:eastAsia="仿宋"/>
                <w:sz w:val="36"/>
                <w:szCs w:val="36"/>
              </w:rPr>
            </w:pPr>
            <w:r>
              <w:rPr>
                <w:rFonts w:eastAsia="仿宋"/>
                <w:sz w:val="36"/>
                <w:szCs w:val="36"/>
                <w:u w:val="single"/>
              </w:rPr>
              <w:t xml:space="preserve">北方夜视技术股份有限公司          </w:t>
            </w:r>
          </w:p>
        </w:tc>
      </w:tr>
      <w:tr>
        <w:tblPrEx>
          <w:tblCellMar>
            <w:top w:w="0" w:type="dxa"/>
            <w:left w:w="108" w:type="dxa"/>
            <w:bottom w:w="0" w:type="dxa"/>
            <w:right w:w="108" w:type="dxa"/>
          </w:tblCellMar>
        </w:tblPrEx>
        <w:tc>
          <w:tcPr>
            <w:tcW w:w="2775" w:type="dxa"/>
          </w:tcPr>
          <w:p>
            <w:pPr>
              <w:spacing w:line="360" w:lineRule="auto"/>
              <w:rPr>
                <w:rFonts w:eastAsia="仿宋"/>
                <w:spacing w:val="26"/>
                <w:sz w:val="44"/>
                <w:szCs w:val="44"/>
              </w:rPr>
            </w:pPr>
            <w:r>
              <w:rPr>
                <w:rFonts w:eastAsia="仿宋"/>
                <w:spacing w:val="26"/>
                <w:sz w:val="36"/>
                <w:szCs w:val="36"/>
              </w:rPr>
              <w:t>编 制 日 期：</w:t>
            </w:r>
          </w:p>
        </w:tc>
        <w:tc>
          <w:tcPr>
            <w:tcW w:w="6399" w:type="dxa"/>
          </w:tcPr>
          <w:p>
            <w:pPr>
              <w:spacing w:line="360" w:lineRule="auto"/>
              <w:rPr>
                <w:rFonts w:eastAsia="仿宋"/>
                <w:sz w:val="36"/>
                <w:szCs w:val="36"/>
              </w:rPr>
            </w:pPr>
            <w:r>
              <w:rPr>
                <w:rFonts w:eastAsia="仿宋"/>
                <w:sz w:val="36"/>
                <w:szCs w:val="36"/>
                <w:u w:val="single"/>
              </w:rPr>
              <w:t>2022年</w:t>
            </w:r>
            <w:r>
              <w:rPr>
                <w:rFonts w:hint="eastAsia" w:eastAsia="仿宋"/>
                <w:sz w:val="36"/>
                <w:szCs w:val="36"/>
                <w:u w:val="single"/>
                <w:lang w:val="en-US" w:eastAsia="zh-CN"/>
              </w:rPr>
              <w:t>10</w:t>
            </w:r>
            <w:r>
              <w:rPr>
                <w:rFonts w:eastAsia="仿宋"/>
                <w:sz w:val="36"/>
                <w:szCs w:val="36"/>
                <w:u w:val="single"/>
              </w:rPr>
              <w:t xml:space="preserve">月                         </w:t>
            </w:r>
          </w:p>
        </w:tc>
      </w:tr>
    </w:tbl>
    <w:p>
      <w:pPr>
        <w:adjustRightInd w:val="0"/>
        <w:snapToGrid w:val="0"/>
        <w:spacing w:line="288" w:lineRule="auto"/>
        <w:jc w:val="center"/>
        <w:rPr>
          <w:rFonts w:eastAsia="仿宋"/>
          <w:sz w:val="44"/>
          <w:szCs w:val="44"/>
        </w:rPr>
      </w:pPr>
    </w:p>
    <w:p>
      <w:pPr>
        <w:pStyle w:val="3"/>
        <w:jc w:val="both"/>
      </w:pPr>
    </w:p>
    <w:p>
      <w:pPr>
        <w:pStyle w:val="2"/>
      </w:pPr>
    </w:p>
    <w:p>
      <w:pPr>
        <w:pStyle w:val="2"/>
      </w:pPr>
    </w:p>
    <w:p>
      <w:pPr>
        <w:adjustRightInd w:val="0"/>
        <w:snapToGrid w:val="0"/>
        <w:spacing w:line="288" w:lineRule="auto"/>
        <w:jc w:val="center"/>
        <w:rPr>
          <w:rFonts w:eastAsia="楷体_GB2312"/>
          <w:sz w:val="36"/>
          <w:szCs w:val="36"/>
        </w:rPr>
        <w:sectPr>
          <w:footerReference r:id="rId3" w:type="default"/>
          <w:footerReference r:id="rId4" w:type="even"/>
          <w:type w:val="continuous"/>
          <w:pgSz w:w="11906" w:h="16838"/>
          <w:pgMar w:top="1474" w:right="1474" w:bottom="1474" w:left="1474" w:header="851" w:footer="1077" w:gutter="0"/>
          <w:pgNumType w:fmt="numberInDash" w:start="3"/>
          <w:cols w:space="720" w:num="1"/>
          <w:docGrid w:linePitch="312" w:charSpace="0"/>
        </w:sectPr>
      </w:pPr>
      <w:r>
        <w:rPr>
          <w:rFonts w:eastAsia="楷体_GB2312"/>
          <w:sz w:val="36"/>
          <w:szCs w:val="36"/>
        </w:rPr>
        <w:t>中华人民共和国生态环境部制</w:t>
      </w:r>
    </w:p>
    <w:p>
      <w:pPr>
        <w:pStyle w:val="2"/>
        <w:jc w:val="center"/>
        <w:rPr>
          <w:b/>
          <w:sz w:val="48"/>
          <w:szCs w:val="48"/>
        </w:rPr>
        <w:sectPr>
          <w:pgSz w:w="11906" w:h="16838"/>
          <w:pgMar w:top="1474" w:right="1474" w:bottom="1474" w:left="1474" w:header="851" w:footer="1077" w:gutter="0"/>
          <w:pgNumType w:fmt="numberInDash" w:start="3"/>
          <w:cols w:space="720" w:num="1"/>
          <w:docGrid w:linePitch="312" w:charSpace="0"/>
        </w:sectPr>
      </w:pPr>
    </w:p>
    <w:p>
      <w:pPr>
        <w:pStyle w:val="2"/>
        <w:jc w:val="center"/>
        <w:rPr>
          <w:b/>
          <w:sz w:val="48"/>
          <w:szCs w:val="48"/>
        </w:rPr>
      </w:pPr>
      <w:r>
        <w:rPr>
          <w:b/>
          <w:sz w:val="48"/>
          <w:szCs w:val="48"/>
        </w:rPr>
        <w:t>目  录</w:t>
      </w:r>
    </w:p>
    <w:p>
      <w:pPr>
        <w:pStyle w:val="3"/>
        <w:rPr>
          <w:b/>
          <w:sz w:val="48"/>
          <w:szCs w:val="48"/>
        </w:rPr>
      </w:pPr>
    </w:p>
    <w:p>
      <w:pPr>
        <w:pStyle w:val="24"/>
        <w:tabs>
          <w:tab w:val="right" w:leader="dot" w:pos="8948"/>
        </w:tabs>
        <w:rPr>
          <w:rFonts w:ascii="Times New Roman" w:hAnsi="Times New Roman"/>
          <w:b w:val="0"/>
          <w:bCs w:val="0"/>
          <w:caps w:val="0"/>
          <w:sz w:val="24"/>
          <w:szCs w:val="24"/>
        </w:rPr>
      </w:pPr>
      <w:r>
        <w:rPr>
          <w:rFonts w:ascii="Times New Roman" w:hAnsi="Times New Roman" w:eastAsia="楷体_GB2312"/>
          <w:sz w:val="36"/>
          <w:szCs w:val="36"/>
        </w:rPr>
        <w:fldChar w:fldCharType="begin"/>
      </w:r>
      <w:r>
        <w:rPr>
          <w:rFonts w:ascii="Times New Roman" w:hAnsi="Times New Roman" w:eastAsia="楷体_GB2312"/>
          <w:sz w:val="36"/>
          <w:szCs w:val="36"/>
        </w:rPr>
        <w:instrText xml:space="preserve"> TOC \o "1-3" \h \z \u </w:instrText>
      </w:r>
      <w:r>
        <w:rPr>
          <w:rFonts w:ascii="Times New Roman" w:hAnsi="Times New Roman" w:eastAsia="楷体_GB2312"/>
          <w:sz w:val="36"/>
          <w:szCs w:val="36"/>
        </w:rPr>
        <w:fldChar w:fldCharType="separate"/>
      </w:r>
      <w:r>
        <w:fldChar w:fldCharType="begin"/>
      </w:r>
      <w:r>
        <w:instrText xml:space="preserve"> HYPERLINK \l "_Toc88945579" </w:instrText>
      </w:r>
      <w:r>
        <w:fldChar w:fldCharType="separate"/>
      </w:r>
      <w:r>
        <w:rPr>
          <w:rStyle w:val="42"/>
          <w:b w:val="0"/>
          <w:snapToGrid w:val="0"/>
          <w:color w:val="auto"/>
          <w:sz w:val="24"/>
          <w:szCs w:val="24"/>
        </w:rPr>
        <w:t>一、建设项目基本情况</w:t>
      </w:r>
      <w:r>
        <w:rPr>
          <w:rFonts w:ascii="Times New Roman" w:hAnsi="Times New Roman"/>
          <w:b w:val="0"/>
          <w:sz w:val="24"/>
          <w:szCs w:val="24"/>
        </w:rPr>
        <w:tab/>
      </w:r>
      <w:r>
        <w:rPr>
          <w:rFonts w:ascii="Times New Roman" w:hAnsi="Times New Roman"/>
          <w:b w:val="0"/>
          <w:sz w:val="24"/>
          <w:szCs w:val="24"/>
        </w:rPr>
        <w:fldChar w:fldCharType="begin"/>
      </w:r>
      <w:r>
        <w:rPr>
          <w:rFonts w:ascii="Times New Roman" w:hAnsi="Times New Roman"/>
          <w:b w:val="0"/>
          <w:sz w:val="24"/>
          <w:szCs w:val="24"/>
        </w:rPr>
        <w:instrText xml:space="preserve"> PAGEREF _Toc88945579 \h </w:instrText>
      </w:r>
      <w:r>
        <w:rPr>
          <w:rFonts w:ascii="Times New Roman" w:hAnsi="Times New Roman"/>
          <w:b w:val="0"/>
          <w:sz w:val="24"/>
          <w:szCs w:val="24"/>
        </w:rPr>
        <w:fldChar w:fldCharType="separate"/>
      </w:r>
      <w:r>
        <w:rPr>
          <w:rFonts w:ascii="Times New Roman" w:hAnsi="Times New Roman"/>
          <w:b w:val="0"/>
          <w:sz w:val="24"/>
          <w:szCs w:val="24"/>
        </w:rPr>
        <w:t>1</w:t>
      </w:r>
      <w:r>
        <w:rPr>
          <w:rFonts w:ascii="Times New Roman" w:hAnsi="Times New Roman"/>
          <w:b w:val="0"/>
          <w:sz w:val="24"/>
          <w:szCs w:val="24"/>
        </w:rPr>
        <w:fldChar w:fldCharType="end"/>
      </w:r>
      <w:r>
        <w:rPr>
          <w:rFonts w:ascii="Times New Roman" w:hAnsi="Times New Roman"/>
          <w:b w:val="0"/>
          <w:sz w:val="24"/>
          <w:szCs w:val="24"/>
        </w:rPr>
        <w:fldChar w:fldCharType="end"/>
      </w:r>
    </w:p>
    <w:p>
      <w:pPr>
        <w:pStyle w:val="24"/>
        <w:tabs>
          <w:tab w:val="right" w:leader="dot" w:pos="8948"/>
        </w:tabs>
        <w:rPr>
          <w:rFonts w:ascii="Times New Roman" w:hAnsi="Times New Roman"/>
          <w:b w:val="0"/>
          <w:bCs w:val="0"/>
          <w:caps w:val="0"/>
          <w:sz w:val="24"/>
          <w:szCs w:val="24"/>
        </w:rPr>
      </w:pPr>
      <w:r>
        <w:fldChar w:fldCharType="begin"/>
      </w:r>
      <w:r>
        <w:instrText xml:space="preserve"> HYPERLINK \l "_Toc88945580" </w:instrText>
      </w:r>
      <w:r>
        <w:fldChar w:fldCharType="separate"/>
      </w:r>
      <w:r>
        <w:rPr>
          <w:rStyle w:val="42"/>
          <w:b w:val="0"/>
          <w:snapToGrid w:val="0"/>
          <w:color w:val="auto"/>
          <w:sz w:val="24"/>
          <w:szCs w:val="24"/>
        </w:rPr>
        <w:t>二、建设项目工程分析</w:t>
      </w:r>
      <w:r>
        <w:rPr>
          <w:rFonts w:ascii="Times New Roman" w:hAnsi="Times New Roman"/>
          <w:b w:val="0"/>
          <w:sz w:val="24"/>
          <w:szCs w:val="24"/>
        </w:rPr>
        <w:tab/>
      </w:r>
      <w:r>
        <w:rPr>
          <w:rFonts w:ascii="Times New Roman" w:hAnsi="Times New Roman"/>
          <w:b w:val="0"/>
          <w:sz w:val="24"/>
          <w:szCs w:val="24"/>
        </w:rPr>
        <w:fldChar w:fldCharType="begin"/>
      </w:r>
      <w:r>
        <w:rPr>
          <w:rFonts w:ascii="Times New Roman" w:hAnsi="Times New Roman"/>
          <w:b w:val="0"/>
          <w:sz w:val="24"/>
          <w:szCs w:val="24"/>
        </w:rPr>
        <w:instrText xml:space="preserve"> PAGEREF _Toc88945580 \h </w:instrText>
      </w:r>
      <w:r>
        <w:rPr>
          <w:rFonts w:ascii="Times New Roman" w:hAnsi="Times New Roman"/>
          <w:b w:val="0"/>
          <w:sz w:val="24"/>
          <w:szCs w:val="24"/>
        </w:rPr>
        <w:fldChar w:fldCharType="separate"/>
      </w:r>
      <w:r>
        <w:rPr>
          <w:rFonts w:ascii="Times New Roman" w:hAnsi="Times New Roman"/>
          <w:b w:val="0"/>
          <w:sz w:val="24"/>
          <w:szCs w:val="24"/>
        </w:rPr>
        <w:t>- 23 -</w:t>
      </w:r>
      <w:r>
        <w:rPr>
          <w:rFonts w:ascii="Times New Roman" w:hAnsi="Times New Roman"/>
          <w:b w:val="0"/>
          <w:sz w:val="24"/>
          <w:szCs w:val="24"/>
        </w:rPr>
        <w:fldChar w:fldCharType="end"/>
      </w:r>
      <w:r>
        <w:rPr>
          <w:rFonts w:ascii="Times New Roman" w:hAnsi="Times New Roman"/>
          <w:b w:val="0"/>
          <w:sz w:val="24"/>
          <w:szCs w:val="24"/>
        </w:rPr>
        <w:fldChar w:fldCharType="end"/>
      </w:r>
    </w:p>
    <w:p>
      <w:pPr>
        <w:pStyle w:val="24"/>
        <w:tabs>
          <w:tab w:val="right" w:leader="dot" w:pos="8948"/>
        </w:tabs>
        <w:rPr>
          <w:rFonts w:ascii="Times New Roman" w:hAnsi="Times New Roman"/>
          <w:b w:val="0"/>
          <w:bCs w:val="0"/>
          <w:caps w:val="0"/>
          <w:sz w:val="24"/>
          <w:szCs w:val="24"/>
        </w:rPr>
      </w:pPr>
      <w:r>
        <w:fldChar w:fldCharType="begin"/>
      </w:r>
      <w:r>
        <w:instrText xml:space="preserve"> HYPERLINK \l "_Toc88945581" </w:instrText>
      </w:r>
      <w:r>
        <w:fldChar w:fldCharType="separate"/>
      </w:r>
      <w:r>
        <w:rPr>
          <w:rStyle w:val="42"/>
          <w:b w:val="0"/>
          <w:snapToGrid w:val="0"/>
          <w:color w:val="auto"/>
          <w:sz w:val="24"/>
          <w:szCs w:val="24"/>
        </w:rPr>
        <w:t>三、区域环境质量现状、环境保护目标及评价标准</w:t>
      </w:r>
      <w:r>
        <w:rPr>
          <w:rFonts w:ascii="Times New Roman" w:hAnsi="Times New Roman"/>
          <w:b w:val="0"/>
          <w:sz w:val="24"/>
          <w:szCs w:val="24"/>
        </w:rPr>
        <w:tab/>
      </w:r>
      <w:r>
        <w:rPr>
          <w:rFonts w:ascii="Times New Roman" w:hAnsi="Times New Roman"/>
          <w:b w:val="0"/>
          <w:sz w:val="24"/>
          <w:szCs w:val="24"/>
        </w:rPr>
        <w:fldChar w:fldCharType="begin"/>
      </w:r>
      <w:r>
        <w:rPr>
          <w:rFonts w:ascii="Times New Roman" w:hAnsi="Times New Roman"/>
          <w:b w:val="0"/>
          <w:sz w:val="24"/>
          <w:szCs w:val="24"/>
        </w:rPr>
        <w:instrText xml:space="preserve"> PAGEREF _Toc88945581 \h </w:instrText>
      </w:r>
      <w:r>
        <w:rPr>
          <w:rFonts w:ascii="Times New Roman" w:hAnsi="Times New Roman"/>
          <w:b w:val="0"/>
          <w:sz w:val="24"/>
          <w:szCs w:val="24"/>
        </w:rPr>
        <w:fldChar w:fldCharType="separate"/>
      </w:r>
      <w:r>
        <w:rPr>
          <w:rFonts w:ascii="Times New Roman" w:hAnsi="Times New Roman"/>
          <w:b w:val="0"/>
          <w:sz w:val="24"/>
          <w:szCs w:val="24"/>
        </w:rPr>
        <w:t>- 52 -</w:t>
      </w:r>
      <w:r>
        <w:rPr>
          <w:rFonts w:ascii="Times New Roman" w:hAnsi="Times New Roman"/>
          <w:b w:val="0"/>
          <w:sz w:val="24"/>
          <w:szCs w:val="24"/>
        </w:rPr>
        <w:fldChar w:fldCharType="end"/>
      </w:r>
      <w:r>
        <w:rPr>
          <w:rFonts w:ascii="Times New Roman" w:hAnsi="Times New Roman"/>
          <w:b w:val="0"/>
          <w:sz w:val="24"/>
          <w:szCs w:val="24"/>
        </w:rPr>
        <w:fldChar w:fldCharType="end"/>
      </w:r>
    </w:p>
    <w:p>
      <w:pPr>
        <w:pStyle w:val="24"/>
        <w:tabs>
          <w:tab w:val="right" w:leader="dot" w:pos="8948"/>
        </w:tabs>
        <w:rPr>
          <w:rFonts w:ascii="Times New Roman" w:hAnsi="Times New Roman"/>
          <w:b w:val="0"/>
          <w:bCs w:val="0"/>
          <w:caps w:val="0"/>
          <w:sz w:val="24"/>
          <w:szCs w:val="24"/>
        </w:rPr>
      </w:pPr>
      <w:r>
        <w:fldChar w:fldCharType="begin"/>
      </w:r>
      <w:r>
        <w:instrText xml:space="preserve"> HYPERLINK \l "_Toc88945582" </w:instrText>
      </w:r>
      <w:r>
        <w:fldChar w:fldCharType="separate"/>
      </w:r>
      <w:r>
        <w:rPr>
          <w:rStyle w:val="42"/>
          <w:b w:val="0"/>
          <w:snapToGrid w:val="0"/>
          <w:color w:val="auto"/>
          <w:sz w:val="24"/>
          <w:szCs w:val="24"/>
        </w:rPr>
        <w:t>四、主要环境影响和保护措施</w:t>
      </w:r>
      <w:r>
        <w:rPr>
          <w:rFonts w:ascii="Times New Roman" w:hAnsi="Times New Roman"/>
          <w:b w:val="0"/>
          <w:sz w:val="24"/>
          <w:szCs w:val="24"/>
        </w:rPr>
        <w:tab/>
      </w:r>
      <w:r>
        <w:rPr>
          <w:rFonts w:ascii="Times New Roman" w:hAnsi="Times New Roman"/>
          <w:b w:val="0"/>
          <w:sz w:val="24"/>
          <w:szCs w:val="24"/>
        </w:rPr>
        <w:fldChar w:fldCharType="begin"/>
      </w:r>
      <w:r>
        <w:rPr>
          <w:rFonts w:ascii="Times New Roman" w:hAnsi="Times New Roman"/>
          <w:b w:val="0"/>
          <w:sz w:val="24"/>
          <w:szCs w:val="24"/>
        </w:rPr>
        <w:instrText xml:space="preserve"> PAGEREF _Toc88945582 \h </w:instrText>
      </w:r>
      <w:r>
        <w:rPr>
          <w:rFonts w:ascii="Times New Roman" w:hAnsi="Times New Roman"/>
          <w:b w:val="0"/>
          <w:sz w:val="24"/>
          <w:szCs w:val="24"/>
        </w:rPr>
        <w:fldChar w:fldCharType="separate"/>
      </w:r>
      <w:r>
        <w:rPr>
          <w:rFonts w:ascii="Times New Roman" w:hAnsi="Times New Roman"/>
          <w:b w:val="0"/>
          <w:sz w:val="24"/>
          <w:szCs w:val="24"/>
        </w:rPr>
        <w:t>- 62 -</w:t>
      </w:r>
      <w:r>
        <w:rPr>
          <w:rFonts w:ascii="Times New Roman" w:hAnsi="Times New Roman"/>
          <w:b w:val="0"/>
          <w:sz w:val="24"/>
          <w:szCs w:val="24"/>
        </w:rPr>
        <w:fldChar w:fldCharType="end"/>
      </w:r>
      <w:r>
        <w:rPr>
          <w:rFonts w:ascii="Times New Roman" w:hAnsi="Times New Roman"/>
          <w:b w:val="0"/>
          <w:sz w:val="24"/>
          <w:szCs w:val="24"/>
        </w:rPr>
        <w:fldChar w:fldCharType="end"/>
      </w:r>
    </w:p>
    <w:p>
      <w:pPr>
        <w:pStyle w:val="24"/>
        <w:tabs>
          <w:tab w:val="right" w:leader="dot" w:pos="8948"/>
        </w:tabs>
        <w:rPr>
          <w:rFonts w:ascii="Times New Roman" w:hAnsi="Times New Roman"/>
          <w:b w:val="0"/>
          <w:bCs w:val="0"/>
          <w:caps w:val="0"/>
          <w:sz w:val="24"/>
          <w:szCs w:val="24"/>
        </w:rPr>
      </w:pPr>
      <w:r>
        <w:fldChar w:fldCharType="begin"/>
      </w:r>
      <w:r>
        <w:instrText xml:space="preserve"> HYPERLINK \l "_Toc88945583" </w:instrText>
      </w:r>
      <w:r>
        <w:fldChar w:fldCharType="separate"/>
      </w:r>
      <w:r>
        <w:rPr>
          <w:rStyle w:val="42"/>
          <w:b w:val="0"/>
          <w:snapToGrid w:val="0"/>
          <w:color w:val="auto"/>
          <w:sz w:val="24"/>
          <w:szCs w:val="24"/>
        </w:rPr>
        <w:t>五、环境保护措施监督检查清单</w:t>
      </w:r>
      <w:r>
        <w:rPr>
          <w:rFonts w:ascii="Times New Roman" w:hAnsi="Times New Roman"/>
          <w:b w:val="0"/>
          <w:sz w:val="24"/>
          <w:szCs w:val="24"/>
        </w:rPr>
        <w:tab/>
      </w:r>
      <w:r>
        <w:rPr>
          <w:rFonts w:ascii="Times New Roman" w:hAnsi="Times New Roman"/>
          <w:b w:val="0"/>
          <w:sz w:val="24"/>
          <w:szCs w:val="24"/>
        </w:rPr>
        <w:fldChar w:fldCharType="begin"/>
      </w:r>
      <w:r>
        <w:rPr>
          <w:rFonts w:ascii="Times New Roman" w:hAnsi="Times New Roman"/>
          <w:b w:val="0"/>
          <w:sz w:val="24"/>
          <w:szCs w:val="24"/>
        </w:rPr>
        <w:instrText xml:space="preserve"> PAGEREF _Toc88945583 \h </w:instrText>
      </w:r>
      <w:r>
        <w:rPr>
          <w:rFonts w:ascii="Times New Roman" w:hAnsi="Times New Roman"/>
          <w:b w:val="0"/>
          <w:sz w:val="24"/>
          <w:szCs w:val="24"/>
        </w:rPr>
        <w:fldChar w:fldCharType="separate"/>
      </w:r>
      <w:r>
        <w:rPr>
          <w:rFonts w:ascii="Times New Roman" w:hAnsi="Times New Roman"/>
          <w:b w:val="0"/>
          <w:sz w:val="24"/>
          <w:szCs w:val="24"/>
        </w:rPr>
        <w:t>- 100 -</w:t>
      </w:r>
      <w:r>
        <w:rPr>
          <w:rFonts w:ascii="Times New Roman" w:hAnsi="Times New Roman"/>
          <w:b w:val="0"/>
          <w:sz w:val="24"/>
          <w:szCs w:val="24"/>
        </w:rPr>
        <w:fldChar w:fldCharType="end"/>
      </w:r>
      <w:r>
        <w:rPr>
          <w:rFonts w:ascii="Times New Roman" w:hAnsi="Times New Roman"/>
          <w:b w:val="0"/>
          <w:sz w:val="24"/>
          <w:szCs w:val="24"/>
        </w:rPr>
        <w:fldChar w:fldCharType="end"/>
      </w:r>
    </w:p>
    <w:p>
      <w:pPr>
        <w:pStyle w:val="24"/>
        <w:tabs>
          <w:tab w:val="right" w:leader="dot" w:pos="8948"/>
        </w:tabs>
        <w:rPr>
          <w:rFonts w:ascii="Times New Roman" w:hAnsi="Times New Roman"/>
          <w:b w:val="0"/>
          <w:bCs w:val="0"/>
          <w:caps w:val="0"/>
          <w:sz w:val="24"/>
          <w:szCs w:val="24"/>
        </w:rPr>
      </w:pPr>
      <w:r>
        <w:fldChar w:fldCharType="begin"/>
      </w:r>
      <w:r>
        <w:instrText xml:space="preserve"> HYPERLINK \l "_Toc88945584" </w:instrText>
      </w:r>
      <w:r>
        <w:fldChar w:fldCharType="separate"/>
      </w:r>
      <w:r>
        <w:rPr>
          <w:rStyle w:val="42"/>
          <w:b w:val="0"/>
          <w:snapToGrid w:val="0"/>
          <w:color w:val="auto"/>
          <w:sz w:val="24"/>
          <w:szCs w:val="24"/>
        </w:rPr>
        <w:t>六、结论</w:t>
      </w:r>
      <w:r>
        <w:rPr>
          <w:rFonts w:ascii="Times New Roman" w:hAnsi="Times New Roman"/>
          <w:b w:val="0"/>
          <w:sz w:val="24"/>
          <w:szCs w:val="24"/>
        </w:rPr>
        <w:tab/>
      </w:r>
      <w:r>
        <w:rPr>
          <w:rFonts w:ascii="Times New Roman" w:hAnsi="Times New Roman"/>
          <w:b w:val="0"/>
          <w:sz w:val="24"/>
          <w:szCs w:val="24"/>
        </w:rPr>
        <w:fldChar w:fldCharType="begin"/>
      </w:r>
      <w:r>
        <w:rPr>
          <w:rFonts w:ascii="Times New Roman" w:hAnsi="Times New Roman"/>
          <w:b w:val="0"/>
          <w:sz w:val="24"/>
          <w:szCs w:val="24"/>
        </w:rPr>
        <w:instrText xml:space="preserve"> PAGEREF _Toc88945584 \h </w:instrText>
      </w:r>
      <w:r>
        <w:rPr>
          <w:rFonts w:ascii="Times New Roman" w:hAnsi="Times New Roman"/>
          <w:b w:val="0"/>
          <w:sz w:val="24"/>
          <w:szCs w:val="24"/>
        </w:rPr>
        <w:fldChar w:fldCharType="separate"/>
      </w:r>
      <w:r>
        <w:rPr>
          <w:rFonts w:ascii="Times New Roman" w:hAnsi="Times New Roman"/>
          <w:b w:val="0"/>
          <w:sz w:val="24"/>
          <w:szCs w:val="24"/>
        </w:rPr>
        <w:t>- 106 -</w:t>
      </w:r>
      <w:r>
        <w:rPr>
          <w:rFonts w:ascii="Times New Roman" w:hAnsi="Times New Roman"/>
          <w:b w:val="0"/>
          <w:sz w:val="24"/>
          <w:szCs w:val="24"/>
        </w:rPr>
        <w:fldChar w:fldCharType="end"/>
      </w:r>
      <w:r>
        <w:rPr>
          <w:rFonts w:ascii="Times New Roman" w:hAnsi="Times New Roman"/>
          <w:b w:val="0"/>
          <w:sz w:val="24"/>
          <w:szCs w:val="24"/>
        </w:rPr>
        <w:fldChar w:fldCharType="end"/>
      </w:r>
    </w:p>
    <w:p>
      <w:pPr>
        <w:pStyle w:val="24"/>
        <w:tabs>
          <w:tab w:val="right" w:leader="dot" w:pos="8948"/>
        </w:tabs>
        <w:rPr>
          <w:rFonts w:ascii="Times New Roman" w:hAnsi="Times New Roman"/>
          <w:b w:val="0"/>
          <w:bCs w:val="0"/>
          <w:caps w:val="0"/>
          <w:sz w:val="21"/>
          <w:szCs w:val="22"/>
        </w:rPr>
      </w:pPr>
      <w:r>
        <w:fldChar w:fldCharType="begin"/>
      </w:r>
      <w:r>
        <w:instrText xml:space="preserve"> HYPERLINK \l "_Toc88945585" </w:instrText>
      </w:r>
      <w:r>
        <w:fldChar w:fldCharType="separate"/>
      </w:r>
      <w:r>
        <w:rPr>
          <w:rStyle w:val="42"/>
          <w:b w:val="0"/>
          <w:snapToGrid w:val="0"/>
          <w:color w:val="auto"/>
          <w:sz w:val="24"/>
          <w:szCs w:val="24"/>
        </w:rPr>
        <w:t>附表</w:t>
      </w:r>
      <w:r>
        <w:rPr>
          <w:rFonts w:ascii="Times New Roman" w:hAnsi="Times New Roman"/>
          <w:b w:val="0"/>
          <w:sz w:val="24"/>
          <w:szCs w:val="24"/>
        </w:rPr>
        <w:tab/>
      </w:r>
      <w:r>
        <w:rPr>
          <w:rFonts w:ascii="Times New Roman" w:hAnsi="Times New Roman"/>
          <w:b w:val="0"/>
          <w:sz w:val="24"/>
          <w:szCs w:val="24"/>
        </w:rPr>
        <w:fldChar w:fldCharType="begin"/>
      </w:r>
      <w:r>
        <w:rPr>
          <w:rFonts w:ascii="Times New Roman" w:hAnsi="Times New Roman"/>
          <w:b w:val="0"/>
          <w:sz w:val="24"/>
          <w:szCs w:val="24"/>
        </w:rPr>
        <w:instrText xml:space="preserve"> PAGEREF _Toc88945585 \h </w:instrText>
      </w:r>
      <w:r>
        <w:rPr>
          <w:rFonts w:ascii="Times New Roman" w:hAnsi="Times New Roman"/>
          <w:b w:val="0"/>
          <w:sz w:val="24"/>
          <w:szCs w:val="24"/>
        </w:rPr>
        <w:fldChar w:fldCharType="separate"/>
      </w:r>
      <w:r>
        <w:rPr>
          <w:rFonts w:ascii="Times New Roman" w:hAnsi="Times New Roman"/>
          <w:b w:val="0"/>
          <w:sz w:val="24"/>
          <w:szCs w:val="24"/>
        </w:rPr>
        <w:t>- 107 -</w:t>
      </w:r>
      <w:r>
        <w:rPr>
          <w:rFonts w:ascii="Times New Roman" w:hAnsi="Times New Roman"/>
          <w:b w:val="0"/>
          <w:sz w:val="24"/>
          <w:szCs w:val="24"/>
        </w:rPr>
        <w:fldChar w:fldCharType="end"/>
      </w:r>
      <w:r>
        <w:rPr>
          <w:rFonts w:ascii="Times New Roman" w:hAnsi="Times New Roman"/>
          <w:b w:val="0"/>
          <w:sz w:val="24"/>
          <w:szCs w:val="24"/>
        </w:rPr>
        <w:fldChar w:fldCharType="end"/>
      </w:r>
    </w:p>
    <w:p>
      <w:pPr>
        <w:adjustRightInd w:val="0"/>
        <w:snapToGrid w:val="0"/>
        <w:spacing w:line="288" w:lineRule="auto"/>
        <w:jc w:val="left"/>
        <w:rPr>
          <w:b/>
        </w:rPr>
      </w:pPr>
      <w:r>
        <w:rPr>
          <w:rFonts w:eastAsia="楷体_GB2312"/>
          <w:sz w:val="36"/>
          <w:szCs w:val="36"/>
        </w:rPr>
        <w:fldChar w:fldCharType="end"/>
      </w:r>
      <w:r>
        <w:rPr>
          <w:b/>
        </w:rPr>
        <w:t>附图：</w:t>
      </w:r>
    </w:p>
    <w:p>
      <w:pPr>
        <w:spacing w:line="360" w:lineRule="atLeast"/>
        <w:ind w:firstLine="420" w:firstLineChars="200"/>
      </w:pPr>
      <w:r>
        <w:t>附图1   地理位置图</w:t>
      </w:r>
    </w:p>
    <w:p>
      <w:pPr>
        <w:spacing w:line="360" w:lineRule="atLeast"/>
        <w:ind w:firstLine="420" w:firstLineChars="200"/>
        <w:rPr>
          <w:color w:val="auto"/>
        </w:rPr>
      </w:pPr>
      <w:r>
        <w:rPr>
          <w:color w:val="auto"/>
        </w:rPr>
        <w:t>附图2   周边概况图</w:t>
      </w:r>
      <w:r>
        <w:rPr>
          <w:rFonts w:hint="eastAsia"/>
          <w:color w:val="auto"/>
        </w:rPr>
        <w:t>及敏感目标图</w:t>
      </w:r>
    </w:p>
    <w:p>
      <w:pPr>
        <w:spacing w:line="360" w:lineRule="atLeast"/>
        <w:ind w:firstLine="420" w:firstLineChars="200"/>
        <w:rPr>
          <w:color w:val="auto"/>
        </w:rPr>
      </w:pPr>
      <w:r>
        <w:rPr>
          <w:color w:val="auto"/>
        </w:rPr>
        <w:t xml:space="preserve">附图3   </w:t>
      </w:r>
      <w:r>
        <w:rPr>
          <w:rFonts w:hint="eastAsia"/>
          <w:color w:val="auto"/>
        </w:rPr>
        <w:t>厂区</w:t>
      </w:r>
      <w:r>
        <w:rPr>
          <w:color w:val="auto"/>
        </w:rPr>
        <w:t>面布置图</w:t>
      </w:r>
    </w:p>
    <w:p>
      <w:pPr>
        <w:spacing w:line="360" w:lineRule="atLeast"/>
        <w:ind w:firstLine="420" w:firstLineChars="200"/>
        <w:rPr>
          <w:color w:val="auto"/>
        </w:rPr>
      </w:pPr>
      <w:r>
        <w:rPr>
          <w:color w:val="auto"/>
        </w:rPr>
        <w:t>附图4   8号厂房平面布置图（本项目位于A区、B区）</w:t>
      </w:r>
    </w:p>
    <w:p>
      <w:pPr>
        <w:spacing w:line="360" w:lineRule="atLeast"/>
        <w:ind w:firstLine="420" w:firstLineChars="200"/>
        <w:rPr>
          <w:color w:val="auto"/>
        </w:rPr>
      </w:pPr>
      <w:r>
        <w:rPr>
          <w:color w:val="auto"/>
        </w:rPr>
        <w:t xml:space="preserve">附图5   </w:t>
      </w:r>
      <w:r>
        <w:rPr>
          <w:rFonts w:hint="eastAsia"/>
          <w:color w:val="auto"/>
        </w:rPr>
        <w:t>厂房</w:t>
      </w:r>
      <w:r>
        <w:rPr>
          <w:color w:val="auto"/>
        </w:rPr>
        <w:t>A区平面布置图</w:t>
      </w:r>
    </w:p>
    <w:p>
      <w:pPr>
        <w:spacing w:line="360" w:lineRule="atLeast"/>
        <w:ind w:firstLine="420" w:firstLineChars="200"/>
        <w:rPr>
          <w:color w:val="auto"/>
        </w:rPr>
      </w:pPr>
      <w:r>
        <w:rPr>
          <w:color w:val="auto"/>
        </w:rPr>
        <w:t xml:space="preserve">附图6   </w:t>
      </w:r>
      <w:r>
        <w:rPr>
          <w:rFonts w:hint="eastAsia"/>
          <w:color w:val="auto"/>
        </w:rPr>
        <w:t>厂房</w:t>
      </w:r>
      <w:r>
        <w:rPr>
          <w:color w:val="auto"/>
        </w:rPr>
        <w:t>B区平面布置图</w:t>
      </w:r>
    </w:p>
    <w:p>
      <w:pPr>
        <w:spacing w:line="360" w:lineRule="atLeast"/>
        <w:ind w:firstLine="420" w:firstLineChars="200"/>
        <w:rPr>
          <w:color w:val="auto"/>
        </w:rPr>
      </w:pPr>
      <w:r>
        <w:rPr>
          <w:color w:val="auto"/>
        </w:rPr>
        <w:t>附图</w:t>
      </w:r>
      <w:r>
        <w:rPr>
          <w:rFonts w:hint="eastAsia"/>
          <w:color w:val="auto"/>
        </w:rPr>
        <w:t>7</w:t>
      </w:r>
      <w:r>
        <w:rPr>
          <w:rFonts w:hint="eastAsia"/>
          <w:color w:val="auto"/>
          <w:lang w:val="en-US" w:eastAsia="zh-CN"/>
        </w:rPr>
        <w:t xml:space="preserve">   </w:t>
      </w:r>
      <w:r>
        <w:rPr>
          <w:rFonts w:hint="eastAsia"/>
          <w:color w:val="auto"/>
        </w:rPr>
        <w:t>江宁经济技术开发区土地利用</w:t>
      </w:r>
      <w:r>
        <w:rPr>
          <w:color w:val="auto"/>
        </w:rPr>
        <w:t>规划图</w:t>
      </w:r>
    </w:p>
    <w:p>
      <w:pPr>
        <w:spacing w:line="360" w:lineRule="atLeast"/>
        <w:ind w:firstLine="420" w:firstLineChars="200"/>
        <w:rPr>
          <w:color w:val="auto"/>
        </w:rPr>
      </w:pPr>
      <w:r>
        <w:rPr>
          <w:color w:val="auto"/>
        </w:rPr>
        <w:t>附图</w:t>
      </w:r>
      <w:r>
        <w:rPr>
          <w:rFonts w:hint="eastAsia"/>
          <w:color w:val="auto"/>
        </w:rPr>
        <w:t>8</w:t>
      </w:r>
      <w:r>
        <w:rPr>
          <w:rFonts w:hint="eastAsia"/>
          <w:color w:val="auto"/>
          <w:lang w:val="en-US" w:eastAsia="zh-CN"/>
        </w:rPr>
        <w:t xml:space="preserve">   </w:t>
      </w:r>
      <w:r>
        <w:rPr>
          <w:rFonts w:hint="eastAsia"/>
          <w:color w:val="auto"/>
        </w:rPr>
        <w:t>江宁经济技术开发区产业布局图</w:t>
      </w:r>
    </w:p>
    <w:p>
      <w:pPr>
        <w:spacing w:line="360" w:lineRule="atLeast"/>
        <w:ind w:firstLine="420" w:firstLineChars="200"/>
        <w:rPr>
          <w:color w:val="auto"/>
        </w:rPr>
      </w:pPr>
      <w:r>
        <w:rPr>
          <w:color w:val="auto"/>
        </w:rPr>
        <w:t>附图</w:t>
      </w:r>
      <w:r>
        <w:rPr>
          <w:rFonts w:hint="eastAsia"/>
          <w:color w:val="auto"/>
        </w:rPr>
        <w:t>9</w:t>
      </w:r>
      <w:r>
        <w:rPr>
          <w:rFonts w:hint="eastAsia"/>
          <w:color w:val="auto"/>
          <w:lang w:val="en-US" w:eastAsia="zh-CN"/>
        </w:rPr>
        <w:t xml:space="preserve">   </w:t>
      </w:r>
      <w:r>
        <w:rPr>
          <w:color w:val="auto"/>
        </w:rPr>
        <w:t>江苏省生态空间管控区域规划图</w:t>
      </w:r>
    </w:p>
    <w:p>
      <w:pPr>
        <w:spacing w:line="360" w:lineRule="atLeast"/>
        <w:ind w:firstLine="420" w:firstLineChars="200"/>
        <w:rPr>
          <w:color w:val="auto"/>
        </w:rPr>
      </w:pPr>
      <w:r>
        <w:rPr>
          <w:color w:val="auto"/>
        </w:rPr>
        <w:t>附图1</w:t>
      </w:r>
      <w:r>
        <w:rPr>
          <w:rFonts w:hint="eastAsia"/>
          <w:color w:val="auto"/>
        </w:rPr>
        <w:t>0</w:t>
      </w:r>
      <w:r>
        <w:rPr>
          <w:color w:val="auto"/>
        </w:rPr>
        <w:t xml:space="preserve">  江苏省国家级生态红线图</w:t>
      </w:r>
    </w:p>
    <w:p>
      <w:pPr>
        <w:spacing w:line="360" w:lineRule="atLeast"/>
        <w:ind w:firstLine="420" w:firstLineChars="200"/>
        <w:rPr>
          <w:color w:val="auto"/>
        </w:rPr>
      </w:pPr>
      <w:r>
        <w:rPr>
          <w:color w:val="auto"/>
        </w:rPr>
        <w:t>附图1</w:t>
      </w:r>
      <w:r>
        <w:rPr>
          <w:rFonts w:hint="eastAsia"/>
          <w:color w:val="auto"/>
        </w:rPr>
        <w:t>1</w:t>
      </w:r>
      <w:r>
        <w:rPr>
          <w:color w:val="auto"/>
        </w:rPr>
        <w:t xml:space="preserve">  江苏省环境管控单元图</w:t>
      </w:r>
    </w:p>
    <w:p>
      <w:pPr>
        <w:spacing w:line="360" w:lineRule="atLeast"/>
        <w:ind w:firstLine="420" w:firstLineChars="200"/>
        <w:rPr>
          <w:color w:val="auto"/>
        </w:rPr>
      </w:pPr>
      <w:r>
        <w:rPr>
          <w:color w:val="auto"/>
        </w:rPr>
        <w:t>附图1</w:t>
      </w:r>
      <w:r>
        <w:rPr>
          <w:rFonts w:hint="eastAsia"/>
          <w:color w:val="auto"/>
        </w:rPr>
        <w:t>2</w:t>
      </w:r>
      <w:r>
        <w:rPr>
          <w:color w:val="auto"/>
        </w:rPr>
        <w:t xml:space="preserve">  项目周边水系图</w:t>
      </w:r>
    </w:p>
    <w:p>
      <w:pPr>
        <w:spacing w:line="360" w:lineRule="atLeast"/>
        <w:ind w:firstLine="420" w:firstLineChars="200"/>
        <w:rPr>
          <w:color w:val="auto"/>
        </w:rPr>
      </w:pPr>
      <w:r>
        <w:rPr>
          <w:rFonts w:hint="eastAsia"/>
          <w:color w:val="auto"/>
        </w:rPr>
        <w:t>附图13  《江宁经济技术开发区总体发展规划（2020-2035）》环评声环境功能区划图</w:t>
      </w:r>
    </w:p>
    <w:p>
      <w:pPr>
        <w:pStyle w:val="2"/>
        <w:spacing w:line="360" w:lineRule="atLeast"/>
        <w:rPr>
          <w:b/>
          <w:color w:val="auto"/>
        </w:rPr>
      </w:pPr>
      <w:r>
        <w:rPr>
          <w:b/>
          <w:color w:val="auto"/>
        </w:rPr>
        <w:t>附件：</w:t>
      </w:r>
    </w:p>
    <w:p>
      <w:pPr>
        <w:spacing w:line="360" w:lineRule="atLeast"/>
        <w:ind w:firstLine="420" w:firstLineChars="200"/>
        <w:rPr>
          <w:color w:val="auto"/>
        </w:rPr>
      </w:pPr>
      <w:r>
        <w:rPr>
          <w:color w:val="auto"/>
        </w:rPr>
        <w:t>附件1   委托书</w:t>
      </w:r>
    </w:p>
    <w:p>
      <w:pPr>
        <w:spacing w:line="360" w:lineRule="atLeast"/>
        <w:ind w:firstLine="420" w:firstLineChars="200"/>
        <w:rPr>
          <w:color w:val="auto"/>
        </w:rPr>
      </w:pPr>
      <w:r>
        <w:rPr>
          <w:rFonts w:hint="eastAsia"/>
          <w:color w:val="auto"/>
        </w:rPr>
        <w:t>附件2   声明</w:t>
      </w:r>
    </w:p>
    <w:p>
      <w:pPr>
        <w:spacing w:line="360" w:lineRule="atLeast"/>
        <w:ind w:firstLine="420" w:firstLineChars="200"/>
        <w:rPr>
          <w:color w:val="auto"/>
        </w:rPr>
      </w:pPr>
      <w:r>
        <w:rPr>
          <w:color w:val="auto"/>
        </w:rPr>
        <w:t>附件</w:t>
      </w:r>
      <w:r>
        <w:rPr>
          <w:rFonts w:hint="eastAsia"/>
          <w:color w:val="auto"/>
        </w:rPr>
        <w:t>3</w:t>
      </w:r>
      <w:r>
        <w:rPr>
          <w:color w:val="auto"/>
        </w:rPr>
        <w:t xml:space="preserve">   承诺书</w:t>
      </w:r>
    </w:p>
    <w:p>
      <w:pPr>
        <w:spacing w:line="360" w:lineRule="atLeast"/>
        <w:ind w:firstLine="420" w:firstLineChars="200"/>
        <w:rPr>
          <w:color w:val="auto"/>
        </w:rPr>
      </w:pPr>
      <w:r>
        <w:rPr>
          <w:color w:val="auto"/>
        </w:rPr>
        <w:t>附件</w:t>
      </w:r>
      <w:r>
        <w:rPr>
          <w:rFonts w:hint="eastAsia"/>
          <w:color w:val="auto"/>
        </w:rPr>
        <w:t>4</w:t>
      </w:r>
      <w:r>
        <w:rPr>
          <w:color w:val="auto"/>
        </w:rPr>
        <w:t xml:space="preserve">   备案证及备</w:t>
      </w:r>
      <w:r>
        <w:rPr>
          <w:rFonts w:hint="eastAsia"/>
          <w:color w:val="auto"/>
        </w:rPr>
        <w:t>登记信息表</w:t>
      </w:r>
      <w:r>
        <w:rPr>
          <w:color w:val="auto"/>
        </w:rPr>
        <w:t>、设备表</w:t>
      </w:r>
    </w:p>
    <w:p>
      <w:pPr>
        <w:spacing w:line="360" w:lineRule="atLeast"/>
        <w:ind w:firstLine="420" w:firstLineChars="200"/>
        <w:rPr>
          <w:color w:val="auto"/>
        </w:rPr>
      </w:pPr>
      <w:r>
        <w:rPr>
          <w:color w:val="auto"/>
        </w:rPr>
        <w:t>附件</w:t>
      </w:r>
      <w:r>
        <w:rPr>
          <w:rFonts w:hint="eastAsia"/>
          <w:color w:val="auto"/>
        </w:rPr>
        <w:t>5</w:t>
      </w:r>
      <w:r>
        <w:rPr>
          <w:color w:val="auto"/>
        </w:rPr>
        <w:t xml:space="preserve">   营业执照</w:t>
      </w:r>
      <w:r>
        <w:rPr>
          <w:rFonts w:hint="eastAsia"/>
          <w:color w:val="auto"/>
        </w:rPr>
        <w:t>、法人身份证</w:t>
      </w:r>
    </w:p>
    <w:p>
      <w:pPr>
        <w:spacing w:line="360" w:lineRule="atLeast"/>
        <w:ind w:firstLine="420" w:firstLineChars="200"/>
      </w:pPr>
      <w:r>
        <w:t>附件</w:t>
      </w:r>
      <w:r>
        <w:rPr>
          <w:rFonts w:hint="eastAsia"/>
        </w:rPr>
        <w:t>6</w:t>
      </w:r>
      <w:r>
        <w:t xml:space="preserve">   土地使用证明</w:t>
      </w:r>
    </w:p>
    <w:p>
      <w:pPr>
        <w:spacing w:line="360" w:lineRule="atLeast"/>
        <w:ind w:firstLine="420" w:firstLineChars="200"/>
      </w:pPr>
      <w:r>
        <w:t>附件7   突发环境事件预案备案证</w:t>
      </w:r>
    </w:p>
    <w:p>
      <w:pPr>
        <w:spacing w:line="360" w:lineRule="atLeast"/>
        <w:ind w:firstLine="420" w:firstLineChars="200"/>
      </w:pPr>
      <w:r>
        <w:t>附件8   固定污染源登记</w:t>
      </w:r>
      <w:r>
        <w:rPr>
          <w:rFonts w:hint="eastAsia"/>
        </w:rPr>
        <w:t>及污水接管证明</w:t>
      </w:r>
    </w:p>
    <w:p>
      <w:pPr>
        <w:spacing w:line="360" w:lineRule="atLeast"/>
        <w:ind w:firstLine="420" w:firstLineChars="200"/>
      </w:pPr>
      <w:r>
        <w:t>附件</w:t>
      </w:r>
      <w:r>
        <w:rPr>
          <w:rFonts w:hint="eastAsia"/>
        </w:rPr>
        <w:t>9</w:t>
      </w:r>
      <w:r>
        <w:rPr>
          <w:rFonts w:hint="eastAsia"/>
          <w:lang w:val="en-US" w:eastAsia="zh-CN"/>
        </w:rPr>
        <w:t xml:space="preserve">   </w:t>
      </w:r>
      <w:r>
        <w:t>危废协议</w:t>
      </w:r>
    </w:p>
    <w:p>
      <w:pPr>
        <w:spacing w:line="360" w:lineRule="atLeast"/>
        <w:ind w:firstLine="420" w:firstLineChars="200"/>
      </w:pPr>
      <w:r>
        <w:t>附件</w:t>
      </w:r>
      <w:r>
        <w:rPr>
          <w:rFonts w:hint="eastAsia"/>
        </w:rPr>
        <w:t>10</w:t>
      </w:r>
      <w:r>
        <w:t xml:space="preserve">  企业检测报告</w:t>
      </w:r>
    </w:p>
    <w:p>
      <w:pPr>
        <w:spacing w:line="360" w:lineRule="atLeast"/>
        <w:ind w:firstLine="420" w:firstLineChars="200"/>
      </w:pPr>
      <w:r>
        <w:t>附件1</w:t>
      </w:r>
      <w:r>
        <w:rPr>
          <w:rFonts w:hint="eastAsia"/>
        </w:rPr>
        <w:t>1</w:t>
      </w:r>
      <w:r>
        <w:t xml:space="preserve">  20英寸光电倍增管项目验收及批复</w:t>
      </w:r>
    </w:p>
    <w:p>
      <w:pPr>
        <w:spacing w:line="360" w:lineRule="atLeast"/>
        <w:ind w:firstLine="420" w:firstLineChars="200"/>
      </w:pPr>
      <w:r>
        <w:t>附件1</w:t>
      </w:r>
      <w:r>
        <w:rPr>
          <w:rFonts w:hint="eastAsia"/>
        </w:rPr>
        <w:t>2</w:t>
      </w:r>
      <w:r>
        <w:rPr>
          <w:rFonts w:hint="eastAsia"/>
          <w:lang w:val="en-US" w:eastAsia="zh-CN"/>
        </w:rPr>
        <w:t xml:space="preserve">   </w:t>
      </w:r>
      <w:r>
        <w:rPr>
          <w:rFonts w:hint="eastAsia"/>
        </w:rPr>
        <w:t>大气特征污染物补充监测报告</w:t>
      </w:r>
    </w:p>
    <w:p>
      <w:pPr>
        <w:spacing w:line="360" w:lineRule="atLeast"/>
        <w:ind w:firstLine="420" w:firstLineChars="200"/>
      </w:pPr>
      <w:r>
        <w:rPr>
          <w:rFonts w:hint="eastAsia"/>
        </w:rPr>
        <w:t>附件13  《江宁经济技术开发区总体发展规划（2020-2035）环境影响报告书》审查意见</w:t>
      </w:r>
    </w:p>
    <w:p>
      <w:pPr>
        <w:spacing w:line="360" w:lineRule="atLeast"/>
        <w:ind w:firstLine="420" w:firstLineChars="200"/>
      </w:pPr>
      <w:r>
        <w:t>附件</w:t>
      </w:r>
      <w:r>
        <w:rPr>
          <w:rFonts w:hint="eastAsia"/>
        </w:rPr>
        <w:t>14</w:t>
      </w:r>
      <w:r>
        <w:t xml:space="preserve">  现场照片</w:t>
      </w:r>
    </w:p>
    <w:p>
      <w:pPr>
        <w:spacing w:line="360" w:lineRule="atLeast"/>
        <w:ind w:firstLine="420" w:firstLineChars="200"/>
      </w:pPr>
      <w:r>
        <w:t>附件1</w:t>
      </w:r>
      <w:r>
        <w:rPr>
          <w:rFonts w:hint="eastAsia"/>
        </w:rPr>
        <w:t>5</w:t>
      </w:r>
      <w:r>
        <w:t xml:space="preserve">  技术服务合同</w:t>
      </w:r>
    </w:p>
    <w:p>
      <w:pPr>
        <w:spacing w:line="360" w:lineRule="atLeast"/>
        <w:ind w:firstLine="420" w:firstLineChars="200"/>
      </w:pPr>
      <w:r>
        <w:t>附件</w:t>
      </w:r>
      <w:r>
        <w:rPr>
          <w:rFonts w:hint="eastAsia"/>
        </w:rPr>
        <w:t>16</w:t>
      </w:r>
      <w:r>
        <w:t xml:space="preserve">  办理项目环评手续授权委托书</w:t>
      </w:r>
    </w:p>
    <w:p>
      <w:pPr>
        <w:spacing w:line="360" w:lineRule="atLeast"/>
        <w:ind w:firstLine="420" w:firstLineChars="200"/>
      </w:pPr>
      <w:r>
        <w:rPr>
          <w:rFonts w:hint="eastAsia"/>
        </w:rPr>
        <w:t>附件17</w:t>
      </w:r>
      <w:r>
        <w:rPr>
          <w:rFonts w:hint="eastAsia"/>
          <w:lang w:val="en-US" w:eastAsia="zh-CN"/>
        </w:rPr>
        <w:t xml:space="preserve">  </w:t>
      </w:r>
      <w:r>
        <w:rPr>
          <w:rFonts w:hint="eastAsia"/>
        </w:rPr>
        <w:t>总量指标申请表（区级）</w:t>
      </w:r>
    </w:p>
    <w:p>
      <w:pPr>
        <w:spacing w:line="360" w:lineRule="atLeast"/>
        <w:ind w:firstLine="420" w:firstLineChars="200"/>
      </w:pPr>
      <w:r>
        <w:rPr>
          <w:rFonts w:hint="eastAsia"/>
        </w:rPr>
        <w:t>附件18  报批申请书</w:t>
      </w:r>
    </w:p>
    <w:p>
      <w:pPr>
        <w:spacing w:line="360" w:lineRule="atLeast"/>
        <w:ind w:firstLine="420" w:firstLineChars="200"/>
      </w:pPr>
      <w:r>
        <w:rPr>
          <w:rFonts w:hint="eastAsia"/>
        </w:rPr>
        <w:t>附件19</w:t>
      </w:r>
      <w:r>
        <w:rPr>
          <w:rFonts w:hint="eastAsia"/>
          <w:lang w:val="en-US" w:eastAsia="zh-CN"/>
        </w:rPr>
        <w:t xml:space="preserve">  </w:t>
      </w:r>
      <w:r>
        <w:rPr>
          <w:rFonts w:hint="eastAsia"/>
        </w:rPr>
        <w:t>公示截图  未</w:t>
      </w:r>
    </w:p>
    <w:p>
      <w:pPr>
        <w:spacing w:line="360" w:lineRule="atLeast"/>
        <w:ind w:firstLine="420" w:firstLineChars="200"/>
      </w:pPr>
      <w:r>
        <w:rPr>
          <w:rFonts w:hint="eastAsia"/>
        </w:rPr>
        <w:t>附件20  工艺委托说明</w:t>
      </w:r>
    </w:p>
    <w:p>
      <w:pPr>
        <w:spacing w:line="360" w:lineRule="atLeast"/>
        <w:ind w:firstLine="420" w:firstLineChars="200"/>
      </w:pPr>
      <w:r>
        <w:rPr>
          <w:rFonts w:hint="eastAsia"/>
        </w:rPr>
        <w:t>附件21  信息不公开说明</w:t>
      </w:r>
    </w:p>
    <w:p>
      <w:pPr>
        <w:pStyle w:val="2"/>
      </w:pPr>
    </w:p>
    <w:p>
      <w:pPr>
        <w:spacing w:line="360" w:lineRule="atLeast"/>
        <w:ind w:firstLine="420" w:firstLineChars="200"/>
      </w:pPr>
    </w:p>
    <w:p>
      <w:pPr>
        <w:spacing w:line="360" w:lineRule="atLeast"/>
        <w:ind w:firstLine="420" w:firstLineChars="200"/>
      </w:pPr>
    </w:p>
    <w:p>
      <w:pPr>
        <w:spacing w:line="360" w:lineRule="atLeast"/>
        <w:ind w:firstLine="420" w:firstLineChars="200"/>
      </w:pPr>
    </w:p>
    <w:p>
      <w:pPr>
        <w:spacing w:line="360" w:lineRule="atLeast"/>
        <w:ind w:firstLine="420" w:firstLineChars="200"/>
      </w:pPr>
    </w:p>
    <w:p>
      <w:pPr>
        <w:spacing w:line="360" w:lineRule="atLeast"/>
        <w:ind w:firstLine="420" w:firstLineChars="200"/>
      </w:pPr>
    </w:p>
    <w:p>
      <w:pPr>
        <w:spacing w:line="360" w:lineRule="atLeast"/>
        <w:ind w:firstLine="420" w:firstLineChars="200"/>
      </w:pPr>
    </w:p>
    <w:p>
      <w:pPr>
        <w:spacing w:line="360" w:lineRule="atLeast"/>
        <w:ind w:firstLine="420" w:firstLineChars="200"/>
      </w:pPr>
    </w:p>
    <w:p>
      <w:pPr>
        <w:pStyle w:val="2"/>
      </w:pPr>
    </w:p>
    <w:p>
      <w:pPr>
        <w:pStyle w:val="30"/>
        <w:snapToGrid w:val="0"/>
        <w:spacing w:before="0" w:beforeAutospacing="0" w:after="0" w:afterAutospacing="0"/>
        <w:jc w:val="center"/>
        <w:outlineLvl w:val="0"/>
        <w:rPr>
          <w:rFonts w:ascii="Times New Roman" w:hAnsi="Times New Roman" w:eastAsia="黑体"/>
          <w:snapToGrid w:val="0"/>
          <w:sz w:val="30"/>
          <w:szCs w:val="30"/>
        </w:rPr>
        <w:sectPr>
          <w:footerReference r:id="rId5" w:type="default"/>
          <w:pgSz w:w="11906" w:h="16838"/>
          <w:pgMar w:top="1474" w:right="1474" w:bottom="1474" w:left="1474" w:header="851" w:footer="850" w:gutter="0"/>
          <w:pgNumType w:start="1"/>
          <w:cols w:space="720" w:num="1"/>
          <w:docGrid w:linePitch="312" w:charSpace="0"/>
        </w:sectPr>
      </w:pPr>
    </w:p>
    <w:p>
      <w:pPr>
        <w:pStyle w:val="30"/>
        <w:snapToGrid w:val="0"/>
        <w:spacing w:before="0" w:beforeAutospacing="0" w:after="0" w:afterAutospacing="0"/>
        <w:jc w:val="center"/>
        <w:outlineLvl w:val="0"/>
        <w:rPr>
          <w:rFonts w:ascii="Times New Roman" w:hAnsi="Times New Roman" w:eastAsia="黑体"/>
          <w:snapToGrid w:val="0"/>
          <w:sz w:val="30"/>
          <w:szCs w:val="30"/>
        </w:rPr>
      </w:pPr>
      <w:bookmarkStart w:id="0" w:name="_Toc88945579"/>
      <w:r>
        <w:rPr>
          <w:rFonts w:ascii="Times New Roman" w:hAnsi="Times New Roman" w:eastAsia="黑体"/>
          <w:snapToGrid w:val="0"/>
          <w:sz w:val="30"/>
          <w:szCs w:val="30"/>
        </w:rPr>
        <w:t>一、建设项目基本情况</w:t>
      </w:r>
      <w:bookmarkEnd w:id="0"/>
    </w:p>
    <w:tbl>
      <w:tblPr>
        <w:tblStyle w:val="34"/>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0" w:type="dxa"/>
          <w:bottom w:w="0" w:type="dxa"/>
          <w:right w:w="0" w:type="dxa"/>
        </w:tblCellMar>
      </w:tblPr>
      <w:tblGrid>
        <w:gridCol w:w="719"/>
        <w:gridCol w:w="500"/>
        <w:gridCol w:w="2800"/>
        <w:gridCol w:w="2104"/>
        <w:gridCol w:w="274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219" w:type="dxa"/>
            <w:gridSpan w:val="2"/>
            <w:tcMar>
              <w:top w:w="16" w:type="dxa"/>
              <w:left w:w="16" w:type="dxa"/>
              <w:right w:w="16" w:type="dxa"/>
            </w:tcMar>
            <w:vAlign w:val="center"/>
          </w:tcPr>
          <w:p>
            <w:pPr>
              <w:adjustRightInd w:val="0"/>
              <w:snapToGrid w:val="0"/>
              <w:jc w:val="center"/>
              <w:rPr>
                <w:sz w:val="24"/>
              </w:rPr>
            </w:pPr>
            <w:r>
              <w:rPr>
                <w:sz w:val="24"/>
              </w:rPr>
              <w:t>建设项目</w:t>
            </w:r>
          </w:p>
          <w:p>
            <w:pPr>
              <w:adjustRightInd w:val="0"/>
              <w:snapToGrid w:val="0"/>
              <w:jc w:val="center"/>
              <w:rPr>
                <w:sz w:val="24"/>
              </w:rPr>
            </w:pPr>
            <w:r>
              <w:rPr>
                <w:sz w:val="24"/>
              </w:rPr>
              <w:t>名称</w:t>
            </w:r>
          </w:p>
        </w:tc>
        <w:tc>
          <w:tcPr>
            <w:tcW w:w="7651" w:type="dxa"/>
            <w:gridSpan w:val="3"/>
            <w:vAlign w:val="center"/>
          </w:tcPr>
          <w:p>
            <w:pPr>
              <w:adjustRightInd w:val="0"/>
              <w:snapToGrid w:val="0"/>
              <w:jc w:val="center"/>
              <w:rPr>
                <w:sz w:val="24"/>
              </w:rPr>
            </w:pPr>
            <w:r>
              <w:rPr>
                <w:sz w:val="24"/>
              </w:rPr>
              <w:t>光电倍增管生产线改造项目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1219" w:type="dxa"/>
            <w:gridSpan w:val="2"/>
            <w:tcMar>
              <w:top w:w="16" w:type="dxa"/>
              <w:left w:w="16" w:type="dxa"/>
              <w:right w:w="16" w:type="dxa"/>
            </w:tcMar>
            <w:vAlign w:val="center"/>
          </w:tcPr>
          <w:p>
            <w:pPr>
              <w:adjustRightInd w:val="0"/>
              <w:snapToGrid w:val="0"/>
              <w:jc w:val="center"/>
              <w:rPr>
                <w:sz w:val="24"/>
              </w:rPr>
            </w:pPr>
            <w:r>
              <w:rPr>
                <w:sz w:val="24"/>
              </w:rPr>
              <w:t>项目代码</w:t>
            </w:r>
          </w:p>
        </w:tc>
        <w:tc>
          <w:tcPr>
            <w:tcW w:w="7651" w:type="dxa"/>
            <w:gridSpan w:val="3"/>
            <w:vAlign w:val="center"/>
          </w:tcPr>
          <w:p>
            <w:pPr>
              <w:adjustRightInd w:val="0"/>
              <w:snapToGrid w:val="0"/>
              <w:jc w:val="center"/>
              <w:rPr>
                <w:sz w:val="24"/>
              </w:rPr>
            </w:pPr>
            <w:r>
              <w:rPr>
                <w:sz w:val="24"/>
              </w:rPr>
              <w:t>2203-320156-89-02-844708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1219" w:type="dxa"/>
            <w:gridSpan w:val="2"/>
            <w:tcMar>
              <w:top w:w="16" w:type="dxa"/>
              <w:left w:w="16" w:type="dxa"/>
              <w:right w:w="16" w:type="dxa"/>
            </w:tcMar>
            <w:vAlign w:val="center"/>
          </w:tcPr>
          <w:p>
            <w:pPr>
              <w:adjustRightInd w:val="0"/>
              <w:snapToGrid w:val="0"/>
              <w:jc w:val="center"/>
              <w:rPr>
                <w:sz w:val="24"/>
              </w:rPr>
            </w:pPr>
            <w:r>
              <w:rPr>
                <w:sz w:val="24"/>
              </w:rPr>
              <w:t>建设单位</w:t>
            </w:r>
          </w:p>
          <w:p>
            <w:pPr>
              <w:adjustRightInd w:val="0"/>
              <w:snapToGrid w:val="0"/>
              <w:jc w:val="center"/>
              <w:rPr>
                <w:sz w:val="24"/>
              </w:rPr>
            </w:pPr>
            <w:r>
              <w:rPr>
                <w:sz w:val="24"/>
              </w:rPr>
              <w:t>联系人</w:t>
            </w:r>
          </w:p>
        </w:tc>
        <w:tc>
          <w:tcPr>
            <w:tcW w:w="2800" w:type="dxa"/>
            <w:vAlign w:val="center"/>
          </w:tcPr>
          <w:p>
            <w:pPr>
              <w:adjustRightInd w:val="0"/>
              <w:snapToGrid w:val="0"/>
              <w:jc w:val="center"/>
              <w:rPr>
                <w:rFonts w:hint="default" w:eastAsia="宋体"/>
                <w:sz w:val="24"/>
                <w:lang w:val="en-US" w:eastAsia="zh-CN"/>
              </w:rPr>
            </w:pPr>
            <w:r>
              <w:rPr>
                <w:rFonts w:hint="eastAsia"/>
                <w:sz w:val="24"/>
                <w:lang w:val="en-US" w:eastAsia="zh-CN"/>
              </w:rPr>
              <w:t>--</w:t>
            </w:r>
          </w:p>
        </w:tc>
        <w:tc>
          <w:tcPr>
            <w:tcW w:w="2104" w:type="dxa"/>
            <w:vAlign w:val="center"/>
          </w:tcPr>
          <w:p>
            <w:pPr>
              <w:adjustRightInd w:val="0"/>
              <w:snapToGrid w:val="0"/>
              <w:jc w:val="center"/>
              <w:rPr>
                <w:sz w:val="24"/>
              </w:rPr>
            </w:pPr>
            <w:r>
              <w:rPr>
                <w:sz w:val="24"/>
              </w:rPr>
              <w:t>联系方式</w:t>
            </w:r>
          </w:p>
        </w:tc>
        <w:tc>
          <w:tcPr>
            <w:tcW w:w="2747" w:type="dxa"/>
            <w:vAlign w:val="center"/>
          </w:tcPr>
          <w:p>
            <w:pPr>
              <w:adjustRightInd w:val="0"/>
              <w:snapToGrid w:val="0"/>
              <w:jc w:val="center"/>
              <w:rPr>
                <w:rFonts w:hint="default" w:eastAsia="宋体"/>
                <w:sz w:val="24"/>
                <w:lang w:val="en-US" w:eastAsia="zh-CN"/>
              </w:rPr>
            </w:pPr>
            <w:r>
              <w:rPr>
                <w:rFonts w:hint="eastAsia"/>
                <w:sz w:val="24"/>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1219" w:type="dxa"/>
            <w:gridSpan w:val="2"/>
            <w:tcMar>
              <w:top w:w="16" w:type="dxa"/>
              <w:left w:w="16" w:type="dxa"/>
              <w:right w:w="16" w:type="dxa"/>
            </w:tcMar>
            <w:vAlign w:val="center"/>
          </w:tcPr>
          <w:p>
            <w:pPr>
              <w:adjustRightInd w:val="0"/>
              <w:snapToGrid w:val="0"/>
              <w:jc w:val="center"/>
              <w:rPr>
                <w:sz w:val="24"/>
              </w:rPr>
            </w:pPr>
            <w:r>
              <w:rPr>
                <w:sz w:val="24"/>
              </w:rPr>
              <w:t>建设地点</w:t>
            </w:r>
          </w:p>
        </w:tc>
        <w:tc>
          <w:tcPr>
            <w:tcW w:w="7651" w:type="dxa"/>
            <w:gridSpan w:val="3"/>
            <w:vAlign w:val="center"/>
          </w:tcPr>
          <w:p>
            <w:pPr>
              <w:autoSpaceDE w:val="0"/>
              <w:autoSpaceDN w:val="0"/>
              <w:jc w:val="center"/>
              <w:rPr>
                <w:sz w:val="24"/>
              </w:rPr>
            </w:pPr>
            <w:r>
              <w:rPr>
                <w:sz w:val="24"/>
              </w:rPr>
              <w:t>南京江宁经济技术开发区秣陵街道康平街2号北方夜视技术股份有限公司 现有8号厂房内</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1219" w:type="dxa"/>
            <w:gridSpan w:val="2"/>
            <w:tcMar>
              <w:top w:w="16" w:type="dxa"/>
              <w:left w:w="16" w:type="dxa"/>
              <w:right w:w="16" w:type="dxa"/>
            </w:tcMar>
            <w:vAlign w:val="center"/>
          </w:tcPr>
          <w:p>
            <w:pPr>
              <w:adjustRightInd w:val="0"/>
              <w:snapToGrid w:val="0"/>
              <w:jc w:val="center"/>
              <w:rPr>
                <w:sz w:val="24"/>
              </w:rPr>
            </w:pPr>
            <w:r>
              <w:rPr>
                <w:sz w:val="24"/>
              </w:rPr>
              <w:t>地理坐标</w:t>
            </w:r>
          </w:p>
        </w:tc>
        <w:tc>
          <w:tcPr>
            <w:tcW w:w="7651" w:type="dxa"/>
            <w:gridSpan w:val="3"/>
            <w:vAlign w:val="center"/>
          </w:tcPr>
          <w:p>
            <w:pPr>
              <w:jc w:val="center"/>
              <w:rPr>
                <w:sz w:val="24"/>
              </w:rPr>
            </w:pPr>
            <w:r>
              <w:rPr>
                <w:sz w:val="24"/>
              </w:rPr>
              <w:t>东经118度46分57.021秒，北纬31度53分56.736秒</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1219" w:type="dxa"/>
            <w:gridSpan w:val="2"/>
            <w:tcMar>
              <w:top w:w="16" w:type="dxa"/>
              <w:left w:w="16" w:type="dxa"/>
              <w:right w:w="16" w:type="dxa"/>
            </w:tcMar>
            <w:vAlign w:val="center"/>
          </w:tcPr>
          <w:p>
            <w:pPr>
              <w:adjustRightInd w:val="0"/>
              <w:snapToGrid w:val="0"/>
              <w:jc w:val="center"/>
              <w:rPr>
                <w:color w:val="auto"/>
                <w:sz w:val="24"/>
              </w:rPr>
            </w:pPr>
            <w:r>
              <w:rPr>
                <w:color w:val="auto"/>
                <w:sz w:val="24"/>
              </w:rPr>
              <w:t>国民经济</w:t>
            </w:r>
          </w:p>
          <w:p>
            <w:pPr>
              <w:adjustRightInd w:val="0"/>
              <w:snapToGrid w:val="0"/>
              <w:jc w:val="center"/>
              <w:rPr>
                <w:color w:val="auto"/>
                <w:sz w:val="24"/>
              </w:rPr>
            </w:pPr>
            <w:r>
              <w:rPr>
                <w:color w:val="auto"/>
                <w:sz w:val="24"/>
              </w:rPr>
              <w:t>行业类别</w:t>
            </w:r>
          </w:p>
        </w:tc>
        <w:tc>
          <w:tcPr>
            <w:tcW w:w="2800" w:type="dxa"/>
            <w:vAlign w:val="center"/>
          </w:tcPr>
          <w:p>
            <w:pPr>
              <w:adjustRightInd w:val="0"/>
              <w:snapToGrid w:val="0"/>
              <w:jc w:val="center"/>
              <w:rPr>
                <w:color w:val="auto"/>
                <w:sz w:val="24"/>
              </w:rPr>
            </w:pPr>
            <w:r>
              <w:rPr>
                <w:color w:val="auto"/>
                <w:sz w:val="24"/>
              </w:rPr>
              <w:t>C3971电子真空器件制造</w:t>
            </w:r>
          </w:p>
        </w:tc>
        <w:tc>
          <w:tcPr>
            <w:tcW w:w="2104" w:type="dxa"/>
            <w:vAlign w:val="center"/>
          </w:tcPr>
          <w:p>
            <w:pPr>
              <w:adjustRightInd w:val="0"/>
              <w:snapToGrid w:val="0"/>
              <w:jc w:val="center"/>
              <w:rPr>
                <w:color w:val="auto"/>
                <w:sz w:val="24"/>
              </w:rPr>
            </w:pPr>
            <w:r>
              <w:rPr>
                <w:color w:val="auto"/>
                <w:sz w:val="24"/>
              </w:rPr>
              <w:t>建设项目</w:t>
            </w:r>
          </w:p>
          <w:p>
            <w:pPr>
              <w:adjustRightInd w:val="0"/>
              <w:snapToGrid w:val="0"/>
              <w:jc w:val="center"/>
              <w:rPr>
                <w:color w:val="auto"/>
                <w:sz w:val="24"/>
              </w:rPr>
            </w:pPr>
            <w:r>
              <w:rPr>
                <w:color w:val="auto"/>
                <w:sz w:val="24"/>
              </w:rPr>
              <w:t>行业类别</w:t>
            </w:r>
          </w:p>
        </w:tc>
        <w:tc>
          <w:tcPr>
            <w:tcW w:w="2747" w:type="dxa"/>
            <w:vAlign w:val="center"/>
          </w:tcPr>
          <w:p>
            <w:pPr>
              <w:widowControl/>
              <w:jc w:val="left"/>
              <w:rPr>
                <w:color w:val="auto"/>
                <w:sz w:val="24"/>
              </w:rPr>
            </w:pPr>
            <w:r>
              <w:rPr>
                <w:rFonts w:hint="eastAsia"/>
                <w:color w:val="auto"/>
                <w:sz w:val="24"/>
                <w:szCs w:val="24"/>
              </w:rPr>
              <w:t>80.</w:t>
            </w:r>
            <w:r>
              <w:rPr>
                <w:color w:val="auto"/>
                <w:sz w:val="24"/>
                <w:szCs w:val="24"/>
              </w:rPr>
              <w:t>电子器件制造397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1219" w:type="dxa"/>
            <w:gridSpan w:val="2"/>
            <w:tcMar>
              <w:top w:w="16" w:type="dxa"/>
              <w:left w:w="16" w:type="dxa"/>
              <w:right w:w="16" w:type="dxa"/>
            </w:tcMar>
            <w:vAlign w:val="center"/>
          </w:tcPr>
          <w:p>
            <w:pPr>
              <w:adjustRightInd w:val="0"/>
              <w:snapToGrid w:val="0"/>
              <w:jc w:val="center"/>
              <w:rPr>
                <w:color w:val="auto"/>
                <w:sz w:val="24"/>
              </w:rPr>
            </w:pPr>
            <w:r>
              <w:rPr>
                <w:color w:val="auto"/>
                <w:sz w:val="24"/>
              </w:rPr>
              <w:t>建设性质</w:t>
            </w:r>
          </w:p>
        </w:tc>
        <w:tc>
          <w:tcPr>
            <w:tcW w:w="2800" w:type="dxa"/>
            <w:vAlign w:val="center"/>
          </w:tcPr>
          <w:p>
            <w:pPr>
              <w:jc w:val="left"/>
              <w:rPr>
                <w:color w:val="auto"/>
                <w:sz w:val="24"/>
              </w:rPr>
            </w:pPr>
            <w:r>
              <w:rPr>
                <w:color w:val="auto"/>
                <w:sz w:val="24"/>
              </w:rPr>
              <w:sym w:font="Wingdings 2" w:char="00A3"/>
            </w:r>
            <w:r>
              <w:rPr>
                <w:color w:val="auto"/>
                <w:sz w:val="24"/>
              </w:rPr>
              <w:t>新建（迁建）</w:t>
            </w:r>
          </w:p>
          <w:p>
            <w:pPr>
              <w:jc w:val="left"/>
              <w:rPr>
                <w:color w:val="auto"/>
                <w:sz w:val="24"/>
              </w:rPr>
            </w:pPr>
            <w:r>
              <w:rPr>
                <w:color w:val="auto"/>
                <w:sz w:val="24"/>
              </w:rPr>
              <w:sym w:font="Wingdings 2" w:char="0052"/>
            </w:r>
            <w:r>
              <w:rPr>
                <w:color w:val="auto"/>
                <w:sz w:val="24"/>
              </w:rPr>
              <w:t>改建</w:t>
            </w:r>
          </w:p>
          <w:p>
            <w:pPr>
              <w:jc w:val="left"/>
              <w:rPr>
                <w:color w:val="auto"/>
                <w:sz w:val="24"/>
              </w:rPr>
            </w:pPr>
            <w:r>
              <w:rPr>
                <w:color w:val="auto"/>
                <w:sz w:val="24"/>
              </w:rPr>
              <w:sym w:font="Wingdings 2" w:char="00A3"/>
            </w:r>
            <w:r>
              <w:rPr>
                <w:color w:val="auto"/>
                <w:sz w:val="24"/>
              </w:rPr>
              <w:t>扩建</w:t>
            </w:r>
          </w:p>
          <w:p>
            <w:pPr>
              <w:jc w:val="left"/>
              <w:rPr>
                <w:color w:val="auto"/>
                <w:sz w:val="24"/>
              </w:rPr>
            </w:pPr>
            <w:r>
              <w:rPr>
                <w:color w:val="auto"/>
                <w:sz w:val="24"/>
              </w:rPr>
              <w:sym w:font="Wingdings 2" w:char="00A3"/>
            </w:r>
            <w:r>
              <w:rPr>
                <w:color w:val="auto"/>
                <w:sz w:val="24"/>
              </w:rPr>
              <w:t>技术改造</w:t>
            </w:r>
          </w:p>
        </w:tc>
        <w:tc>
          <w:tcPr>
            <w:tcW w:w="2104" w:type="dxa"/>
            <w:vAlign w:val="center"/>
          </w:tcPr>
          <w:p>
            <w:pPr>
              <w:adjustRightInd w:val="0"/>
              <w:snapToGrid w:val="0"/>
              <w:jc w:val="center"/>
              <w:rPr>
                <w:color w:val="auto"/>
                <w:sz w:val="24"/>
              </w:rPr>
            </w:pPr>
            <w:r>
              <w:rPr>
                <w:color w:val="auto"/>
                <w:sz w:val="24"/>
              </w:rPr>
              <w:t>建设项目</w:t>
            </w:r>
          </w:p>
          <w:p>
            <w:pPr>
              <w:adjustRightInd w:val="0"/>
              <w:snapToGrid w:val="0"/>
              <w:jc w:val="center"/>
              <w:rPr>
                <w:color w:val="auto"/>
                <w:sz w:val="24"/>
              </w:rPr>
            </w:pPr>
            <w:r>
              <w:rPr>
                <w:color w:val="auto"/>
                <w:sz w:val="24"/>
              </w:rPr>
              <w:t>申报情形</w:t>
            </w:r>
          </w:p>
        </w:tc>
        <w:tc>
          <w:tcPr>
            <w:tcW w:w="2747" w:type="dxa"/>
            <w:vAlign w:val="center"/>
          </w:tcPr>
          <w:p>
            <w:pPr>
              <w:jc w:val="left"/>
              <w:rPr>
                <w:color w:val="auto"/>
                <w:sz w:val="24"/>
              </w:rPr>
            </w:pPr>
            <w:r>
              <w:rPr>
                <w:color w:val="auto"/>
                <w:sz w:val="24"/>
              </w:rPr>
              <w:sym w:font="Wingdings 2" w:char="0052"/>
            </w:r>
            <w:r>
              <w:rPr>
                <w:color w:val="auto"/>
                <w:sz w:val="24"/>
              </w:rPr>
              <w:t>首次申报项目</w:t>
            </w:r>
          </w:p>
          <w:p>
            <w:pPr>
              <w:jc w:val="left"/>
              <w:rPr>
                <w:color w:val="auto"/>
                <w:sz w:val="24"/>
              </w:rPr>
            </w:pPr>
            <w:r>
              <w:rPr>
                <w:color w:val="auto"/>
                <w:sz w:val="24"/>
              </w:rPr>
              <w:sym w:font="Wingdings 2" w:char="00A3"/>
            </w:r>
            <w:r>
              <w:rPr>
                <w:color w:val="auto"/>
                <w:sz w:val="24"/>
              </w:rPr>
              <w:t>不予批准后再次申报项目</w:t>
            </w:r>
          </w:p>
          <w:p>
            <w:pPr>
              <w:jc w:val="left"/>
              <w:rPr>
                <w:color w:val="auto"/>
                <w:sz w:val="24"/>
              </w:rPr>
            </w:pPr>
            <w:r>
              <w:rPr>
                <w:color w:val="auto"/>
                <w:sz w:val="24"/>
              </w:rPr>
              <w:sym w:font="Wingdings 2" w:char="00A3"/>
            </w:r>
            <w:r>
              <w:rPr>
                <w:color w:val="auto"/>
                <w:sz w:val="24"/>
              </w:rPr>
              <w:t>超五年重新审核项目</w:t>
            </w:r>
          </w:p>
          <w:p>
            <w:pPr>
              <w:jc w:val="left"/>
              <w:rPr>
                <w:color w:val="auto"/>
                <w:sz w:val="24"/>
              </w:rPr>
            </w:pPr>
            <w:r>
              <w:rPr>
                <w:color w:val="auto"/>
                <w:sz w:val="24"/>
              </w:rPr>
              <w:sym w:font="Wingdings 2" w:char="00A3"/>
            </w:r>
            <w:r>
              <w:rPr>
                <w:color w:val="auto"/>
                <w:sz w:val="24"/>
              </w:rPr>
              <w:t>重大变动重新报批项目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1219" w:type="dxa"/>
            <w:gridSpan w:val="2"/>
            <w:tcMar>
              <w:top w:w="16" w:type="dxa"/>
              <w:left w:w="16" w:type="dxa"/>
              <w:right w:w="16" w:type="dxa"/>
            </w:tcMar>
            <w:vAlign w:val="center"/>
          </w:tcPr>
          <w:p>
            <w:pPr>
              <w:adjustRightInd w:val="0"/>
              <w:snapToGrid w:val="0"/>
              <w:jc w:val="center"/>
              <w:rPr>
                <w:color w:val="auto"/>
                <w:sz w:val="24"/>
              </w:rPr>
            </w:pPr>
            <w:r>
              <w:rPr>
                <w:color w:val="auto"/>
                <w:sz w:val="24"/>
              </w:rPr>
              <w:t>项目审批（核准/备案）部门</w:t>
            </w:r>
          </w:p>
        </w:tc>
        <w:tc>
          <w:tcPr>
            <w:tcW w:w="2800" w:type="dxa"/>
            <w:vAlign w:val="center"/>
          </w:tcPr>
          <w:p>
            <w:pPr>
              <w:adjustRightInd w:val="0"/>
              <w:snapToGrid w:val="0"/>
              <w:jc w:val="center"/>
              <w:rPr>
                <w:color w:val="auto"/>
                <w:sz w:val="24"/>
              </w:rPr>
            </w:pPr>
            <w:r>
              <w:rPr>
                <w:color w:val="auto"/>
                <w:sz w:val="24"/>
              </w:rPr>
              <w:t>南京江宁经济技术开发区管理委员会行政审批局</w:t>
            </w:r>
          </w:p>
        </w:tc>
        <w:tc>
          <w:tcPr>
            <w:tcW w:w="2104" w:type="dxa"/>
            <w:vAlign w:val="center"/>
          </w:tcPr>
          <w:p>
            <w:pPr>
              <w:adjustRightInd w:val="0"/>
              <w:snapToGrid w:val="0"/>
              <w:jc w:val="center"/>
              <w:rPr>
                <w:color w:val="auto"/>
                <w:sz w:val="24"/>
              </w:rPr>
            </w:pPr>
            <w:r>
              <w:rPr>
                <w:color w:val="auto"/>
                <w:sz w:val="24"/>
              </w:rPr>
              <w:t>项目审批（核准/</w:t>
            </w:r>
          </w:p>
          <w:p>
            <w:pPr>
              <w:adjustRightInd w:val="0"/>
              <w:snapToGrid w:val="0"/>
              <w:jc w:val="center"/>
              <w:rPr>
                <w:color w:val="auto"/>
                <w:sz w:val="24"/>
              </w:rPr>
            </w:pPr>
            <w:r>
              <w:rPr>
                <w:color w:val="auto"/>
                <w:sz w:val="24"/>
              </w:rPr>
              <w:t>备案）文号（选填）</w:t>
            </w:r>
          </w:p>
        </w:tc>
        <w:tc>
          <w:tcPr>
            <w:tcW w:w="2747" w:type="dxa"/>
            <w:vAlign w:val="center"/>
          </w:tcPr>
          <w:p>
            <w:pPr>
              <w:snapToGrid w:val="0"/>
              <w:jc w:val="center"/>
              <w:rPr>
                <w:color w:val="auto"/>
                <w:sz w:val="24"/>
              </w:rPr>
            </w:pPr>
            <w:r>
              <w:rPr>
                <w:color w:val="auto"/>
                <w:sz w:val="24"/>
              </w:rPr>
              <w:t>宁经管委行审备</w:t>
            </w:r>
            <w:r>
              <w:rPr>
                <w:rFonts w:hint="eastAsia"/>
                <w:color w:val="auto"/>
                <w:sz w:val="24"/>
              </w:rPr>
              <w:t>〔2022〕</w:t>
            </w:r>
            <w:r>
              <w:rPr>
                <w:color w:val="auto"/>
                <w:sz w:val="24"/>
              </w:rPr>
              <w:t>80号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1219" w:type="dxa"/>
            <w:gridSpan w:val="2"/>
            <w:tcMar>
              <w:top w:w="16" w:type="dxa"/>
              <w:left w:w="16" w:type="dxa"/>
              <w:right w:w="16" w:type="dxa"/>
            </w:tcMar>
            <w:vAlign w:val="center"/>
          </w:tcPr>
          <w:p>
            <w:pPr>
              <w:adjustRightInd w:val="0"/>
              <w:snapToGrid w:val="0"/>
              <w:jc w:val="center"/>
              <w:rPr>
                <w:color w:val="auto"/>
                <w:sz w:val="24"/>
              </w:rPr>
            </w:pPr>
            <w:r>
              <w:rPr>
                <w:color w:val="auto"/>
                <w:sz w:val="24"/>
              </w:rPr>
              <w:t>总投资</w:t>
            </w:r>
          </w:p>
          <w:p>
            <w:pPr>
              <w:adjustRightInd w:val="0"/>
              <w:snapToGrid w:val="0"/>
              <w:jc w:val="center"/>
              <w:rPr>
                <w:color w:val="auto"/>
                <w:sz w:val="24"/>
              </w:rPr>
            </w:pPr>
            <w:r>
              <w:rPr>
                <w:color w:val="auto"/>
                <w:sz w:val="24"/>
              </w:rPr>
              <w:t>（万元）</w:t>
            </w:r>
          </w:p>
        </w:tc>
        <w:tc>
          <w:tcPr>
            <w:tcW w:w="2800" w:type="dxa"/>
            <w:vAlign w:val="center"/>
          </w:tcPr>
          <w:p>
            <w:pPr>
              <w:adjustRightInd w:val="0"/>
              <w:snapToGrid w:val="0"/>
              <w:jc w:val="center"/>
              <w:rPr>
                <w:color w:val="auto"/>
                <w:sz w:val="24"/>
              </w:rPr>
            </w:pPr>
            <w:r>
              <w:rPr>
                <w:color w:val="auto"/>
                <w:sz w:val="24"/>
              </w:rPr>
              <w:t>2054.6</w:t>
            </w:r>
          </w:p>
        </w:tc>
        <w:tc>
          <w:tcPr>
            <w:tcW w:w="2104" w:type="dxa"/>
            <w:tcMar>
              <w:top w:w="16" w:type="dxa"/>
              <w:left w:w="16" w:type="dxa"/>
              <w:right w:w="16" w:type="dxa"/>
            </w:tcMar>
            <w:vAlign w:val="center"/>
          </w:tcPr>
          <w:p>
            <w:pPr>
              <w:adjustRightInd w:val="0"/>
              <w:snapToGrid w:val="0"/>
              <w:jc w:val="center"/>
              <w:rPr>
                <w:color w:val="auto"/>
                <w:sz w:val="24"/>
              </w:rPr>
            </w:pPr>
            <w:r>
              <w:rPr>
                <w:color w:val="auto"/>
                <w:sz w:val="24"/>
              </w:rPr>
              <w:t>环保投资（万元）</w:t>
            </w:r>
          </w:p>
        </w:tc>
        <w:tc>
          <w:tcPr>
            <w:tcW w:w="2747" w:type="dxa"/>
            <w:vAlign w:val="center"/>
          </w:tcPr>
          <w:p>
            <w:pPr>
              <w:adjustRightInd w:val="0"/>
              <w:snapToGrid w:val="0"/>
              <w:jc w:val="center"/>
              <w:rPr>
                <w:color w:val="auto"/>
                <w:sz w:val="24"/>
              </w:rPr>
            </w:pPr>
            <w:r>
              <w:rPr>
                <w:rFonts w:hint="eastAsia"/>
                <w:color w:val="auto"/>
                <w:sz w:val="24"/>
              </w:rPr>
              <w:t>274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1219" w:type="dxa"/>
            <w:gridSpan w:val="2"/>
            <w:tcMar>
              <w:top w:w="16" w:type="dxa"/>
              <w:left w:w="16" w:type="dxa"/>
              <w:right w:w="16" w:type="dxa"/>
            </w:tcMar>
            <w:vAlign w:val="center"/>
          </w:tcPr>
          <w:p>
            <w:pPr>
              <w:adjustRightInd w:val="0"/>
              <w:snapToGrid w:val="0"/>
              <w:jc w:val="center"/>
              <w:rPr>
                <w:color w:val="auto"/>
                <w:sz w:val="24"/>
              </w:rPr>
            </w:pPr>
            <w:r>
              <w:rPr>
                <w:color w:val="auto"/>
                <w:sz w:val="24"/>
              </w:rPr>
              <w:t>环保投资占比（%）</w:t>
            </w:r>
          </w:p>
        </w:tc>
        <w:tc>
          <w:tcPr>
            <w:tcW w:w="2800" w:type="dxa"/>
            <w:vAlign w:val="center"/>
          </w:tcPr>
          <w:p>
            <w:pPr>
              <w:adjustRightInd w:val="0"/>
              <w:snapToGrid w:val="0"/>
              <w:jc w:val="center"/>
              <w:rPr>
                <w:color w:val="auto"/>
                <w:sz w:val="24"/>
              </w:rPr>
            </w:pPr>
            <w:r>
              <w:rPr>
                <w:rFonts w:hint="eastAsia"/>
                <w:color w:val="auto"/>
                <w:sz w:val="24"/>
              </w:rPr>
              <w:t>13.3</w:t>
            </w:r>
          </w:p>
        </w:tc>
        <w:tc>
          <w:tcPr>
            <w:tcW w:w="2104" w:type="dxa"/>
            <w:tcMar>
              <w:top w:w="16" w:type="dxa"/>
              <w:left w:w="16" w:type="dxa"/>
              <w:right w:w="16" w:type="dxa"/>
            </w:tcMar>
            <w:vAlign w:val="center"/>
          </w:tcPr>
          <w:p>
            <w:pPr>
              <w:adjustRightInd w:val="0"/>
              <w:snapToGrid w:val="0"/>
              <w:jc w:val="center"/>
              <w:rPr>
                <w:color w:val="auto"/>
                <w:sz w:val="24"/>
              </w:rPr>
            </w:pPr>
            <w:r>
              <w:rPr>
                <w:color w:val="auto"/>
                <w:sz w:val="24"/>
              </w:rPr>
              <w:t>施工工期</w:t>
            </w:r>
          </w:p>
        </w:tc>
        <w:tc>
          <w:tcPr>
            <w:tcW w:w="2747" w:type="dxa"/>
            <w:vAlign w:val="center"/>
          </w:tcPr>
          <w:p>
            <w:pPr>
              <w:adjustRightInd w:val="0"/>
              <w:snapToGrid w:val="0"/>
              <w:jc w:val="center"/>
              <w:rPr>
                <w:color w:val="auto"/>
                <w:sz w:val="24"/>
              </w:rPr>
            </w:pPr>
            <w:r>
              <w:rPr>
                <w:color w:val="auto"/>
                <w:sz w:val="24"/>
              </w:rPr>
              <w:t>6个月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1219" w:type="dxa"/>
            <w:gridSpan w:val="2"/>
            <w:tcMar>
              <w:top w:w="16" w:type="dxa"/>
              <w:left w:w="16" w:type="dxa"/>
              <w:right w:w="16" w:type="dxa"/>
            </w:tcMar>
            <w:vAlign w:val="center"/>
          </w:tcPr>
          <w:p>
            <w:pPr>
              <w:adjustRightInd w:val="0"/>
              <w:snapToGrid w:val="0"/>
              <w:jc w:val="center"/>
              <w:rPr>
                <w:color w:val="auto"/>
                <w:sz w:val="24"/>
              </w:rPr>
            </w:pPr>
            <w:r>
              <w:rPr>
                <w:color w:val="auto"/>
                <w:sz w:val="24"/>
              </w:rPr>
              <w:t>是否开</w:t>
            </w:r>
          </w:p>
          <w:p>
            <w:pPr>
              <w:adjustRightInd w:val="0"/>
              <w:snapToGrid w:val="0"/>
              <w:jc w:val="center"/>
              <w:rPr>
                <w:color w:val="auto"/>
                <w:sz w:val="24"/>
              </w:rPr>
            </w:pPr>
            <w:r>
              <w:rPr>
                <w:color w:val="auto"/>
                <w:sz w:val="24"/>
              </w:rPr>
              <w:t>工建设</w:t>
            </w:r>
          </w:p>
        </w:tc>
        <w:tc>
          <w:tcPr>
            <w:tcW w:w="2800" w:type="dxa"/>
            <w:vAlign w:val="center"/>
          </w:tcPr>
          <w:p>
            <w:pPr>
              <w:adjustRightInd w:val="0"/>
              <w:snapToGrid w:val="0"/>
              <w:rPr>
                <w:color w:val="auto"/>
                <w:sz w:val="24"/>
              </w:rPr>
            </w:pPr>
            <w:r>
              <w:rPr>
                <w:color w:val="auto"/>
                <w:sz w:val="24"/>
              </w:rPr>
              <w:sym w:font="Wingdings 2" w:char="0052"/>
            </w:r>
            <w:r>
              <w:rPr>
                <w:color w:val="auto"/>
                <w:sz w:val="24"/>
              </w:rPr>
              <w:t>否</w:t>
            </w:r>
          </w:p>
          <w:p>
            <w:pPr>
              <w:adjustRightInd w:val="0"/>
              <w:snapToGrid w:val="0"/>
              <w:rPr>
                <w:color w:val="auto"/>
                <w:sz w:val="24"/>
              </w:rPr>
            </w:pPr>
            <w:r>
              <w:rPr>
                <w:color w:val="auto"/>
                <w:sz w:val="24"/>
              </w:rPr>
              <w:sym w:font="Wingdings 2" w:char="00A3"/>
            </w:r>
            <w:r>
              <w:rPr>
                <w:color w:val="auto"/>
                <w:sz w:val="24"/>
              </w:rPr>
              <w:t>是：</w:t>
            </w:r>
          </w:p>
        </w:tc>
        <w:tc>
          <w:tcPr>
            <w:tcW w:w="2104" w:type="dxa"/>
            <w:tcMar>
              <w:top w:w="16" w:type="dxa"/>
              <w:left w:w="16" w:type="dxa"/>
              <w:right w:w="16" w:type="dxa"/>
            </w:tcMar>
            <w:vAlign w:val="center"/>
          </w:tcPr>
          <w:p>
            <w:pPr>
              <w:adjustRightInd w:val="0"/>
              <w:snapToGrid w:val="0"/>
              <w:jc w:val="center"/>
              <w:rPr>
                <w:color w:val="auto"/>
                <w:spacing w:val="-6"/>
                <w:sz w:val="24"/>
              </w:rPr>
            </w:pPr>
            <w:r>
              <w:rPr>
                <w:color w:val="auto"/>
                <w:spacing w:val="-6"/>
                <w:sz w:val="24"/>
              </w:rPr>
              <w:t>用地（用海）</w:t>
            </w:r>
          </w:p>
          <w:p>
            <w:pPr>
              <w:adjustRightInd w:val="0"/>
              <w:snapToGrid w:val="0"/>
              <w:jc w:val="center"/>
              <w:rPr>
                <w:color w:val="auto"/>
                <w:sz w:val="24"/>
              </w:rPr>
            </w:pPr>
            <w:r>
              <w:rPr>
                <w:color w:val="auto"/>
                <w:spacing w:val="-6"/>
                <w:sz w:val="24"/>
              </w:rPr>
              <w:t>面积（m</w:t>
            </w:r>
            <w:r>
              <w:rPr>
                <w:color w:val="auto"/>
                <w:spacing w:val="-6"/>
                <w:sz w:val="24"/>
                <w:vertAlign w:val="superscript"/>
              </w:rPr>
              <w:t>2</w:t>
            </w:r>
            <w:r>
              <w:rPr>
                <w:color w:val="auto"/>
                <w:spacing w:val="-6"/>
                <w:sz w:val="24"/>
              </w:rPr>
              <w:t>）</w:t>
            </w:r>
          </w:p>
        </w:tc>
        <w:tc>
          <w:tcPr>
            <w:tcW w:w="2747" w:type="dxa"/>
            <w:vAlign w:val="center"/>
          </w:tcPr>
          <w:p>
            <w:pPr>
              <w:adjustRightInd w:val="0"/>
              <w:snapToGrid w:val="0"/>
              <w:jc w:val="center"/>
              <w:rPr>
                <w:color w:val="auto"/>
                <w:sz w:val="24"/>
              </w:rPr>
            </w:pPr>
            <w:r>
              <w:rPr>
                <w:color w:val="auto"/>
                <w:sz w:val="24"/>
              </w:rPr>
              <w:t>1400</w:t>
            </w:r>
            <w:r>
              <w:rPr>
                <w:rStyle w:val="43"/>
                <w:rFonts w:hint="eastAsia"/>
                <w:color w:val="auto"/>
                <w:kern w:val="0"/>
                <w:szCs w:val="20"/>
                <w:lang w:eastAsia="zh-CN"/>
              </w:rPr>
              <w:t>（</w:t>
            </w:r>
            <w:r>
              <w:rPr>
                <w:rFonts w:hint="eastAsia"/>
                <w:color w:val="auto"/>
                <w:sz w:val="24"/>
                <w:lang w:eastAsia="zh-CN"/>
              </w:rPr>
              <w:t>依托厂区车间）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108" w:type="dxa"/>
          </w:tblCellMar>
        </w:tblPrEx>
        <w:trPr>
          <w:trHeight w:val="20" w:hRule="atLeast"/>
          <w:jc w:val="center"/>
        </w:trPr>
        <w:tc>
          <w:tcPr>
            <w:tcW w:w="1219" w:type="dxa"/>
            <w:gridSpan w:val="2"/>
            <w:vAlign w:val="center"/>
          </w:tcPr>
          <w:p>
            <w:pPr>
              <w:autoSpaceDE w:val="0"/>
              <w:autoSpaceDN w:val="0"/>
              <w:adjustRightInd w:val="0"/>
              <w:snapToGrid w:val="0"/>
              <w:jc w:val="center"/>
              <w:rPr>
                <w:color w:val="auto"/>
                <w:kern w:val="0"/>
                <w:sz w:val="24"/>
              </w:rPr>
            </w:pPr>
            <w:r>
              <w:rPr>
                <w:color w:val="auto"/>
                <w:kern w:val="0"/>
                <w:sz w:val="24"/>
              </w:rPr>
              <w:t>专项评价</w:t>
            </w:r>
          </w:p>
          <w:p>
            <w:pPr>
              <w:autoSpaceDE w:val="0"/>
              <w:autoSpaceDN w:val="0"/>
              <w:adjustRightInd w:val="0"/>
              <w:snapToGrid w:val="0"/>
              <w:jc w:val="center"/>
              <w:rPr>
                <w:color w:val="auto"/>
                <w:kern w:val="0"/>
                <w:sz w:val="24"/>
              </w:rPr>
            </w:pPr>
            <w:r>
              <w:rPr>
                <w:color w:val="auto"/>
                <w:kern w:val="0"/>
                <w:sz w:val="24"/>
              </w:rPr>
              <w:t>设置情况</w:t>
            </w:r>
          </w:p>
        </w:tc>
        <w:tc>
          <w:tcPr>
            <w:tcW w:w="7651" w:type="dxa"/>
            <w:gridSpan w:val="3"/>
            <w:vAlign w:val="center"/>
          </w:tcPr>
          <w:p>
            <w:pPr>
              <w:spacing w:beforeLines="50" w:line="360" w:lineRule="auto"/>
              <w:ind w:firstLine="482"/>
              <w:rPr>
                <w:color w:val="auto"/>
                <w:kern w:val="0"/>
                <w:szCs w:val="21"/>
              </w:rPr>
            </w:pPr>
            <w:r>
              <w:rPr>
                <w:rFonts w:hint="eastAsia"/>
                <w:color w:val="auto"/>
                <w:sz w:val="24"/>
              </w:rP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108" w:type="dxa"/>
          </w:tblCellMar>
        </w:tblPrEx>
        <w:trPr>
          <w:trHeight w:val="20" w:hRule="atLeast"/>
          <w:jc w:val="center"/>
        </w:trPr>
        <w:tc>
          <w:tcPr>
            <w:tcW w:w="719" w:type="dxa"/>
            <w:vAlign w:val="center"/>
          </w:tcPr>
          <w:p>
            <w:pPr>
              <w:autoSpaceDE w:val="0"/>
              <w:autoSpaceDN w:val="0"/>
              <w:adjustRightInd w:val="0"/>
              <w:snapToGrid w:val="0"/>
              <w:jc w:val="center"/>
              <w:rPr>
                <w:kern w:val="0"/>
                <w:sz w:val="24"/>
              </w:rPr>
            </w:pPr>
            <w:r>
              <w:rPr>
                <w:sz w:val="24"/>
              </w:rPr>
              <w:t>规划情况</w:t>
            </w:r>
          </w:p>
        </w:tc>
        <w:tc>
          <w:tcPr>
            <w:tcW w:w="8151" w:type="dxa"/>
            <w:gridSpan w:val="4"/>
            <w:vAlign w:val="center"/>
          </w:tcPr>
          <w:p>
            <w:pPr>
              <w:widowControl/>
              <w:spacing w:beforeLines="50" w:line="360" w:lineRule="auto"/>
              <w:rPr>
                <w:color w:val="auto"/>
                <w:sz w:val="24"/>
              </w:rPr>
            </w:pPr>
            <w:r>
              <w:rPr>
                <w:color w:val="auto"/>
                <w:kern w:val="0"/>
                <w:sz w:val="24"/>
              </w:rPr>
              <w:t>（1）规划名称：《江宁经济技术开发区总体发展规划（2020-2035）》</w:t>
            </w:r>
          </w:p>
          <w:p>
            <w:pPr>
              <w:widowControl/>
              <w:spacing w:line="360" w:lineRule="auto"/>
              <w:rPr>
                <w:color w:val="auto"/>
                <w:sz w:val="24"/>
              </w:rPr>
            </w:pPr>
            <w:r>
              <w:rPr>
                <w:color w:val="auto"/>
                <w:kern w:val="0"/>
                <w:sz w:val="24"/>
              </w:rPr>
              <w:t>（2）审批机关：无</w:t>
            </w:r>
          </w:p>
          <w:p>
            <w:pPr>
              <w:widowControl/>
              <w:spacing w:line="360" w:lineRule="auto"/>
              <w:jc w:val="left"/>
              <w:rPr>
                <w:color w:val="auto"/>
              </w:rPr>
            </w:pPr>
            <w:r>
              <w:rPr>
                <w:color w:val="auto"/>
                <w:kern w:val="0"/>
                <w:sz w:val="24"/>
              </w:rPr>
              <w:t>（3）审批文件名称及文号：无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108" w:type="dxa"/>
          </w:tblCellMar>
        </w:tblPrEx>
        <w:trPr>
          <w:trHeight w:val="20" w:hRule="atLeast"/>
          <w:jc w:val="center"/>
        </w:trPr>
        <w:tc>
          <w:tcPr>
            <w:tcW w:w="719" w:type="dxa"/>
            <w:vAlign w:val="center"/>
          </w:tcPr>
          <w:p>
            <w:pPr>
              <w:adjustRightInd w:val="0"/>
              <w:snapToGrid w:val="0"/>
              <w:jc w:val="center"/>
              <w:rPr>
                <w:kern w:val="0"/>
                <w:sz w:val="24"/>
              </w:rPr>
            </w:pPr>
            <w:r>
              <w:rPr>
                <w:sz w:val="24"/>
              </w:rPr>
              <w:t>规划环境影响评价情况</w:t>
            </w:r>
          </w:p>
        </w:tc>
        <w:tc>
          <w:tcPr>
            <w:tcW w:w="8151" w:type="dxa"/>
            <w:gridSpan w:val="4"/>
            <w:vAlign w:val="center"/>
          </w:tcPr>
          <w:p>
            <w:pPr>
              <w:pStyle w:val="2"/>
              <w:rPr>
                <w:color w:val="auto"/>
              </w:rPr>
            </w:pPr>
          </w:p>
          <w:p>
            <w:pPr>
              <w:widowControl/>
              <w:spacing w:line="360" w:lineRule="auto"/>
              <w:jc w:val="left"/>
              <w:rPr>
                <w:color w:val="auto"/>
                <w:sz w:val="24"/>
              </w:rPr>
            </w:pPr>
            <w:r>
              <w:rPr>
                <w:color w:val="auto"/>
                <w:sz w:val="24"/>
              </w:rPr>
              <w:t>规划环境影响评价文件名称：《江宁经济技术开发区总体发展规划</w:t>
            </w:r>
          </w:p>
          <w:p>
            <w:pPr>
              <w:widowControl/>
              <w:spacing w:line="360" w:lineRule="auto"/>
              <w:jc w:val="left"/>
              <w:rPr>
                <w:color w:val="auto"/>
                <w:sz w:val="24"/>
              </w:rPr>
            </w:pPr>
            <w:r>
              <w:rPr>
                <w:color w:val="auto"/>
                <w:sz w:val="24"/>
              </w:rPr>
              <w:t>（2020-2035）环境影响报告书》</w:t>
            </w:r>
          </w:p>
          <w:p>
            <w:pPr>
              <w:widowControl/>
              <w:spacing w:line="360" w:lineRule="auto"/>
              <w:jc w:val="left"/>
              <w:rPr>
                <w:color w:val="auto"/>
                <w:sz w:val="24"/>
              </w:rPr>
            </w:pPr>
            <w:r>
              <w:rPr>
                <w:color w:val="auto"/>
                <w:sz w:val="24"/>
              </w:rPr>
              <w:t>审查机关：中华人民共和国生态环境部</w:t>
            </w:r>
          </w:p>
          <w:p>
            <w:pPr>
              <w:widowControl/>
              <w:spacing w:line="360" w:lineRule="auto"/>
              <w:jc w:val="left"/>
              <w:rPr>
                <w:color w:val="auto"/>
              </w:rPr>
            </w:pPr>
            <w:r>
              <w:rPr>
                <w:rFonts w:hint="eastAsia"/>
                <w:color w:val="auto"/>
                <w:sz w:val="24"/>
              </w:rPr>
              <w:t>审查文件文号：关于 《江宁经济技术开发区总体发展规划 (2020-2035)环境影响报告书》的审查意见（</w:t>
            </w:r>
            <w:r>
              <w:rPr>
                <w:color w:val="auto"/>
                <w:sz w:val="24"/>
              </w:rPr>
              <w:t>环审</w:t>
            </w:r>
            <w:r>
              <w:rPr>
                <w:rFonts w:hint="eastAsia"/>
                <w:color w:val="auto"/>
                <w:sz w:val="24"/>
              </w:rPr>
              <w:t>〔2022〕</w:t>
            </w:r>
            <w:r>
              <w:rPr>
                <w:color w:val="auto"/>
                <w:sz w:val="24"/>
              </w:rPr>
              <w:t>46号</w:t>
            </w:r>
            <w:r>
              <w:rPr>
                <w:rFonts w:hint="eastAsia"/>
                <w:color w:val="auto"/>
                <w:sz w:val="24"/>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108" w:type="dxa"/>
          </w:tblCellMar>
        </w:tblPrEx>
        <w:trPr>
          <w:trHeight w:val="20" w:hRule="atLeast"/>
          <w:jc w:val="center"/>
        </w:trPr>
        <w:tc>
          <w:tcPr>
            <w:tcW w:w="719" w:type="dxa"/>
            <w:vAlign w:val="center"/>
          </w:tcPr>
          <w:p>
            <w:pPr>
              <w:autoSpaceDE w:val="0"/>
              <w:autoSpaceDN w:val="0"/>
              <w:adjustRightInd w:val="0"/>
              <w:snapToGrid w:val="0"/>
              <w:jc w:val="center"/>
              <w:rPr>
                <w:kern w:val="0"/>
                <w:sz w:val="24"/>
              </w:rPr>
            </w:pPr>
            <w:r>
              <w:rPr>
                <w:kern w:val="0"/>
                <w:sz w:val="24"/>
              </w:rPr>
              <w:t>规划</w:t>
            </w:r>
          </w:p>
          <w:p>
            <w:pPr>
              <w:autoSpaceDE w:val="0"/>
              <w:autoSpaceDN w:val="0"/>
              <w:adjustRightInd w:val="0"/>
              <w:snapToGrid w:val="0"/>
              <w:jc w:val="center"/>
              <w:rPr>
                <w:kern w:val="0"/>
                <w:sz w:val="24"/>
              </w:rPr>
            </w:pPr>
            <w:r>
              <w:rPr>
                <w:kern w:val="0"/>
                <w:sz w:val="24"/>
              </w:rPr>
              <w:t>及规</w:t>
            </w:r>
          </w:p>
          <w:p>
            <w:pPr>
              <w:autoSpaceDE w:val="0"/>
              <w:autoSpaceDN w:val="0"/>
              <w:adjustRightInd w:val="0"/>
              <w:snapToGrid w:val="0"/>
              <w:jc w:val="center"/>
              <w:rPr>
                <w:kern w:val="0"/>
                <w:sz w:val="24"/>
              </w:rPr>
            </w:pPr>
            <w:r>
              <w:rPr>
                <w:kern w:val="0"/>
                <w:sz w:val="24"/>
              </w:rPr>
              <w:t>划环</w:t>
            </w:r>
          </w:p>
          <w:p>
            <w:pPr>
              <w:autoSpaceDE w:val="0"/>
              <w:autoSpaceDN w:val="0"/>
              <w:adjustRightInd w:val="0"/>
              <w:snapToGrid w:val="0"/>
              <w:jc w:val="center"/>
              <w:rPr>
                <w:kern w:val="0"/>
                <w:sz w:val="24"/>
              </w:rPr>
            </w:pPr>
            <w:r>
              <w:rPr>
                <w:kern w:val="0"/>
                <w:sz w:val="24"/>
              </w:rPr>
              <w:t>境影</w:t>
            </w:r>
          </w:p>
          <w:p>
            <w:pPr>
              <w:autoSpaceDE w:val="0"/>
              <w:autoSpaceDN w:val="0"/>
              <w:adjustRightInd w:val="0"/>
              <w:snapToGrid w:val="0"/>
              <w:jc w:val="center"/>
              <w:rPr>
                <w:kern w:val="0"/>
                <w:sz w:val="24"/>
              </w:rPr>
            </w:pPr>
            <w:r>
              <w:rPr>
                <w:kern w:val="0"/>
                <w:sz w:val="24"/>
              </w:rPr>
              <w:t>响评</w:t>
            </w:r>
          </w:p>
          <w:p>
            <w:pPr>
              <w:autoSpaceDE w:val="0"/>
              <w:autoSpaceDN w:val="0"/>
              <w:adjustRightInd w:val="0"/>
              <w:snapToGrid w:val="0"/>
              <w:jc w:val="center"/>
              <w:rPr>
                <w:kern w:val="0"/>
                <w:sz w:val="24"/>
              </w:rPr>
            </w:pPr>
            <w:r>
              <w:rPr>
                <w:kern w:val="0"/>
                <w:sz w:val="24"/>
              </w:rPr>
              <w:t>价符</w:t>
            </w:r>
          </w:p>
          <w:p>
            <w:pPr>
              <w:autoSpaceDE w:val="0"/>
              <w:autoSpaceDN w:val="0"/>
              <w:adjustRightInd w:val="0"/>
              <w:snapToGrid w:val="0"/>
              <w:jc w:val="center"/>
              <w:rPr>
                <w:kern w:val="0"/>
                <w:sz w:val="24"/>
              </w:rPr>
            </w:pPr>
            <w:r>
              <w:rPr>
                <w:kern w:val="0"/>
                <w:sz w:val="24"/>
              </w:rPr>
              <w:t>合性</w:t>
            </w:r>
          </w:p>
          <w:p>
            <w:pPr>
              <w:autoSpaceDE w:val="0"/>
              <w:autoSpaceDN w:val="0"/>
              <w:adjustRightInd w:val="0"/>
              <w:snapToGrid w:val="0"/>
              <w:jc w:val="center"/>
              <w:rPr>
                <w:kern w:val="0"/>
                <w:szCs w:val="21"/>
              </w:rPr>
            </w:pPr>
            <w:r>
              <w:rPr>
                <w:kern w:val="0"/>
                <w:sz w:val="24"/>
              </w:rPr>
              <w:t>分析</w:t>
            </w:r>
          </w:p>
        </w:tc>
        <w:tc>
          <w:tcPr>
            <w:tcW w:w="8151" w:type="dxa"/>
            <w:gridSpan w:val="4"/>
            <w:vAlign w:val="center"/>
          </w:tcPr>
          <w:p>
            <w:pPr>
              <w:widowControl/>
              <w:spacing w:beforeLines="50" w:line="360" w:lineRule="auto"/>
              <w:jc w:val="left"/>
              <w:rPr>
                <w:color w:val="auto"/>
              </w:rPr>
            </w:pPr>
            <w:r>
              <w:rPr>
                <w:b/>
                <w:bCs/>
                <w:color w:val="auto"/>
                <w:kern w:val="0"/>
                <w:sz w:val="24"/>
              </w:rPr>
              <w:t>1、与规划相符性</w:t>
            </w:r>
          </w:p>
          <w:p>
            <w:pPr>
              <w:widowControl/>
              <w:spacing w:line="360" w:lineRule="auto"/>
              <w:ind w:firstLine="480" w:firstLineChars="200"/>
              <w:rPr>
                <w:color w:val="auto"/>
                <w:sz w:val="24"/>
              </w:rPr>
            </w:pPr>
            <w:r>
              <w:rPr>
                <w:color w:val="auto"/>
                <w:kern w:val="0"/>
                <w:sz w:val="24"/>
              </w:rPr>
              <w:t>根据《江宁经济技术开发区总体发展规划（2020-2035）环境影响报告书》，制造业分布主要集中在三大片区，包括江南主城东山片区、淳化-湖熟片区、禄口空港片区三大片区；本项目位于江南主城东山片区，其鼓励发展的产业政策建议和禁止发展的产业清单如下表：</w:t>
            </w:r>
          </w:p>
          <w:p>
            <w:pPr>
              <w:widowControl/>
              <w:spacing w:beforeLines="50" w:line="360" w:lineRule="auto"/>
              <w:jc w:val="center"/>
              <w:rPr>
                <w:b/>
                <w:bCs/>
                <w:color w:val="auto"/>
                <w:kern w:val="0"/>
                <w:sz w:val="24"/>
              </w:rPr>
            </w:pPr>
            <w:r>
              <w:rPr>
                <w:b/>
                <w:bCs/>
                <w:color w:val="auto"/>
                <w:kern w:val="0"/>
                <w:sz w:val="24"/>
              </w:rPr>
              <w:t>表1-</w:t>
            </w:r>
            <w:r>
              <w:rPr>
                <w:rFonts w:hint="eastAsia"/>
                <w:b/>
                <w:bCs/>
                <w:color w:val="auto"/>
                <w:kern w:val="0"/>
                <w:sz w:val="24"/>
              </w:rPr>
              <w:t>1</w:t>
            </w:r>
            <w:r>
              <w:rPr>
                <w:b/>
                <w:bCs/>
                <w:color w:val="auto"/>
                <w:kern w:val="0"/>
                <w:sz w:val="24"/>
              </w:rPr>
              <w:t xml:space="preserve">  东山片区鼓励发展的产业建议和禁止发展的产业清单</w:t>
            </w:r>
          </w:p>
          <w:tbl>
            <w:tblPr>
              <w:tblStyle w:val="3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7"/>
              <w:gridCol w:w="1167"/>
              <w:gridCol w:w="4305"/>
              <w:gridCol w:w="1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trPr>
              <w:tc>
                <w:tcPr>
                  <w:tcW w:w="667" w:type="dxa"/>
                  <w:vAlign w:val="center"/>
                </w:tcPr>
                <w:p>
                  <w:pPr>
                    <w:widowControl/>
                    <w:jc w:val="center"/>
                    <w:rPr>
                      <w:color w:val="auto"/>
                      <w:szCs w:val="21"/>
                    </w:rPr>
                  </w:pPr>
                  <w:r>
                    <w:rPr>
                      <w:b/>
                      <w:bCs/>
                      <w:color w:val="auto"/>
                      <w:kern w:val="0"/>
                      <w:szCs w:val="21"/>
                    </w:rPr>
                    <w:t>产业</w:t>
                  </w:r>
                </w:p>
                <w:p>
                  <w:pPr>
                    <w:widowControl/>
                    <w:jc w:val="center"/>
                    <w:rPr>
                      <w:color w:val="auto"/>
                      <w:szCs w:val="21"/>
                    </w:rPr>
                  </w:pPr>
                  <w:r>
                    <w:rPr>
                      <w:b/>
                      <w:bCs/>
                      <w:color w:val="auto"/>
                      <w:kern w:val="0"/>
                      <w:szCs w:val="21"/>
                    </w:rPr>
                    <w:t>片区</w:t>
                  </w:r>
                </w:p>
                <w:p>
                  <w:pPr>
                    <w:widowControl/>
                    <w:jc w:val="center"/>
                    <w:rPr>
                      <w:color w:val="auto"/>
                      <w:szCs w:val="21"/>
                    </w:rPr>
                  </w:pPr>
                  <w:r>
                    <w:rPr>
                      <w:b/>
                      <w:bCs/>
                      <w:color w:val="auto"/>
                      <w:kern w:val="0"/>
                      <w:szCs w:val="21"/>
                    </w:rPr>
                    <w:t>名称</w:t>
                  </w:r>
                </w:p>
              </w:tc>
              <w:tc>
                <w:tcPr>
                  <w:tcW w:w="1167" w:type="dxa"/>
                  <w:vAlign w:val="center"/>
                </w:tcPr>
                <w:p>
                  <w:pPr>
                    <w:widowControl/>
                    <w:jc w:val="center"/>
                    <w:rPr>
                      <w:color w:val="auto"/>
                      <w:szCs w:val="21"/>
                    </w:rPr>
                  </w:pPr>
                  <w:r>
                    <w:rPr>
                      <w:b/>
                      <w:bCs/>
                      <w:color w:val="auto"/>
                      <w:kern w:val="0"/>
                      <w:szCs w:val="21"/>
                    </w:rPr>
                    <w:t>主导产业发展方向</w:t>
                  </w:r>
                </w:p>
              </w:tc>
              <w:tc>
                <w:tcPr>
                  <w:tcW w:w="4305" w:type="dxa"/>
                  <w:vAlign w:val="center"/>
                </w:tcPr>
                <w:p>
                  <w:pPr>
                    <w:widowControl/>
                    <w:jc w:val="center"/>
                    <w:rPr>
                      <w:color w:val="auto"/>
                      <w:szCs w:val="21"/>
                    </w:rPr>
                  </w:pPr>
                  <w:r>
                    <w:rPr>
                      <w:b/>
                      <w:bCs/>
                      <w:color w:val="auto"/>
                      <w:kern w:val="0"/>
                      <w:szCs w:val="21"/>
                    </w:rPr>
                    <w:t>重点发展</w:t>
                  </w:r>
                </w:p>
              </w:tc>
              <w:tc>
                <w:tcPr>
                  <w:tcW w:w="1253" w:type="dxa"/>
                  <w:vAlign w:val="center"/>
                </w:tcPr>
                <w:p>
                  <w:pPr>
                    <w:widowControl/>
                    <w:jc w:val="center"/>
                    <w:rPr>
                      <w:color w:val="auto"/>
                      <w:szCs w:val="21"/>
                    </w:rPr>
                  </w:pPr>
                  <w:r>
                    <w:rPr>
                      <w:b/>
                      <w:bCs/>
                      <w:color w:val="auto"/>
                      <w:kern w:val="0"/>
                      <w:szCs w:val="21"/>
                    </w:rPr>
                    <w:t>限制、禁止发展产业清单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67" w:type="dxa"/>
                  <w:vAlign w:val="center"/>
                </w:tcPr>
                <w:p>
                  <w:pPr>
                    <w:widowControl/>
                    <w:jc w:val="center"/>
                    <w:rPr>
                      <w:color w:val="auto"/>
                      <w:szCs w:val="21"/>
                    </w:rPr>
                  </w:pPr>
                  <w:r>
                    <w:rPr>
                      <w:color w:val="auto"/>
                      <w:kern w:val="0"/>
                      <w:szCs w:val="21"/>
                    </w:rPr>
                    <w:t>江南</w:t>
                  </w:r>
                </w:p>
                <w:p>
                  <w:pPr>
                    <w:widowControl/>
                    <w:jc w:val="center"/>
                    <w:rPr>
                      <w:color w:val="auto"/>
                      <w:szCs w:val="21"/>
                    </w:rPr>
                  </w:pPr>
                  <w:r>
                    <w:rPr>
                      <w:color w:val="auto"/>
                      <w:kern w:val="0"/>
                      <w:szCs w:val="21"/>
                    </w:rPr>
                    <w:t>主城</w:t>
                  </w:r>
                </w:p>
                <w:p>
                  <w:pPr>
                    <w:widowControl/>
                    <w:jc w:val="center"/>
                    <w:rPr>
                      <w:color w:val="auto"/>
                      <w:szCs w:val="21"/>
                    </w:rPr>
                  </w:pPr>
                  <w:r>
                    <w:rPr>
                      <w:color w:val="auto"/>
                      <w:kern w:val="0"/>
                      <w:szCs w:val="21"/>
                    </w:rPr>
                    <w:t>东山</w:t>
                  </w:r>
                </w:p>
                <w:p>
                  <w:pPr>
                    <w:widowControl/>
                    <w:jc w:val="center"/>
                    <w:rPr>
                      <w:color w:val="auto"/>
                      <w:szCs w:val="21"/>
                    </w:rPr>
                  </w:pPr>
                  <w:r>
                    <w:rPr>
                      <w:color w:val="auto"/>
                      <w:kern w:val="0"/>
                      <w:szCs w:val="21"/>
                    </w:rPr>
                    <w:t>片区</w:t>
                  </w:r>
                </w:p>
                <w:p>
                  <w:pPr>
                    <w:pStyle w:val="13"/>
                    <w:spacing w:before="0" w:after="0" w:line="240" w:lineRule="auto"/>
                    <w:ind w:right="0"/>
                    <w:jc w:val="center"/>
                    <w:rPr>
                      <w:color w:val="auto"/>
                      <w:sz w:val="21"/>
                      <w:szCs w:val="21"/>
                    </w:rPr>
                  </w:pPr>
                </w:p>
              </w:tc>
              <w:tc>
                <w:tcPr>
                  <w:tcW w:w="1167" w:type="dxa"/>
                  <w:vAlign w:val="center"/>
                </w:tcPr>
                <w:p>
                  <w:pPr>
                    <w:widowControl/>
                    <w:jc w:val="center"/>
                    <w:rPr>
                      <w:color w:val="auto"/>
                      <w:szCs w:val="21"/>
                    </w:rPr>
                  </w:pPr>
                  <w:r>
                    <w:rPr>
                      <w:color w:val="auto"/>
                      <w:kern w:val="0"/>
                      <w:szCs w:val="21"/>
                    </w:rPr>
                    <w:t>智能电网、绿色智能汽车产业、新一代信</w:t>
                  </w:r>
                </w:p>
                <w:p>
                  <w:pPr>
                    <w:widowControl/>
                    <w:jc w:val="center"/>
                    <w:rPr>
                      <w:color w:val="auto"/>
                      <w:szCs w:val="21"/>
                    </w:rPr>
                  </w:pPr>
                  <w:r>
                    <w:rPr>
                      <w:color w:val="auto"/>
                      <w:kern w:val="0"/>
                      <w:szCs w:val="21"/>
                    </w:rPr>
                    <w:t>息技术、智能制造装备产业、轨</w:t>
                  </w:r>
                </w:p>
                <w:p>
                  <w:pPr>
                    <w:widowControl/>
                    <w:jc w:val="center"/>
                    <w:rPr>
                      <w:color w:val="auto"/>
                      <w:szCs w:val="21"/>
                    </w:rPr>
                  </w:pPr>
                  <w:r>
                    <w:rPr>
                      <w:color w:val="auto"/>
                      <w:kern w:val="0"/>
                      <w:szCs w:val="21"/>
                    </w:rPr>
                    <w:t>道交通产业等</w:t>
                  </w:r>
                </w:p>
              </w:tc>
              <w:tc>
                <w:tcPr>
                  <w:tcW w:w="4305" w:type="dxa"/>
                </w:tcPr>
                <w:p>
                  <w:pPr>
                    <w:widowControl/>
                    <w:jc w:val="left"/>
                    <w:rPr>
                      <w:color w:val="auto"/>
                      <w:szCs w:val="21"/>
                    </w:rPr>
                  </w:pPr>
                  <w:r>
                    <w:rPr>
                      <w:b/>
                      <w:bCs/>
                      <w:color w:val="auto"/>
                      <w:kern w:val="0"/>
                      <w:szCs w:val="21"/>
                    </w:rPr>
                    <w:t>智能电网：</w:t>
                  </w:r>
                  <w:r>
                    <w:rPr>
                      <w:color w:val="auto"/>
                      <w:kern w:val="0"/>
                      <w:szCs w:val="21"/>
                    </w:rPr>
                    <w:t>重点发展智能调度系统、储能系统等领域。巩固提升继电保护、配网自动化、信息系统集成等产品优势；鼓励突破电力电子关键基础元器件及先进复合材料和高端芯片技术、交直流混合大电网安全运行系统、大规模可再生能源接入电网控制技术、微电网协同控制及电网实时动态监控技术、配电设备一二次融合技术，变电设备在线监测一体化和自诊断技术等关键技术。</w:t>
                  </w:r>
                </w:p>
              </w:tc>
              <w:tc>
                <w:tcPr>
                  <w:tcW w:w="1253" w:type="dxa"/>
                  <w:vAlign w:val="center"/>
                </w:tcPr>
                <w:p>
                  <w:pPr>
                    <w:widowControl/>
                    <w:rPr>
                      <w:color w:val="auto"/>
                      <w:szCs w:val="21"/>
                    </w:rPr>
                  </w:pPr>
                  <w:r>
                    <w:rPr>
                      <w:b/>
                      <w:bCs/>
                      <w:color w:val="auto"/>
                      <w:kern w:val="0"/>
                      <w:szCs w:val="21"/>
                    </w:rPr>
                    <w:t>（1）智能电网产业</w:t>
                  </w:r>
                  <w:r>
                    <w:rPr>
                      <w:color w:val="auto"/>
                      <w:kern w:val="0"/>
                      <w:szCs w:val="21"/>
                    </w:rPr>
                    <w:t>：禁止含铅焊接工艺项目。</w:t>
                  </w:r>
                </w:p>
                <w:p>
                  <w:pPr>
                    <w:pStyle w:val="13"/>
                    <w:spacing w:before="0" w:after="0" w:line="240" w:lineRule="auto"/>
                    <w:ind w:right="0"/>
                    <w:rPr>
                      <w:color w:val="auto"/>
                      <w:sz w:val="21"/>
                      <w:szCs w:val="21"/>
                    </w:rPr>
                  </w:pPr>
                </w:p>
              </w:tc>
            </w:tr>
          </w:tbl>
          <w:p>
            <w:pPr>
              <w:spacing w:beforeLines="50" w:line="360" w:lineRule="auto"/>
              <w:ind w:firstLine="516"/>
              <w:rPr>
                <w:color w:val="auto"/>
                <w:sz w:val="24"/>
              </w:rPr>
            </w:pPr>
            <w:r>
              <w:rPr>
                <w:color w:val="auto"/>
                <w:sz w:val="24"/>
              </w:rPr>
              <w:t>本项目为计算机、通信和其他电子设备制造业C3971电子真空器件制造，位于东山片区，属于电子关键基础元器件，符合规划环评产业定位。</w:t>
            </w:r>
          </w:p>
          <w:p>
            <w:pPr>
              <w:spacing w:line="360" w:lineRule="auto"/>
              <w:jc w:val="left"/>
              <w:rPr>
                <w:b/>
                <w:bCs/>
                <w:color w:val="auto"/>
                <w:sz w:val="24"/>
              </w:rPr>
            </w:pPr>
            <w:r>
              <w:rPr>
                <w:b/>
                <w:bCs/>
                <w:color w:val="auto"/>
                <w:sz w:val="24"/>
              </w:rPr>
              <w:t>2、与《江宁经济技术开发区总体发展规划（2020-2035）环境影响报告书》审查意见（环审[2022]46号）符合性</w:t>
            </w:r>
          </w:p>
          <w:p>
            <w:pPr>
              <w:pStyle w:val="3"/>
              <w:spacing w:line="360" w:lineRule="auto"/>
              <w:rPr>
                <w:b/>
                <w:bCs/>
                <w:color w:val="auto"/>
                <w:sz w:val="24"/>
                <w:szCs w:val="24"/>
              </w:rPr>
            </w:pPr>
            <w:r>
              <w:rPr>
                <w:b/>
                <w:bCs/>
                <w:color w:val="auto"/>
                <w:sz w:val="24"/>
                <w:szCs w:val="24"/>
              </w:rPr>
              <w:t>表1-</w:t>
            </w:r>
            <w:r>
              <w:rPr>
                <w:rFonts w:hint="eastAsia"/>
                <w:b/>
                <w:bCs/>
                <w:color w:val="auto"/>
                <w:sz w:val="24"/>
                <w:szCs w:val="24"/>
              </w:rPr>
              <w:t>2</w:t>
            </w:r>
            <w:r>
              <w:rPr>
                <w:b/>
                <w:bCs/>
                <w:color w:val="auto"/>
                <w:sz w:val="24"/>
                <w:szCs w:val="24"/>
              </w:rPr>
              <w:t xml:space="preserve">  与规划环评审查意见相符性分析表</w:t>
            </w:r>
          </w:p>
          <w:tbl>
            <w:tblPr>
              <w:tblStyle w:val="3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06"/>
              <w:gridCol w:w="32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91" w:hRule="atLeast"/>
                <w:jc w:val="center"/>
              </w:trPr>
              <w:tc>
                <w:tcPr>
                  <w:tcW w:w="2993" w:type="pct"/>
                  <w:vAlign w:val="center"/>
                </w:tcPr>
                <w:p>
                  <w:pPr>
                    <w:jc w:val="center"/>
                    <w:rPr>
                      <w:color w:val="auto"/>
                      <w:szCs w:val="21"/>
                    </w:rPr>
                  </w:pPr>
                  <w:r>
                    <w:rPr>
                      <w:color w:val="auto"/>
                      <w:szCs w:val="21"/>
                    </w:rPr>
                    <w:t>《江宁经济技术开发区总体发展规划（2020-2035）环境影响报告书》及批复要求</w:t>
                  </w:r>
                </w:p>
              </w:tc>
              <w:tc>
                <w:tcPr>
                  <w:tcW w:w="2006" w:type="pct"/>
                  <w:vAlign w:val="center"/>
                </w:tcPr>
                <w:p>
                  <w:pPr>
                    <w:jc w:val="center"/>
                    <w:rPr>
                      <w:color w:val="auto"/>
                      <w:szCs w:val="21"/>
                    </w:rPr>
                  </w:pPr>
                  <w:r>
                    <w:rPr>
                      <w:color w:val="auto"/>
                      <w:szCs w:val="21"/>
                    </w:rPr>
                    <w:t>本项目符合情况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 w:hRule="atLeast"/>
                <w:jc w:val="center"/>
              </w:trPr>
              <w:tc>
                <w:tcPr>
                  <w:tcW w:w="5000" w:type="pct"/>
                  <w:gridSpan w:val="2"/>
                  <w:vAlign w:val="center"/>
                </w:tcPr>
                <w:p>
                  <w:pPr>
                    <w:rPr>
                      <w:color w:val="auto"/>
                      <w:szCs w:val="21"/>
                    </w:rPr>
                  </w:pPr>
                  <w:r>
                    <w:rPr>
                      <w:color w:val="auto"/>
                      <w:szCs w:val="22"/>
                    </w:rPr>
                    <w:t>三、对《规划》优化调整和实施过程中的意见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993" w:type="pct"/>
                  <w:vAlign w:val="center"/>
                </w:tcPr>
                <w:p>
                  <w:pPr>
                    <w:rPr>
                      <w:color w:val="auto"/>
                      <w:szCs w:val="21"/>
                    </w:rPr>
                  </w:pPr>
                  <w:r>
                    <w:rPr>
                      <w:color w:val="auto"/>
                      <w:szCs w:val="22"/>
                    </w:rPr>
                    <w:t>(一)坚持绿色发展和协调发展理念</w:t>
                  </w:r>
                  <w:r>
                    <w:rPr>
                      <w:rFonts w:hint="eastAsia"/>
                      <w:color w:val="auto"/>
                      <w:szCs w:val="22"/>
                    </w:rPr>
                    <w:t>，</w:t>
                  </w:r>
                  <w:r>
                    <w:rPr>
                      <w:color w:val="auto"/>
                      <w:szCs w:val="22"/>
                    </w:rPr>
                    <w:t>加强《规划》引导。落实国家、区域发展战略，坚持生态优先、集约高效,以生态环境质量改善为核心，做好与各级国土空间规划和“三线一单”(生态保护红线、环境质量底线、资源利用上线、生态环境准入清单)生态环境分区管控体系的协调衔接，进一步优化《规划》布局、产业定位和发展规模。</w:t>
                  </w:r>
                </w:p>
              </w:tc>
              <w:tc>
                <w:tcPr>
                  <w:tcW w:w="2006" w:type="pct"/>
                  <w:vAlign w:val="center"/>
                </w:tcPr>
                <w:p>
                  <w:pPr>
                    <w:rPr>
                      <w:color w:val="auto"/>
                      <w:szCs w:val="21"/>
                    </w:rPr>
                  </w:pPr>
                  <w:r>
                    <w:rPr>
                      <w:color w:val="auto"/>
                      <w:szCs w:val="22"/>
                    </w:rPr>
                    <w:t>本项目符合</w:t>
                  </w:r>
                  <w:r>
                    <w:rPr>
                      <w:rFonts w:hint="eastAsia"/>
                      <w:color w:val="auto"/>
                      <w:szCs w:val="22"/>
                    </w:rPr>
                    <w:t>国土空间规划、</w:t>
                  </w:r>
                  <w:r>
                    <w:rPr>
                      <w:color w:val="auto"/>
                      <w:szCs w:val="22"/>
                    </w:rPr>
                    <w:t>“三线一单”</w:t>
                  </w:r>
                  <w:r>
                    <w:rPr>
                      <w:rFonts w:hint="eastAsia"/>
                      <w:color w:val="auto"/>
                      <w:szCs w:val="22"/>
                    </w:rPr>
                    <w:t>、</w:t>
                  </w:r>
                  <w:r>
                    <w:rPr>
                      <w:color w:val="auto"/>
                      <w:szCs w:val="22"/>
                    </w:rPr>
                    <w:t>园区产业定位。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993" w:type="pct"/>
                  <w:vAlign w:val="center"/>
                </w:tcPr>
                <w:p>
                  <w:pPr>
                    <w:rPr>
                      <w:color w:val="auto"/>
                      <w:szCs w:val="21"/>
                    </w:rPr>
                  </w:pPr>
                  <w:r>
                    <w:rPr>
                      <w:color w:val="auto"/>
                      <w:szCs w:val="22"/>
                    </w:rPr>
                    <w:t>(二)根据国家及地方碳达峰行动方案和节能减排工作要求,推进经开</w:t>
                  </w:r>
                  <w:r>
                    <w:rPr>
                      <w:rFonts w:hint="eastAsia"/>
                      <w:color w:val="auto"/>
                      <w:szCs w:val="22"/>
                    </w:rPr>
                    <w:t>发</w:t>
                  </w:r>
                  <w:r>
                    <w:rPr>
                      <w:color w:val="auto"/>
                      <w:szCs w:val="22"/>
                    </w:rPr>
                    <w:t>区绿色低碳转型发展。优化产业结构、能源结构、交通运输结构等规划内容,促进实现减污降碳协同增效目标。</w:t>
                  </w:r>
                </w:p>
              </w:tc>
              <w:tc>
                <w:tcPr>
                  <w:tcW w:w="2006" w:type="pct"/>
                  <w:vAlign w:val="center"/>
                </w:tcPr>
                <w:p>
                  <w:pPr>
                    <w:rPr>
                      <w:color w:val="auto"/>
                      <w:szCs w:val="21"/>
                    </w:rPr>
                  </w:pPr>
                  <w:r>
                    <w:rPr>
                      <w:color w:val="auto"/>
                      <w:szCs w:val="22"/>
                    </w:rPr>
                    <w:t>企业积极推进节能减排工作，开展清洁生产工作。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993" w:type="pct"/>
                  <w:vAlign w:val="center"/>
                </w:tcPr>
                <w:p>
                  <w:pPr>
                    <w:rPr>
                      <w:color w:val="auto"/>
                      <w:szCs w:val="21"/>
                    </w:rPr>
                  </w:pPr>
                  <w:r>
                    <w:rPr>
                      <w:color w:val="auto"/>
                      <w:szCs w:val="22"/>
                    </w:rPr>
                    <w:t>(三)着力推动经开区产业结构调整和转型升级。从区域环境质量改善和环境风险防范角度，统筹优化备片区产业定位和发展规模；优化东山片区产业布局及用地布局，限制上海大众、卫岗乳业发展规模,推进产业升级和环保措施提标改造。加快推进实施“优二进三”试点片区企业，以及百家湖、九龙湖片区用地效率低企业搬迁或转型升级工作，加快落实南京美星鹏科技实业有限公司、南京海欣丽宁长毛绒有限公司等企业的相关管控要求,促进经开区产业转型升级与生态环境保护、人居环境安全相协调。</w:t>
                  </w:r>
                </w:p>
              </w:tc>
              <w:tc>
                <w:tcPr>
                  <w:tcW w:w="2006" w:type="pct"/>
                  <w:vAlign w:val="center"/>
                </w:tcPr>
                <w:p>
                  <w:pPr>
                    <w:rPr>
                      <w:color w:val="auto"/>
                      <w:szCs w:val="22"/>
                    </w:rPr>
                  </w:pPr>
                  <w:r>
                    <w:rPr>
                      <w:color w:val="auto"/>
                      <w:szCs w:val="22"/>
                    </w:rPr>
                    <w:t>C3971电子真空器件制造，位于东山片区，属于智能电网中电子关键基础元器件，符合规划环评产业定位。</w:t>
                  </w:r>
                </w:p>
                <w:p>
                  <w:pPr>
                    <w:widowControl/>
                    <w:jc w:val="left"/>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993" w:type="pct"/>
                  <w:vAlign w:val="center"/>
                </w:tcPr>
                <w:p>
                  <w:pPr>
                    <w:rPr>
                      <w:color w:val="auto"/>
                      <w:szCs w:val="21"/>
                    </w:rPr>
                  </w:pPr>
                  <w:r>
                    <w:rPr>
                      <w:color w:val="auto"/>
                      <w:szCs w:val="22"/>
                    </w:rPr>
                    <w:t>(四)严格空间管控，优化空间布局。做好《规划》控制和生态隔离带建设，加强对经开区内森林公园、地质公园等生态敏感区的保护，严禁不符合管控要求的各类开发建设活动。取消南京大塘金省级森林公园、牛首-祖堂风景名胜区、江宁方山省级森林公园和汤山一方山国家地质公园等生态保护红线和生态空间管控区域内不符合管控要求的规划建设安排。</w:t>
                  </w:r>
                </w:p>
              </w:tc>
              <w:tc>
                <w:tcPr>
                  <w:tcW w:w="2006" w:type="pct"/>
                  <w:vAlign w:val="center"/>
                </w:tcPr>
                <w:p>
                  <w:pPr>
                    <w:pStyle w:val="12"/>
                    <w:rPr>
                      <w:color w:val="auto"/>
                      <w:sz w:val="21"/>
                      <w:szCs w:val="21"/>
                    </w:rPr>
                  </w:pPr>
                  <w:r>
                    <w:rPr>
                      <w:color w:val="auto"/>
                      <w:sz w:val="21"/>
                      <w:szCs w:val="21"/>
                    </w:rPr>
                    <w:t>本项目不在生态空间管控区域和生态红线范围内，距离最近的生态空间管控区域牛首-祖堂风景名胜区1.7km。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993" w:type="pct"/>
                  <w:vAlign w:val="center"/>
                </w:tcPr>
                <w:p>
                  <w:pPr>
                    <w:rPr>
                      <w:color w:val="auto"/>
                      <w:szCs w:val="21"/>
                    </w:rPr>
                  </w:pPr>
                  <w:r>
                    <w:rPr>
                      <w:color w:val="auto"/>
                      <w:szCs w:val="22"/>
                    </w:rPr>
                    <w:t>(五)严守环境质量底线，强化污染物排放总量管控。根据国家和江苏省关于大气、水、土壤污染防治和江苏省、南京市“三线一单”生态环境分区管控相关要求,制定经开区污染减排和环境综合治理方案，采取有效措施减少主要污染物和特征污染物的排放量，推进挥发性有机物和氮氧化物协同减排，确保区域生态环境质量持续改善。</w:t>
                  </w:r>
                </w:p>
              </w:tc>
              <w:tc>
                <w:tcPr>
                  <w:tcW w:w="2006" w:type="pct"/>
                  <w:vAlign w:val="center"/>
                </w:tcPr>
                <w:p>
                  <w:pPr>
                    <w:rPr>
                      <w:color w:val="auto"/>
                      <w:szCs w:val="22"/>
                    </w:rPr>
                  </w:pPr>
                  <w:r>
                    <w:rPr>
                      <w:color w:val="auto"/>
                      <w:szCs w:val="22"/>
                    </w:rPr>
                    <w:t>本项目符合“三线一单”要求，项目建成后污染物长期稳定达标排放，加强污染防治措施维护管理，总量按江宁区要求落实。</w:t>
                  </w:r>
                </w:p>
                <w:p>
                  <w:pP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2993" w:type="pct"/>
                  <w:vAlign w:val="center"/>
                </w:tcPr>
                <w:p>
                  <w:pPr>
                    <w:rPr>
                      <w:color w:val="auto"/>
                      <w:szCs w:val="21"/>
                    </w:rPr>
                  </w:pPr>
                  <w:r>
                    <w:rPr>
                      <w:color w:val="auto"/>
                      <w:szCs w:val="22"/>
                    </w:rPr>
                    <w:t>(六)严格入区项目生态环境准入，推动高质量发展。在衔接区域“三线一单”生态环境分区管控要求的前提下，落实《报告书》提出的各片区生态环境准入要求，禁止与主导产业不相关且排污负荷大的项目入区。执行最严格的行业废水、废气排放控制要求，引进项目的生产工艺和设备、资源能源利用效率、污染治理等均需达到同行业国际先进水平,现有企业不断提高清洁生产和污染治理水平，持续降低污染物排放量。</w:t>
                  </w:r>
                </w:p>
              </w:tc>
              <w:tc>
                <w:tcPr>
                  <w:tcW w:w="2006" w:type="pct"/>
                  <w:vAlign w:val="center"/>
                </w:tcPr>
                <w:p>
                  <w:pPr>
                    <w:rPr>
                      <w:color w:val="auto"/>
                      <w:szCs w:val="22"/>
                    </w:rPr>
                  </w:pPr>
                  <w:r>
                    <w:rPr>
                      <w:color w:val="auto"/>
                      <w:szCs w:val="22"/>
                    </w:rPr>
                    <w:t>本项目符合生态环境准入条件，生产废水，废气</w:t>
                  </w:r>
                  <w:r>
                    <w:rPr>
                      <w:rFonts w:hint="eastAsia"/>
                      <w:color w:val="auto"/>
                      <w:szCs w:val="21"/>
                      <w:shd w:val="clear" w:color="auto" w:fill="FFFFFF"/>
                    </w:rPr>
                    <w:t>达标排放</w:t>
                  </w:r>
                  <w:r>
                    <w:rPr>
                      <w:color w:val="auto"/>
                      <w:szCs w:val="21"/>
                    </w:rPr>
                    <w:t>，</w:t>
                  </w:r>
                  <w:r>
                    <w:rPr>
                      <w:rFonts w:hint="eastAsia"/>
                      <w:color w:val="auto"/>
                      <w:szCs w:val="21"/>
                    </w:rPr>
                    <w:t>积极</w:t>
                  </w:r>
                  <w:r>
                    <w:rPr>
                      <w:color w:val="auto"/>
                      <w:szCs w:val="21"/>
                    </w:rPr>
                    <w:t>开展清洁生产审核工作，提高污染物治理水平，不断降低污染物排放总量。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2993" w:type="pct"/>
                  <w:vAlign w:val="center"/>
                </w:tcPr>
                <w:p>
                  <w:pPr>
                    <w:rPr>
                      <w:color w:val="auto"/>
                      <w:szCs w:val="21"/>
                    </w:rPr>
                  </w:pPr>
                  <w:r>
                    <w:rPr>
                      <w:color w:val="auto"/>
                      <w:szCs w:val="22"/>
                    </w:rPr>
                    <w:t>(七)加强环境基础设施建设。加快推进经开区污水处理厂、南区污水处理厂扩建及经开区所依托的污水处理厂尾水提标改造，加快污水管网建设，提高经开区污水收集率；完善集中供热体系，加快推进淘汰企业自备锅炉。一般工业固废、危险废物应依法依规收集、妥善安全处理处置。</w:t>
                  </w:r>
                </w:p>
              </w:tc>
              <w:tc>
                <w:tcPr>
                  <w:tcW w:w="2006" w:type="pct"/>
                  <w:vAlign w:val="center"/>
                </w:tcPr>
                <w:p>
                  <w:pPr>
                    <w:rPr>
                      <w:color w:val="auto"/>
                      <w:szCs w:val="21"/>
                    </w:rPr>
                  </w:pPr>
                  <w:r>
                    <w:rPr>
                      <w:color w:val="auto"/>
                      <w:szCs w:val="22"/>
                    </w:rPr>
                    <w:t>本项目生产废水达标排放，满足</w:t>
                  </w:r>
                  <w:r>
                    <w:rPr>
                      <w:color w:val="auto"/>
                      <w:sz w:val="21"/>
                      <w:szCs w:val="21"/>
                    </w:rPr>
                    <w:t>江宁经济技术</w:t>
                  </w:r>
                  <w:r>
                    <w:rPr>
                      <w:rFonts w:hint="eastAsia"/>
                      <w:color w:val="auto"/>
                      <w:szCs w:val="22"/>
                    </w:rPr>
                    <w:t>开发区污水处理厂</w:t>
                  </w:r>
                  <w:r>
                    <w:rPr>
                      <w:color w:val="auto"/>
                      <w:szCs w:val="22"/>
                    </w:rPr>
                    <w:t>接管要求，一般工业固废、危险废物依法依规收集、妥善安全处理处置。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2993" w:type="pct"/>
                  <w:vAlign w:val="center"/>
                </w:tcPr>
                <w:p>
                  <w:pPr>
                    <w:rPr>
                      <w:color w:val="auto"/>
                      <w:szCs w:val="21"/>
                    </w:rPr>
                  </w:pPr>
                  <w:r>
                    <w:rPr>
                      <w:color w:val="auto"/>
                      <w:szCs w:val="22"/>
                    </w:rPr>
                    <w:t>(八)健全完善环境监测体系，强化环境风险防范。完善包括环境空气、地表水、地下水、土壤、底泥等环境要素的监测体系，根据监测结果适时优化《规划》；强化区域环境风险防范体系，建立应急响应联动机制。提升环境风险防控和应急响应能力，保障区域环境安全。</w:t>
                  </w:r>
                </w:p>
              </w:tc>
              <w:tc>
                <w:tcPr>
                  <w:tcW w:w="2006" w:type="pct"/>
                  <w:vAlign w:val="center"/>
                </w:tcPr>
                <w:p>
                  <w:pPr>
                    <w:rPr>
                      <w:color w:val="auto"/>
                      <w:szCs w:val="21"/>
                    </w:rPr>
                  </w:pPr>
                  <w:r>
                    <w:rPr>
                      <w:color w:val="auto"/>
                      <w:szCs w:val="22"/>
                    </w:rPr>
                    <w:t>企业落实自行监测方案，对废气、噪声进行监测；制定环境风险预案，加强风险管控，建立应急响应联动机制，提升环境风险防控和应急响应能力。</w:t>
                  </w:r>
                </w:p>
              </w:tc>
            </w:tr>
          </w:tbl>
          <w:p>
            <w:pPr>
              <w:widowControl/>
              <w:spacing w:beforeLines="50" w:line="360" w:lineRule="auto"/>
              <w:ind w:firstLine="480" w:firstLineChars="200"/>
              <w:rPr>
                <w:color w:val="auto"/>
                <w:sz w:val="24"/>
              </w:rPr>
            </w:pPr>
            <w:r>
              <w:rPr>
                <w:color w:val="auto"/>
                <w:sz w:val="24"/>
              </w:rPr>
              <w:t>由上表可知，本项目的建设符合《江宁经济技术开发区总体发展规划（2020-2035）环境影响报告书》审查意见（</w:t>
            </w:r>
            <w:r>
              <w:rPr>
                <w:color w:val="auto"/>
                <w:szCs w:val="21"/>
              </w:rPr>
              <w:t>环审[2022]46号</w:t>
            </w:r>
            <w:r>
              <w:rPr>
                <w:color w:val="auto"/>
                <w:sz w:val="24"/>
              </w:rPr>
              <w:t>）的要求。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108" w:type="dxa"/>
          </w:tblCellMar>
        </w:tblPrEx>
        <w:trPr>
          <w:trHeight w:val="20" w:hRule="atLeast"/>
          <w:jc w:val="center"/>
        </w:trPr>
        <w:tc>
          <w:tcPr>
            <w:tcW w:w="719" w:type="dxa"/>
            <w:vAlign w:val="center"/>
          </w:tcPr>
          <w:p>
            <w:pPr>
              <w:autoSpaceDE w:val="0"/>
              <w:autoSpaceDN w:val="0"/>
              <w:adjustRightInd w:val="0"/>
              <w:snapToGrid w:val="0"/>
              <w:jc w:val="center"/>
              <w:rPr>
                <w:kern w:val="0"/>
                <w:sz w:val="24"/>
              </w:rPr>
            </w:pPr>
            <w:r>
              <w:rPr>
                <w:kern w:val="0"/>
                <w:sz w:val="24"/>
              </w:rPr>
              <w:t>其他符合性</w:t>
            </w:r>
          </w:p>
          <w:p>
            <w:pPr>
              <w:autoSpaceDE w:val="0"/>
              <w:autoSpaceDN w:val="0"/>
              <w:adjustRightInd w:val="0"/>
              <w:snapToGrid w:val="0"/>
              <w:jc w:val="center"/>
              <w:rPr>
                <w:kern w:val="0"/>
                <w:szCs w:val="21"/>
              </w:rPr>
            </w:pPr>
            <w:r>
              <w:rPr>
                <w:kern w:val="0"/>
                <w:sz w:val="24"/>
              </w:rPr>
              <w:t>分析</w:t>
            </w:r>
          </w:p>
        </w:tc>
        <w:tc>
          <w:tcPr>
            <w:tcW w:w="8151" w:type="dxa"/>
            <w:gridSpan w:val="4"/>
            <w:vAlign w:val="center"/>
          </w:tcPr>
          <w:p>
            <w:pPr>
              <w:spacing w:line="360" w:lineRule="auto"/>
              <w:rPr>
                <w:b/>
                <w:color w:val="auto"/>
                <w:sz w:val="24"/>
                <w:highlight w:val="none"/>
              </w:rPr>
            </w:pPr>
            <w:r>
              <w:rPr>
                <w:b/>
                <w:color w:val="auto"/>
                <w:sz w:val="24"/>
                <w:highlight w:val="none"/>
              </w:rPr>
              <w:t>1、三线一单符合性分析</w:t>
            </w:r>
          </w:p>
          <w:p>
            <w:pPr>
              <w:spacing w:line="348" w:lineRule="auto"/>
              <w:ind w:firstLine="482" w:firstLineChars="200"/>
              <w:rPr>
                <w:b/>
                <w:bCs/>
                <w:color w:val="auto"/>
                <w:sz w:val="24"/>
                <w:highlight w:val="none"/>
              </w:rPr>
            </w:pPr>
            <w:r>
              <w:rPr>
                <w:b/>
                <w:bCs/>
                <w:color w:val="auto"/>
                <w:sz w:val="24"/>
                <w:highlight w:val="none"/>
              </w:rPr>
              <w:t>（1）“生态保护红线”符合性分析</w:t>
            </w:r>
          </w:p>
          <w:p>
            <w:pPr>
              <w:spacing w:line="348" w:lineRule="auto"/>
              <w:ind w:firstLine="482" w:firstLineChars="200"/>
              <w:rPr>
                <w:b/>
                <w:bCs/>
                <w:color w:val="auto"/>
                <w:sz w:val="24"/>
                <w:highlight w:val="none"/>
              </w:rPr>
            </w:pPr>
            <w:r>
              <w:rPr>
                <w:b/>
                <w:color w:val="auto"/>
                <w:sz w:val="24"/>
                <w:highlight w:val="none"/>
              </w:rPr>
              <w:fldChar w:fldCharType="begin"/>
            </w:r>
            <w:r>
              <w:rPr>
                <w:b/>
                <w:color w:val="auto"/>
                <w:sz w:val="24"/>
                <w:highlight w:val="none"/>
              </w:rPr>
              <w:instrText xml:space="preserve"> = 1 \* GB3 </w:instrText>
            </w:r>
            <w:r>
              <w:rPr>
                <w:b/>
                <w:color w:val="auto"/>
                <w:sz w:val="24"/>
                <w:highlight w:val="none"/>
              </w:rPr>
              <w:fldChar w:fldCharType="separate"/>
            </w:r>
            <w:r>
              <w:rPr>
                <w:b/>
                <w:color w:val="auto"/>
                <w:sz w:val="24"/>
                <w:highlight w:val="none"/>
              </w:rPr>
              <w:t>①</w:t>
            </w:r>
            <w:r>
              <w:rPr>
                <w:b/>
                <w:color w:val="auto"/>
                <w:sz w:val="24"/>
                <w:highlight w:val="none"/>
              </w:rPr>
              <w:fldChar w:fldCharType="end"/>
            </w:r>
            <w:r>
              <w:rPr>
                <w:b/>
                <w:color w:val="auto"/>
                <w:sz w:val="24"/>
                <w:highlight w:val="none"/>
              </w:rPr>
              <w:t>与《江苏省国家级生态保护红线规划》（苏政发[2018]74号）、《江苏省生态空间管控区域规划》（苏政发[2020]1号）</w:t>
            </w:r>
            <w:r>
              <w:rPr>
                <w:b/>
                <w:bCs/>
                <w:color w:val="auto"/>
                <w:sz w:val="24"/>
                <w:highlight w:val="none"/>
              </w:rPr>
              <w:t>相符性分析。</w:t>
            </w:r>
          </w:p>
          <w:p>
            <w:pPr>
              <w:spacing w:line="348" w:lineRule="auto"/>
              <w:ind w:firstLine="480" w:firstLineChars="200"/>
              <w:rPr>
                <w:color w:val="auto"/>
                <w:sz w:val="24"/>
                <w:highlight w:val="none"/>
              </w:rPr>
            </w:pPr>
            <w:r>
              <w:rPr>
                <w:color w:val="auto"/>
                <w:sz w:val="24"/>
                <w:highlight w:val="none"/>
              </w:rPr>
              <w:t>本项目位于南京江宁经济技术开发区秣陵街道康平街2号北方夜视技术股份有限公司现有厂房内</w:t>
            </w:r>
            <w:r>
              <w:rPr>
                <w:bCs/>
                <w:color w:val="auto"/>
                <w:sz w:val="24"/>
                <w:highlight w:val="none"/>
              </w:rPr>
              <w:t>，</w:t>
            </w:r>
            <w:r>
              <w:rPr>
                <w:color w:val="auto"/>
                <w:sz w:val="24"/>
                <w:highlight w:val="none"/>
              </w:rPr>
              <w:t>与国家级及江苏省生态红线最近保护目标之间关系见下表1-</w:t>
            </w:r>
            <w:r>
              <w:rPr>
                <w:rFonts w:hint="eastAsia"/>
                <w:color w:val="auto"/>
                <w:sz w:val="24"/>
                <w:highlight w:val="none"/>
              </w:rPr>
              <w:t>3</w:t>
            </w:r>
            <w:r>
              <w:rPr>
                <w:color w:val="auto"/>
                <w:sz w:val="24"/>
                <w:highlight w:val="none"/>
              </w:rPr>
              <w:t>。</w:t>
            </w:r>
          </w:p>
          <w:p>
            <w:pPr>
              <w:adjustRightInd w:val="0"/>
              <w:snapToGrid w:val="0"/>
              <w:spacing w:line="360" w:lineRule="auto"/>
              <w:jc w:val="center"/>
              <w:rPr>
                <w:b/>
                <w:color w:val="auto"/>
                <w:sz w:val="24"/>
                <w:highlight w:val="none"/>
              </w:rPr>
            </w:pPr>
            <w:r>
              <w:rPr>
                <w:b/>
                <w:color w:val="auto"/>
                <w:sz w:val="24"/>
                <w:highlight w:val="none"/>
              </w:rPr>
              <w:t>表1-</w:t>
            </w:r>
            <w:r>
              <w:rPr>
                <w:rFonts w:hint="eastAsia"/>
                <w:b/>
                <w:color w:val="auto"/>
                <w:sz w:val="24"/>
                <w:highlight w:val="none"/>
              </w:rPr>
              <w:t>3</w:t>
            </w:r>
            <w:r>
              <w:rPr>
                <w:b/>
                <w:color w:val="auto"/>
                <w:sz w:val="24"/>
                <w:highlight w:val="none"/>
              </w:rPr>
              <w:t xml:space="preserve">  项目所在生态空间管控区域</w:t>
            </w:r>
          </w:p>
          <w:tbl>
            <w:tblPr>
              <w:tblStyle w:val="3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6"/>
              <w:gridCol w:w="644"/>
              <w:gridCol w:w="915"/>
              <w:gridCol w:w="992"/>
              <w:gridCol w:w="1350"/>
              <w:gridCol w:w="32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000" w:type="pct"/>
                  <w:gridSpan w:val="6"/>
                  <w:vAlign w:val="center"/>
                </w:tcPr>
                <w:p>
                  <w:pPr>
                    <w:adjustRightInd w:val="0"/>
                    <w:snapToGrid w:val="0"/>
                    <w:jc w:val="center"/>
                    <w:rPr>
                      <w:color w:val="auto"/>
                      <w:highlight w:val="none"/>
                    </w:rPr>
                  </w:pPr>
                  <w:r>
                    <w:rPr>
                      <w:color w:val="auto"/>
                      <w:highlight w:val="none"/>
                    </w:rPr>
                    <w:t>《江苏省生态空间管控区域规划》和《江苏省国家级生态保护红线规划》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2" w:type="pct"/>
                  <w:vMerge w:val="restart"/>
                  <w:vAlign w:val="center"/>
                </w:tcPr>
                <w:p>
                  <w:pPr>
                    <w:adjustRightInd w:val="0"/>
                    <w:snapToGrid w:val="0"/>
                    <w:jc w:val="center"/>
                    <w:rPr>
                      <w:color w:val="auto"/>
                      <w:highlight w:val="none"/>
                    </w:rPr>
                  </w:pPr>
                  <w:r>
                    <w:rPr>
                      <w:color w:val="auto"/>
                      <w:highlight w:val="none"/>
                    </w:rPr>
                    <w:t>保护</w:t>
                  </w:r>
                </w:p>
                <w:p>
                  <w:pPr>
                    <w:adjustRightInd w:val="0"/>
                    <w:snapToGrid w:val="0"/>
                    <w:jc w:val="center"/>
                    <w:rPr>
                      <w:color w:val="auto"/>
                      <w:highlight w:val="none"/>
                    </w:rPr>
                  </w:pPr>
                  <w:r>
                    <w:rPr>
                      <w:color w:val="auto"/>
                      <w:highlight w:val="none"/>
                    </w:rPr>
                    <w:t>目标</w:t>
                  </w:r>
                </w:p>
              </w:tc>
              <w:tc>
                <w:tcPr>
                  <w:tcW w:w="401" w:type="pct"/>
                  <w:vMerge w:val="restart"/>
                  <w:vAlign w:val="center"/>
                </w:tcPr>
                <w:p>
                  <w:pPr>
                    <w:adjustRightInd w:val="0"/>
                    <w:snapToGrid w:val="0"/>
                    <w:jc w:val="center"/>
                    <w:rPr>
                      <w:color w:val="auto"/>
                      <w:highlight w:val="none"/>
                    </w:rPr>
                  </w:pPr>
                  <w:r>
                    <w:rPr>
                      <w:color w:val="auto"/>
                      <w:highlight w:val="none"/>
                    </w:rPr>
                    <w:t>方位</w:t>
                  </w:r>
                </w:p>
              </w:tc>
              <w:tc>
                <w:tcPr>
                  <w:tcW w:w="570" w:type="pct"/>
                  <w:vMerge w:val="restart"/>
                  <w:vAlign w:val="center"/>
                </w:tcPr>
                <w:p>
                  <w:pPr>
                    <w:adjustRightInd w:val="0"/>
                    <w:snapToGrid w:val="0"/>
                    <w:jc w:val="center"/>
                    <w:rPr>
                      <w:color w:val="auto"/>
                      <w:highlight w:val="none"/>
                    </w:rPr>
                  </w:pPr>
                  <w:r>
                    <w:rPr>
                      <w:color w:val="auto"/>
                      <w:highlight w:val="none"/>
                    </w:rPr>
                    <w:t>距离m</w:t>
                  </w:r>
                </w:p>
              </w:tc>
              <w:tc>
                <w:tcPr>
                  <w:tcW w:w="618" w:type="pct"/>
                  <w:vMerge w:val="restart"/>
                  <w:vAlign w:val="center"/>
                </w:tcPr>
                <w:p>
                  <w:pPr>
                    <w:adjustRightInd w:val="0"/>
                    <w:snapToGrid w:val="0"/>
                    <w:jc w:val="center"/>
                    <w:rPr>
                      <w:color w:val="auto"/>
                      <w:highlight w:val="none"/>
                    </w:rPr>
                  </w:pPr>
                  <w:r>
                    <w:rPr>
                      <w:color w:val="auto"/>
                      <w:highlight w:val="none"/>
                    </w:rPr>
                    <w:t>主导生态功能</w:t>
                  </w:r>
                </w:p>
              </w:tc>
              <w:tc>
                <w:tcPr>
                  <w:tcW w:w="2858" w:type="pct"/>
                  <w:gridSpan w:val="2"/>
                  <w:vAlign w:val="center"/>
                </w:tcPr>
                <w:p>
                  <w:pPr>
                    <w:adjustRightInd w:val="0"/>
                    <w:snapToGrid w:val="0"/>
                    <w:jc w:val="center"/>
                    <w:rPr>
                      <w:color w:val="auto"/>
                      <w:highlight w:val="none"/>
                    </w:rPr>
                  </w:pPr>
                  <w:r>
                    <w:rPr>
                      <w:color w:val="auto"/>
                      <w:highlight w:val="none"/>
                    </w:rPr>
                    <w:t>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2" w:type="pct"/>
                  <w:vMerge w:val="continue"/>
                  <w:vAlign w:val="center"/>
                </w:tcPr>
                <w:p>
                  <w:pPr>
                    <w:adjustRightInd w:val="0"/>
                    <w:snapToGrid w:val="0"/>
                    <w:jc w:val="center"/>
                    <w:rPr>
                      <w:color w:val="auto"/>
                      <w:highlight w:val="none"/>
                    </w:rPr>
                  </w:pPr>
                </w:p>
              </w:tc>
              <w:tc>
                <w:tcPr>
                  <w:tcW w:w="401" w:type="pct"/>
                  <w:vMerge w:val="continue"/>
                  <w:vAlign w:val="center"/>
                </w:tcPr>
                <w:p>
                  <w:pPr>
                    <w:adjustRightInd w:val="0"/>
                    <w:snapToGrid w:val="0"/>
                    <w:jc w:val="center"/>
                    <w:rPr>
                      <w:color w:val="auto"/>
                      <w:highlight w:val="none"/>
                    </w:rPr>
                  </w:pPr>
                </w:p>
              </w:tc>
              <w:tc>
                <w:tcPr>
                  <w:tcW w:w="570" w:type="pct"/>
                  <w:vMerge w:val="continue"/>
                  <w:vAlign w:val="center"/>
                </w:tcPr>
                <w:p>
                  <w:pPr>
                    <w:adjustRightInd w:val="0"/>
                    <w:snapToGrid w:val="0"/>
                    <w:jc w:val="center"/>
                    <w:rPr>
                      <w:color w:val="auto"/>
                      <w:highlight w:val="none"/>
                    </w:rPr>
                  </w:pPr>
                </w:p>
              </w:tc>
              <w:tc>
                <w:tcPr>
                  <w:tcW w:w="618" w:type="pct"/>
                  <w:vMerge w:val="continue"/>
                  <w:vAlign w:val="center"/>
                </w:tcPr>
                <w:p>
                  <w:pPr>
                    <w:adjustRightInd w:val="0"/>
                    <w:snapToGrid w:val="0"/>
                    <w:jc w:val="center"/>
                    <w:rPr>
                      <w:color w:val="auto"/>
                      <w:highlight w:val="none"/>
                    </w:rPr>
                  </w:pPr>
                </w:p>
              </w:tc>
              <w:tc>
                <w:tcPr>
                  <w:tcW w:w="841" w:type="pct"/>
                  <w:vAlign w:val="center"/>
                </w:tcPr>
                <w:p>
                  <w:pPr>
                    <w:adjustRightInd w:val="0"/>
                    <w:snapToGrid w:val="0"/>
                    <w:jc w:val="center"/>
                    <w:rPr>
                      <w:color w:val="auto"/>
                      <w:highlight w:val="none"/>
                    </w:rPr>
                  </w:pPr>
                  <w:r>
                    <w:rPr>
                      <w:color w:val="auto"/>
                      <w:highlight w:val="none"/>
                    </w:rPr>
                    <w:t>国家级生态保护红线范围</w:t>
                  </w:r>
                </w:p>
              </w:tc>
              <w:tc>
                <w:tcPr>
                  <w:tcW w:w="2016" w:type="pct"/>
                  <w:vAlign w:val="center"/>
                </w:tcPr>
                <w:p>
                  <w:pPr>
                    <w:adjustRightInd w:val="0"/>
                    <w:snapToGrid w:val="0"/>
                    <w:jc w:val="center"/>
                    <w:rPr>
                      <w:color w:val="auto"/>
                      <w:highlight w:val="none"/>
                    </w:rPr>
                  </w:pPr>
                  <w:r>
                    <w:rPr>
                      <w:color w:val="auto"/>
                      <w:highlight w:val="none"/>
                    </w:rPr>
                    <w:t>生态空间管控区域范围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2" w:type="pct"/>
                  <w:vAlign w:val="center"/>
                </w:tcPr>
                <w:p>
                  <w:pPr>
                    <w:adjustRightInd w:val="0"/>
                    <w:snapToGrid w:val="0"/>
                    <w:jc w:val="center"/>
                    <w:rPr>
                      <w:color w:val="auto"/>
                      <w:highlight w:val="none"/>
                    </w:rPr>
                  </w:pPr>
                  <w:r>
                    <w:rPr>
                      <w:color w:val="auto"/>
                      <w:highlight w:val="none"/>
                    </w:rPr>
                    <w:t>牛首-祖堂风景名胜区</w:t>
                  </w:r>
                </w:p>
              </w:tc>
              <w:tc>
                <w:tcPr>
                  <w:tcW w:w="401" w:type="pct"/>
                  <w:vAlign w:val="center"/>
                </w:tcPr>
                <w:p>
                  <w:pPr>
                    <w:adjustRightInd w:val="0"/>
                    <w:snapToGrid w:val="0"/>
                    <w:jc w:val="center"/>
                    <w:rPr>
                      <w:color w:val="auto"/>
                      <w:highlight w:val="none"/>
                    </w:rPr>
                  </w:pPr>
                  <w:r>
                    <w:rPr>
                      <w:rFonts w:hint="eastAsia"/>
                      <w:color w:val="auto"/>
                      <w:highlight w:val="none"/>
                    </w:rPr>
                    <w:t>西</w:t>
                  </w:r>
                </w:p>
              </w:tc>
              <w:tc>
                <w:tcPr>
                  <w:tcW w:w="570" w:type="pct"/>
                  <w:vAlign w:val="center"/>
                </w:tcPr>
                <w:p>
                  <w:pPr>
                    <w:adjustRightInd w:val="0"/>
                    <w:snapToGrid w:val="0"/>
                    <w:jc w:val="center"/>
                    <w:rPr>
                      <w:color w:val="auto"/>
                      <w:highlight w:val="none"/>
                    </w:rPr>
                  </w:pPr>
                  <w:r>
                    <w:rPr>
                      <w:color w:val="auto"/>
                      <w:highlight w:val="none"/>
                    </w:rPr>
                    <w:t>1700</w:t>
                  </w:r>
                </w:p>
              </w:tc>
              <w:tc>
                <w:tcPr>
                  <w:tcW w:w="618" w:type="pct"/>
                  <w:vAlign w:val="center"/>
                </w:tcPr>
                <w:p>
                  <w:pPr>
                    <w:adjustRightInd w:val="0"/>
                    <w:snapToGrid w:val="0"/>
                    <w:jc w:val="center"/>
                    <w:rPr>
                      <w:color w:val="auto"/>
                      <w:highlight w:val="none"/>
                    </w:rPr>
                  </w:pPr>
                  <w:r>
                    <w:rPr>
                      <w:color w:val="auto"/>
                      <w:highlight w:val="none"/>
                    </w:rPr>
                    <w:t>自然与人文景观保护</w:t>
                  </w:r>
                </w:p>
              </w:tc>
              <w:tc>
                <w:tcPr>
                  <w:tcW w:w="841" w:type="pct"/>
                  <w:vAlign w:val="center"/>
                </w:tcPr>
                <w:p>
                  <w:pPr>
                    <w:adjustRightInd w:val="0"/>
                    <w:snapToGrid w:val="0"/>
                    <w:jc w:val="center"/>
                    <w:rPr>
                      <w:color w:val="auto"/>
                      <w:highlight w:val="none"/>
                    </w:rPr>
                  </w:pPr>
                  <w:r>
                    <w:rPr>
                      <w:color w:val="auto"/>
                      <w:highlight w:val="none"/>
                    </w:rPr>
                    <w:t>/</w:t>
                  </w:r>
                </w:p>
              </w:tc>
              <w:tc>
                <w:tcPr>
                  <w:tcW w:w="2016" w:type="pct"/>
                  <w:vAlign w:val="center"/>
                </w:tcPr>
                <w:p>
                  <w:pPr>
                    <w:adjustRightInd w:val="0"/>
                    <w:snapToGrid w:val="0"/>
                    <w:jc w:val="left"/>
                    <w:rPr>
                      <w:color w:val="auto"/>
                      <w:highlight w:val="none"/>
                    </w:rPr>
                  </w:pPr>
                  <w:r>
                    <w:rPr>
                      <w:color w:val="auto"/>
                      <w:highlight w:val="none"/>
                    </w:rPr>
                    <w:t>含牛首山、戴山、小山、祖堂山、吉山、静龙山等郁闭度较高的林</w:t>
                  </w:r>
                  <w:r>
                    <w:rPr>
                      <w:color w:val="auto"/>
                      <w:highlight w:val="none"/>
                    </w:rPr>
                    <w:cr/>
                  </w:r>
                  <w:r>
                    <w:rPr>
                      <w:color w:val="auto"/>
                      <w:highlight w:val="none"/>
                    </w:rPr>
                    <w:t>。以绕城高速为界分为2部分，北至江宁区界。具体坐标为：118°41'19.14''E至118°47'38.35''</w:t>
                  </w:r>
                  <w:r>
                    <w:rPr>
                      <w:color w:val="auto"/>
                      <w:highlight w:val="none"/>
                    </w:rPr>
                    <w:cr/>
                  </w:r>
                  <w:r>
                    <w:rPr>
                      <w:color w:val="auto"/>
                      <w:highlight w:val="none"/>
                    </w:rPr>
                    <w:t>，31°49'42.83''N至31°</w:t>
                  </w:r>
                  <w:r>
                    <w:rPr>
                      <w:color w:val="auto"/>
                      <w:highlight w:val="none"/>
                    </w:rPr>
                    <w:cr/>
                  </w:r>
                  <w:r>
                    <w:rPr>
                      <w:color w:val="auto"/>
                      <w:highlight w:val="none"/>
                    </w:rPr>
                    <w:t>6'56''N</w:t>
                  </w:r>
                </w:p>
              </w:tc>
            </w:tr>
          </w:tbl>
          <w:p>
            <w:pPr>
              <w:adjustRightInd w:val="0"/>
              <w:snapToGrid w:val="0"/>
              <w:spacing w:beforeLines="50" w:line="360" w:lineRule="auto"/>
              <w:ind w:firstLine="480" w:firstLineChars="200"/>
              <w:rPr>
                <w:color w:val="auto"/>
                <w:sz w:val="24"/>
                <w:highlight w:val="none"/>
              </w:rPr>
            </w:pPr>
            <w:r>
              <w:rPr>
                <w:color w:val="auto"/>
                <w:sz w:val="24"/>
                <w:highlight w:val="none"/>
              </w:rPr>
              <w:t>由上表可知，本项目选址符合相关要求。</w:t>
            </w:r>
          </w:p>
          <w:p>
            <w:pPr>
              <w:adjustRightInd w:val="0"/>
              <w:snapToGrid w:val="0"/>
              <w:spacing w:line="360" w:lineRule="auto"/>
              <w:ind w:firstLine="482" w:firstLineChars="200"/>
              <w:rPr>
                <w:b/>
                <w:color w:val="auto"/>
                <w:sz w:val="24"/>
                <w:highlight w:val="none"/>
              </w:rPr>
            </w:pPr>
            <w:r>
              <w:rPr>
                <w:b/>
                <w:color w:val="auto"/>
                <w:sz w:val="24"/>
                <w:highlight w:val="none"/>
              </w:rPr>
              <w:fldChar w:fldCharType="begin"/>
            </w:r>
            <w:r>
              <w:rPr>
                <w:b/>
                <w:color w:val="auto"/>
                <w:sz w:val="24"/>
                <w:highlight w:val="none"/>
              </w:rPr>
              <w:instrText xml:space="preserve"> = 2 \* GB3 </w:instrText>
            </w:r>
            <w:r>
              <w:rPr>
                <w:b/>
                <w:color w:val="auto"/>
                <w:sz w:val="24"/>
                <w:highlight w:val="none"/>
              </w:rPr>
              <w:fldChar w:fldCharType="separate"/>
            </w:r>
            <w:r>
              <w:rPr>
                <w:b/>
                <w:color w:val="auto"/>
                <w:sz w:val="24"/>
                <w:highlight w:val="none"/>
              </w:rPr>
              <w:t>②</w:t>
            </w:r>
            <w:r>
              <w:rPr>
                <w:b/>
                <w:color w:val="auto"/>
                <w:sz w:val="24"/>
                <w:highlight w:val="none"/>
              </w:rPr>
              <w:fldChar w:fldCharType="end"/>
            </w:r>
            <w:r>
              <w:rPr>
                <w:b/>
                <w:color w:val="auto"/>
                <w:sz w:val="24"/>
                <w:highlight w:val="none"/>
              </w:rPr>
              <w:t>与《江苏省政府关于印发江苏省“三线一单”生态环境分区管控方案的通知》（苏政发[2020]49号）相符性</w:t>
            </w:r>
          </w:p>
          <w:p>
            <w:pPr>
              <w:adjustRightInd w:val="0"/>
              <w:snapToGrid w:val="0"/>
              <w:spacing w:line="360" w:lineRule="auto"/>
              <w:ind w:firstLine="480" w:firstLineChars="200"/>
              <w:rPr>
                <w:color w:val="auto"/>
                <w:sz w:val="24"/>
                <w:highlight w:val="none"/>
              </w:rPr>
            </w:pPr>
            <w:r>
              <w:rPr>
                <w:color w:val="auto"/>
                <w:sz w:val="24"/>
                <w:highlight w:val="none"/>
              </w:rPr>
              <w:t>本项目位于南京江宁经济技术开发区内，对照《江苏省政府关于印发江苏省“三线一单”生态环境分区管控方案的通知》（苏政发[2020]49号）可知，项目位于重点管控单元，相符性分析见表1-</w:t>
            </w:r>
            <w:r>
              <w:rPr>
                <w:rFonts w:hint="eastAsia"/>
                <w:color w:val="auto"/>
                <w:sz w:val="24"/>
                <w:highlight w:val="none"/>
              </w:rPr>
              <w:t>4</w:t>
            </w:r>
            <w:r>
              <w:rPr>
                <w:color w:val="auto"/>
                <w:sz w:val="24"/>
                <w:highlight w:val="none"/>
              </w:rPr>
              <w:t>。</w:t>
            </w:r>
          </w:p>
          <w:p>
            <w:pPr>
              <w:adjustRightInd w:val="0"/>
              <w:snapToGrid w:val="0"/>
              <w:spacing w:line="360" w:lineRule="auto"/>
              <w:jc w:val="center"/>
              <w:rPr>
                <w:b/>
                <w:color w:val="auto"/>
                <w:sz w:val="24"/>
                <w:highlight w:val="none"/>
              </w:rPr>
            </w:pPr>
            <w:r>
              <w:rPr>
                <w:b/>
                <w:color w:val="auto"/>
                <w:sz w:val="24"/>
                <w:highlight w:val="none"/>
              </w:rPr>
              <w:t>表1-</w:t>
            </w:r>
            <w:r>
              <w:rPr>
                <w:rFonts w:hint="eastAsia"/>
                <w:b/>
                <w:color w:val="auto"/>
                <w:sz w:val="24"/>
                <w:highlight w:val="none"/>
              </w:rPr>
              <w:t>4</w:t>
            </w:r>
            <w:r>
              <w:rPr>
                <w:b/>
                <w:color w:val="auto"/>
                <w:sz w:val="24"/>
                <w:highlight w:val="none"/>
              </w:rPr>
              <w:t xml:space="preserve">  项目与苏政发[2020]49号相符性分析</w:t>
            </w:r>
          </w:p>
          <w:tbl>
            <w:tblPr>
              <w:tblStyle w:val="3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6"/>
              <w:gridCol w:w="3929"/>
              <w:gridCol w:w="2061"/>
              <w:gridCol w:w="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1070" w:type="dxa"/>
                  <w:vAlign w:val="center"/>
                </w:tcPr>
                <w:p>
                  <w:pPr>
                    <w:jc w:val="center"/>
                    <w:rPr>
                      <w:color w:val="auto"/>
                      <w:highlight w:val="none"/>
                    </w:rPr>
                  </w:pPr>
                  <w:r>
                    <w:rPr>
                      <w:color w:val="auto"/>
                      <w:highlight w:val="none"/>
                    </w:rPr>
                    <w:t>生态环境准入清单</w:t>
                  </w:r>
                </w:p>
              </w:tc>
              <w:tc>
                <w:tcPr>
                  <w:tcW w:w="4030" w:type="dxa"/>
                  <w:vAlign w:val="center"/>
                </w:tcPr>
                <w:p>
                  <w:pPr>
                    <w:jc w:val="center"/>
                    <w:rPr>
                      <w:color w:val="auto"/>
                      <w:highlight w:val="none"/>
                    </w:rPr>
                  </w:pPr>
                  <w:r>
                    <w:rPr>
                      <w:color w:val="auto"/>
                      <w:highlight w:val="none"/>
                    </w:rPr>
                    <w:t>项目管控</w:t>
                  </w:r>
                </w:p>
              </w:tc>
              <w:tc>
                <w:tcPr>
                  <w:tcW w:w="2117" w:type="dxa"/>
                  <w:vAlign w:val="center"/>
                </w:tcPr>
                <w:p>
                  <w:pPr>
                    <w:jc w:val="center"/>
                    <w:rPr>
                      <w:color w:val="auto"/>
                      <w:highlight w:val="none"/>
                    </w:rPr>
                  </w:pPr>
                  <w:r>
                    <w:rPr>
                      <w:color w:val="auto"/>
                      <w:highlight w:val="none"/>
                    </w:rPr>
                    <w:t>本项目情况</w:t>
                  </w:r>
                </w:p>
              </w:tc>
              <w:tc>
                <w:tcPr>
                  <w:tcW w:w="1014" w:type="dxa"/>
                  <w:vAlign w:val="center"/>
                </w:tcPr>
                <w:p>
                  <w:pPr>
                    <w:jc w:val="center"/>
                    <w:rPr>
                      <w:color w:val="auto"/>
                      <w:highlight w:val="none"/>
                    </w:rPr>
                  </w:pPr>
                  <w:r>
                    <w:rPr>
                      <w:color w:val="auto"/>
                      <w:highlight w:val="none"/>
                    </w:rPr>
                    <w:t>相符性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231" w:type="dxa"/>
                  <w:gridSpan w:val="4"/>
                  <w:vAlign w:val="center"/>
                </w:tcPr>
                <w:p>
                  <w:pPr>
                    <w:jc w:val="center"/>
                    <w:rPr>
                      <w:color w:val="auto"/>
                      <w:highlight w:val="none"/>
                    </w:rPr>
                  </w:pPr>
                  <w:r>
                    <w:rPr>
                      <w:color w:val="auto"/>
                      <w:highlight w:val="none"/>
                    </w:rPr>
                    <w:t>长江流域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070" w:type="dxa"/>
                  <w:vMerge w:val="restart"/>
                  <w:vAlign w:val="center"/>
                </w:tcPr>
                <w:p>
                  <w:pPr>
                    <w:jc w:val="center"/>
                    <w:rPr>
                      <w:color w:val="auto"/>
                      <w:highlight w:val="none"/>
                    </w:rPr>
                  </w:pPr>
                  <w:r>
                    <w:rPr>
                      <w:color w:val="auto"/>
                      <w:highlight w:val="none"/>
                    </w:rPr>
                    <w:t>空间布局约束</w:t>
                  </w:r>
                </w:p>
              </w:tc>
              <w:tc>
                <w:tcPr>
                  <w:tcW w:w="4030" w:type="dxa"/>
                  <w:vAlign w:val="center"/>
                </w:tcPr>
                <w:p>
                  <w:pPr>
                    <w:rPr>
                      <w:color w:val="auto"/>
                      <w:highlight w:val="none"/>
                    </w:rPr>
                  </w:pPr>
                  <w:r>
                    <w:rPr>
                      <w:color w:val="auto"/>
                      <w:highlight w:val="none"/>
                    </w:rPr>
                    <w:t>加强生态空间保护，禁止在国家确</w:t>
                  </w:r>
                  <w:r>
                    <w:rPr>
                      <w:rStyle w:val="43"/>
                      <w:color w:val="auto"/>
                      <w:kern w:val="0"/>
                      <w:szCs w:val="20"/>
                      <w:highlight w:val="none"/>
                    </w:rPr>
                    <w:t>定</w:t>
                  </w:r>
                  <w:r>
                    <w:rPr>
                      <w:color w:val="auto"/>
                      <w:highlight w:val="none"/>
                    </w:rPr>
                    <w:t>的生态保护红线和永久基本农田范围内，投资建设除国家重大战略资源勘查项目、生态保护修复和地质灾害治理项目、重大基础设施项目、军事国防项目以及农民基本生产生活等必要的民生项目以外的项目。</w:t>
                  </w:r>
                </w:p>
              </w:tc>
              <w:tc>
                <w:tcPr>
                  <w:tcW w:w="2117" w:type="dxa"/>
                  <w:vAlign w:val="center"/>
                </w:tcPr>
                <w:p>
                  <w:pPr>
                    <w:rPr>
                      <w:color w:val="auto"/>
                      <w:highlight w:val="none"/>
                    </w:rPr>
                  </w:pPr>
                  <w:r>
                    <w:rPr>
                      <w:color w:val="auto"/>
                      <w:highlight w:val="none"/>
                    </w:rPr>
                    <w:t>本项目用地不在生态保护红线内，不占用基本农田</w:t>
                  </w:r>
                </w:p>
              </w:tc>
              <w:tc>
                <w:tcPr>
                  <w:tcW w:w="1014" w:type="dxa"/>
                  <w:vAlign w:val="center"/>
                </w:tcPr>
                <w:p>
                  <w:pPr>
                    <w:jc w:val="center"/>
                    <w:rPr>
                      <w:color w:val="auto"/>
                      <w:highlight w:val="none"/>
                    </w:rPr>
                  </w:pPr>
                  <w:r>
                    <w:rPr>
                      <w:color w:val="auto"/>
                      <w:highlight w:val="none"/>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070" w:type="dxa"/>
                  <w:vMerge w:val="continue"/>
                  <w:vAlign w:val="center"/>
                </w:tcPr>
                <w:p>
                  <w:pPr>
                    <w:jc w:val="center"/>
                    <w:rPr>
                      <w:color w:val="auto"/>
                      <w:highlight w:val="none"/>
                    </w:rPr>
                  </w:pPr>
                </w:p>
              </w:tc>
              <w:tc>
                <w:tcPr>
                  <w:tcW w:w="4030" w:type="dxa"/>
                  <w:vAlign w:val="center"/>
                </w:tcPr>
                <w:p>
                  <w:pPr>
                    <w:rPr>
                      <w:color w:val="auto"/>
                      <w:highlight w:val="none"/>
                    </w:rPr>
                  </w:pPr>
                  <w:r>
                    <w:rPr>
                      <w:color w:val="auto"/>
                      <w:highlight w:val="none"/>
                    </w:rPr>
                    <w:t>禁止在沿江地区新建或扩建化学工业园区，禁止新建或扩建以大宗进口油气资源为原料的石油加工、石油化工、基础有机无机化工、煤化工项目；禁止在长江干流和主要支流岸线1公里范围内新建危化品码头。</w:t>
                  </w:r>
                </w:p>
              </w:tc>
              <w:tc>
                <w:tcPr>
                  <w:tcW w:w="2117" w:type="dxa"/>
                  <w:vAlign w:val="center"/>
                </w:tcPr>
                <w:p>
                  <w:pPr>
                    <w:rPr>
                      <w:color w:val="auto"/>
                      <w:highlight w:val="none"/>
                    </w:rPr>
                  </w:pPr>
                  <w:r>
                    <w:rPr>
                      <w:color w:val="auto"/>
                      <w:highlight w:val="none"/>
                    </w:rPr>
                    <w:t>本项目不属于上述禁止建设的项目。</w:t>
                  </w:r>
                </w:p>
              </w:tc>
              <w:tc>
                <w:tcPr>
                  <w:tcW w:w="1014" w:type="dxa"/>
                  <w:vAlign w:val="center"/>
                </w:tcPr>
                <w:p>
                  <w:pPr>
                    <w:jc w:val="center"/>
                    <w:rPr>
                      <w:color w:val="auto"/>
                      <w:highlight w:val="none"/>
                    </w:rPr>
                  </w:pPr>
                  <w:r>
                    <w:rPr>
                      <w:color w:val="auto"/>
                      <w:highlight w:val="none"/>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1070" w:type="dxa"/>
                  <w:vMerge w:val="continue"/>
                  <w:vAlign w:val="center"/>
                </w:tcPr>
                <w:p>
                  <w:pPr>
                    <w:jc w:val="center"/>
                    <w:rPr>
                      <w:color w:val="auto"/>
                      <w:highlight w:val="none"/>
                    </w:rPr>
                  </w:pPr>
                </w:p>
              </w:tc>
              <w:tc>
                <w:tcPr>
                  <w:tcW w:w="4030" w:type="dxa"/>
                  <w:vAlign w:val="center"/>
                </w:tcPr>
                <w:p>
                  <w:pPr>
                    <w:rPr>
                      <w:color w:val="auto"/>
                      <w:highlight w:val="none"/>
                    </w:rPr>
                  </w:pPr>
                  <w:r>
                    <w:rPr>
                      <w:color w:val="auto"/>
                      <w:highlight w:val="none"/>
                    </w:rPr>
                    <w:t>强化港口布局优化，禁止建设不符合国家港口布局规划和《江苏省沿江沿海港口布局规划（2015-2030年）》《江苏省内河港口布局规划（2017-2035 年）》的码头项目，禁止建设未纳入《长江干线过江通道布局规划》。</w:t>
                  </w:r>
                </w:p>
              </w:tc>
              <w:tc>
                <w:tcPr>
                  <w:tcW w:w="2117" w:type="dxa"/>
                  <w:vAlign w:val="center"/>
                </w:tcPr>
                <w:p>
                  <w:pPr>
                    <w:rPr>
                      <w:color w:val="auto"/>
                      <w:highlight w:val="none"/>
                    </w:rPr>
                  </w:pPr>
                  <w:r>
                    <w:rPr>
                      <w:color w:val="auto"/>
                      <w:highlight w:val="none"/>
                    </w:rPr>
                    <w:t>本项目不属于码头项目。</w:t>
                  </w:r>
                </w:p>
              </w:tc>
              <w:tc>
                <w:tcPr>
                  <w:tcW w:w="1014" w:type="dxa"/>
                  <w:vAlign w:val="center"/>
                </w:tcPr>
                <w:p>
                  <w:pPr>
                    <w:jc w:val="center"/>
                    <w:rPr>
                      <w:color w:val="auto"/>
                      <w:highlight w:val="none"/>
                    </w:rPr>
                  </w:pPr>
                  <w:r>
                    <w:rPr>
                      <w:color w:val="auto"/>
                      <w:highlight w:val="none"/>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1070" w:type="dxa"/>
                  <w:vMerge w:val="continue"/>
                  <w:vAlign w:val="center"/>
                </w:tcPr>
                <w:p>
                  <w:pPr>
                    <w:jc w:val="center"/>
                    <w:rPr>
                      <w:color w:val="auto"/>
                      <w:highlight w:val="none"/>
                    </w:rPr>
                  </w:pPr>
                </w:p>
              </w:tc>
              <w:tc>
                <w:tcPr>
                  <w:tcW w:w="4030" w:type="dxa"/>
                  <w:vAlign w:val="center"/>
                </w:tcPr>
                <w:p>
                  <w:pPr>
                    <w:rPr>
                      <w:color w:val="auto"/>
                      <w:highlight w:val="none"/>
                    </w:rPr>
                  </w:pPr>
                  <w:r>
                    <w:rPr>
                      <w:color w:val="auto"/>
                      <w:highlight w:val="none"/>
                    </w:rPr>
                    <w:t>禁止新建独立焦化项目。</w:t>
                  </w:r>
                </w:p>
              </w:tc>
              <w:tc>
                <w:tcPr>
                  <w:tcW w:w="2117" w:type="dxa"/>
                  <w:vAlign w:val="center"/>
                </w:tcPr>
                <w:p>
                  <w:pPr>
                    <w:rPr>
                      <w:color w:val="auto"/>
                      <w:highlight w:val="none"/>
                    </w:rPr>
                  </w:pPr>
                  <w:r>
                    <w:rPr>
                      <w:color w:val="auto"/>
                      <w:highlight w:val="none"/>
                    </w:rPr>
                    <w:t>本项目不属于独立焦化项目。</w:t>
                  </w:r>
                </w:p>
              </w:tc>
              <w:tc>
                <w:tcPr>
                  <w:tcW w:w="1014" w:type="dxa"/>
                  <w:vAlign w:val="center"/>
                </w:tcPr>
                <w:p>
                  <w:pPr>
                    <w:jc w:val="center"/>
                    <w:rPr>
                      <w:color w:val="auto"/>
                      <w:highlight w:val="none"/>
                    </w:rPr>
                  </w:pPr>
                  <w:r>
                    <w:rPr>
                      <w:color w:val="auto"/>
                      <w:highlight w:val="none"/>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1070" w:type="dxa"/>
                  <w:vMerge w:val="restart"/>
                  <w:vAlign w:val="center"/>
                </w:tcPr>
                <w:p>
                  <w:pPr>
                    <w:jc w:val="center"/>
                    <w:rPr>
                      <w:color w:val="auto"/>
                      <w:highlight w:val="none"/>
                    </w:rPr>
                  </w:pPr>
                  <w:r>
                    <w:rPr>
                      <w:color w:val="auto"/>
                      <w:highlight w:val="none"/>
                    </w:rPr>
                    <w:t>污染物</w:t>
                  </w:r>
                </w:p>
                <w:p>
                  <w:pPr>
                    <w:jc w:val="center"/>
                    <w:rPr>
                      <w:color w:val="auto"/>
                      <w:highlight w:val="none"/>
                    </w:rPr>
                  </w:pPr>
                  <w:r>
                    <w:rPr>
                      <w:color w:val="auto"/>
                      <w:highlight w:val="none"/>
                    </w:rPr>
                    <w:t>排放管</w:t>
                  </w:r>
                </w:p>
                <w:p>
                  <w:pPr>
                    <w:jc w:val="center"/>
                    <w:rPr>
                      <w:color w:val="auto"/>
                      <w:highlight w:val="none"/>
                    </w:rPr>
                  </w:pPr>
                  <w:r>
                    <w:rPr>
                      <w:color w:val="auto"/>
                      <w:highlight w:val="none"/>
                    </w:rPr>
                    <w:t>控</w:t>
                  </w:r>
                </w:p>
              </w:tc>
              <w:tc>
                <w:tcPr>
                  <w:tcW w:w="4030" w:type="dxa"/>
                  <w:vAlign w:val="center"/>
                </w:tcPr>
                <w:p>
                  <w:pPr>
                    <w:rPr>
                      <w:color w:val="auto"/>
                      <w:highlight w:val="none"/>
                    </w:rPr>
                  </w:pPr>
                  <w:r>
                    <w:rPr>
                      <w:color w:val="auto"/>
                      <w:highlight w:val="none"/>
                    </w:rPr>
                    <w:t>根据《江苏省长江水污染防治条例》实施污染物总量控制制度。</w:t>
                  </w:r>
                </w:p>
              </w:tc>
              <w:tc>
                <w:tcPr>
                  <w:tcW w:w="2117" w:type="dxa"/>
                  <w:vMerge w:val="restart"/>
                  <w:vAlign w:val="center"/>
                </w:tcPr>
                <w:p>
                  <w:pPr>
                    <w:rPr>
                      <w:color w:val="auto"/>
                      <w:highlight w:val="none"/>
                    </w:rPr>
                  </w:pPr>
                  <w:r>
                    <w:rPr>
                      <w:color w:val="auto"/>
                      <w:szCs w:val="21"/>
                      <w:highlight w:val="none"/>
                    </w:rPr>
                    <w:t>本项目废水进入江宁经济技术</w:t>
                  </w:r>
                  <w:r>
                    <w:rPr>
                      <w:rFonts w:hint="eastAsia"/>
                      <w:color w:val="auto"/>
                      <w:szCs w:val="21"/>
                      <w:highlight w:val="none"/>
                    </w:rPr>
                    <w:t>开发区</w:t>
                  </w:r>
                  <w:r>
                    <w:rPr>
                      <w:color w:val="auto"/>
                      <w:szCs w:val="21"/>
                      <w:highlight w:val="none"/>
                    </w:rPr>
                    <w:t>污水处理厂集中处理，总量在污水处理厂内平衡。</w:t>
                  </w:r>
                </w:p>
              </w:tc>
              <w:tc>
                <w:tcPr>
                  <w:tcW w:w="1014" w:type="dxa"/>
                  <w:vMerge w:val="restart"/>
                  <w:vAlign w:val="center"/>
                </w:tcPr>
                <w:p>
                  <w:pPr>
                    <w:jc w:val="center"/>
                    <w:rPr>
                      <w:color w:val="auto"/>
                      <w:highlight w:val="none"/>
                    </w:rPr>
                  </w:pPr>
                  <w:r>
                    <w:rPr>
                      <w:color w:val="auto"/>
                      <w:highlight w:val="none"/>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1070" w:type="dxa"/>
                  <w:vMerge w:val="continue"/>
                  <w:vAlign w:val="center"/>
                </w:tcPr>
                <w:p>
                  <w:pPr>
                    <w:jc w:val="center"/>
                    <w:rPr>
                      <w:color w:val="auto"/>
                      <w:highlight w:val="none"/>
                    </w:rPr>
                  </w:pPr>
                </w:p>
              </w:tc>
              <w:tc>
                <w:tcPr>
                  <w:tcW w:w="4030" w:type="dxa"/>
                  <w:vAlign w:val="center"/>
                </w:tcPr>
                <w:p>
                  <w:pPr>
                    <w:rPr>
                      <w:color w:val="auto"/>
                      <w:highlight w:val="none"/>
                    </w:rPr>
                  </w:pPr>
                  <w:r>
                    <w:rPr>
                      <w:color w:val="auto"/>
                      <w:highlight w:val="none"/>
                    </w:rPr>
                    <w:t>全面加强和规范长江入河排污口管理，有效管控入河污染物排放，形成权责清晰、监控到位、管理规范的长江入河排污口监管体系，加快改善长江</w:t>
                  </w:r>
                  <w:r>
                    <w:rPr>
                      <w:color w:val="auto"/>
                      <w:highlight w:val="none"/>
                    </w:rPr>
                    <w:cr/>
                  </w:r>
                  <w:r>
                    <w:rPr>
                      <w:color w:val="auto"/>
                      <w:highlight w:val="none"/>
                    </w:rPr>
                    <w:t>环境质量。</w:t>
                  </w:r>
                </w:p>
              </w:tc>
              <w:tc>
                <w:tcPr>
                  <w:tcW w:w="2117" w:type="dxa"/>
                  <w:vMerge w:val="continue"/>
                  <w:vAlign w:val="center"/>
                </w:tcPr>
                <w:p>
                  <w:pPr>
                    <w:rPr>
                      <w:color w:val="auto"/>
                      <w:highlight w:val="none"/>
                    </w:rPr>
                  </w:pPr>
                </w:p>
              </w:tc>
              <w:tc>
                <w:tcPr>
                  <w:tcW w:w="1014" w:type="dxa"/>
                  <w:vMerge w:val="continue"/>
                  <w:vAlign w:val="center"/>
                </w:tcPr>
                <w:p>
                  <w:pPr>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1070" w:type="dxa"/>
                  <w:vAlign w:val="center"/>
                </w:tcPr>
                <w:p>
                  <w:pPr>
                    <w:jc w:val="center"/>
                    <w:rPr>
                      <w:color w:val="auto"/>
                      <w:highlight w:val="none"/>
                    </w:rPr>
                  </w:pPr>
                  <w:r>
                    <w:rPr>
                      <w:color w:val="auto"/>
                      <w:highlight w:val="none"/>
                    </w:rPr>
                    <w:t>环境风</w:t>
                  </w:r>
                </w:p>
                <w:p>
                  <w:pPr>
                    <w:jc w:val="center"/>
                    <w:rPr>
                      <w:color w:val="auto"/>
                      <w:highlight w:val="none"/>
                    </w:rPr>
                  </w:pPr>
                  <w:r>
                    <w:rPr>
                      <w:color w:val="auto"/>
                      <w:highlight w:val="none"/>
                    </w:rPr>
                    <w:t>险防控</w:t>
                  </w:r>
                </w:p>
              </w:tc>
              <w:tc>
                <w:tcPr>
                  <w:tcW w:w="4030" w:type="dxa"/>
                  <w:vAlign w:val="center"/>
                </w:tcPr>
                <w:p>
                  <w:pPr>
                    <w:rPr>
                      <w:color w:val="auto"/>
                      <w:highlight w:val="none"/>
                    </w:rPr>
                  </w:pPr>
                  <w:r>
                    <w:rPr>
                      <w:color w:val="auto"/>
                      <w:highlight w:val="none"/>
                    </w:rPr>
                    <w:t>防范沿江环境风险。深化沿江石化、化工、医药、纺织、印染、化纤、危化品和石油类仓储、涉重金属和危险废物处置的重点企业环境风险防控。</w:t>
                  </w:r>
                </w:p>
              </w:tc>
              <w:tc>
                <w:tcPr>
                  <w:tcW w:w="2117" w:type="dxa"/>
                  <w:vAlign w:val="center"/>
                </w:tcPr>
                <w:p>
                  <w:pPr>
                    <w:rPr>
                      <w:color w:val="auto"/>
                      <w:highlight w:val="none"/>
                    </w:rPr>
                  </w:pPr>
                  <w:r>
                    <w:rPr>
                      <w:color w:val="auto"/>
                      <w:highlight w:val="none"/>
                    </w:rPr>
                    <w:t>本项目不属于上述企业，且企业具有完善的风险防控措施。</w:t>
                  </w:r>
                </w:p>
              </w:tc>
              <w:tc>
                <w:tcPr>
                  <w:tcW w:w="1014" w:type="dxa"/>
                  <w:vAlign w:val="center"/>
                </w:tcPr>
                <w:p>
                  <w:pPr>
                    <w:jc w:val="center"/>
                    <w:rPr>
                      <w:color w:val="auto"/>
                      <w:highlight w:val="none"/>
                    </w:rPr>
                  </w:pPr>
                  <w:r>
                    <w:rPr>
                      <w:color w:val="auto"/>
                      <w:highlight w:val="none"/>
                    </w:rPr>
                    <w:t>相符</w:t>
                  </w:r>
                </w:p>
              </w:tc>
            </w:tr>
          </w:tbl>
          <w:p>
            <w:pPr>
              <w:adjustRightInd w:val="0"/>
              <w:snapToGrid w:val="0"/>
              <w:spacing w:beforeLines="50" w:line="360" w:lineRule="auto"/>
              <w:ind w:firstLine="482" w:firstLineChars="200"/>
              <w:rPr>
                <w:b/>
                <w:bCs/>
                <w:color w:val="auto"/>
                <w:sz w:val="24"/>
                <w:highlight w:val="none"/>
              </w:rPr>
            </w:pPr>
            <w:r>
              <w:rPr>
                <w:b/>
                <w:bCs/>
                <w:color w:val="auto"/>
                <w:sz w:val="24"/>
                <w:highlight w:val="none"/>
              </w:rPr>
              <w:fldChar w:fldCharType="begin"/>
            </w:r>
            <w:r>
              <w:rPr>
                <w:b/>
                <w:bCs/>
                <w:color w:val="auto"/>
                <w:sz w:val="24"/>
                <w:highlight w:val="none"/>
              </w:rPr>
              <w:instrText xml:space="preserve"> = 3 \* GB3 </w:instrText>
            </w:r>
            <w:r>
              <w:rPr>
                <w:b/>
                <w:bCs/>
                <w:color w:val="auto"/>
                <w:sz w:val="24"/>
                <w:highlight w:val="none"/>
              </w:rPr>
              <w:fldChar w:fldCharType="separate"/>
            </w:r>
            <w:r>
              <w:rPr>
                <w:b/>
                <w:bCs/>
                <w:color w:val="auto"/>
                <w:sz w:val="24"/>
                <w:highlight w:val="none"/>
              </w:rPr>
              <w:t>③</w:t>
            </w:r>
            <w:r>
              <w:rPr>
                <w:b/>
                <w:bCs/>
                <w:color w:val="auto"/>
                <w:sz w:val="24"/>
                <w:highlight w:val="none"/>
              </w:rPr>
              <w:fldChar w:fldCharType="end"/>
            </w:r>
            <w:r>
              <w:rPr>
                <w:b/>
                <w:bCs/>
                <w:color w:val="auto"/>
                <w:sz w:val="24"/>
                <w:highlight w:val="none"/>
              </w:rPr>
              <w:t>与《南京市“三线一单”生态环境分区管控实施方案》（宁环发〔2020〕174号）相符性分析</w:t>
            </w:r>
          </w:p>
          <w:p>
            <w:pPr>
              <w:spacing w:line="360" w:lineRule="auto"/>
              <w:ind w:firstLine="480" w:firstLineChars="200"/>
              <w:rPr>
                <w:color w:val="auto"/>
                <w:sz w:val="24"/>
                <w:highlight w:val="none"/>
              </w:rPr>
            </w:pPr>
            <w:r>
              <w:rPr>
                <w:color w:val="auto"/>
                <w:sz w:val="24"/>
                <w:highlight w:val="none"/>
              </w:rPr>
              <w:t>对照《南京市“三线一单”生态环境分区管控实施方案》（宁环发[2020]174号），本项目所在地位于南京江宁经济技术开发区，属于重点管控单元，本项目与重点管控单元南京江宁经济技术开发区准入清单相符性分析见表1-</w:t>
            </w:r>
            <w:r>
              <w:rPr>
                <w:rFonts w:hint="eastAsia"/>
                <w:color w:val="auto"/>
                <w:sz w:val="24"/>
                <w:highlight w:val="none"/>
              </w:rPr>
              <w:t>5</w:t>
            </w:r>
            <w:r>
              <w:rPr>
                <w:color w:val="auto"/>
                <w:sz w:val="24"/>
                <w:highlight w:val="none"/>
              </w:rPr>
              <w:t>。</w:t>
            </w:r>
          </w:p>
          <w:p>
            <w:pPr>
              <w:adjustRightInd w:val="0"/>
              <w:snapToGrid w:val="0"/>
              <w:spacing w:line="360" w:lineRule="auto"/>
              <w:ind w:firstLine="482" w:firstLineChars="200"/>
              <w:rPr>
                <w:b/>
                <w:color w:val="auto"/>
                <w:sz w:val="24"/>
                <w:highlight w:val="none"/>
              </w:rPr>
            </w:pPr>
            <w:r>
              <w:rPr>
                <w:b/>
                <w:color w:val="auto"/>
                <w:sz w:val="24"/>
                <w:highlight w:val="none"/>
              </w:rPr>
              <w:t>表1-</w:t>
            </w:r>
            <w:r>
              <w:rPr>
                <w:rFonts w:hint="eastAsia"/>
                <w:b/>
                <w:color w:val="auto"/>
                <w:sz w:val="24"/>
                <w:highlight w:val="none"/>
              </w:rPr>
              <w:t>5</w:t>
            </w:r>
            <w:r>
              <w:rPr>
                <w:b/>
                <w:color w:val="auto"/>
                <w:sz w:val="24"/>
                <w:highlight w:val="none"/>
              </w:rPr>
              <w:t xml:space="preserve">  与重点管控单元（南京江宁经济技术开发区）相符性分析</w:t>
            </w:r>
          </w:p>
          <w:tbl>
            <w:tblPr>
              <w:tblStyle w:val="3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6"/>
              <w:gridCol w:w="3453"/>
              <w:gridCol w:w="2536"/>
              <w:gridCol w:w="9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1070" w:type="dxa"/>
                  <w:vAlign w:val="center"/>
                </w:tcPr>
                <w:p>
                  <w:pPr>
                    <w:jc w:val="center"/>
                    <w:rPr>
                      <w:color w:val="auto"/>
                      <w:highlight w:val="none"/>
                    </w:rPr>
                  </w:pPr>
                  <w:r>
                    <w:rPr>
                      <w:color w:val="auto"/>
                      <w:highlight w:val="none"/>
                    </w:rPr>
                    <w:t>生态环境准入清单</w:t>
                  </w:r>
                </w:p>
              </w:tc>
              <w:tc>
                <w:tcPr>
                  <w:tcW w:w="3549" w:type="dxa"/>
                  <w:vAlign w:val="center"/>
                </w:tcPr>
                <w:p>
                  <w:pPr>
                    <w:jc w:val="center"/>
                    <w:rPr>
                      <w:color w:val="auto"/>
                      <w:highlight w:val="none"/>
                    </w:rPr>
                  </w:pPr>
                  <w:r>
                    <w:rPr>
                      <w:color w:val="auto"/>
                      <w:highlight w:val="none"/>
                    </w:rPr>
                    <w:t>项目管</w:t>
                  </w:r>
                </w:p>
              </w:tc>
              <w:tc>
                <w:tcPr>
                  <w:tcW w:w="2598" w:type="dxa"/>
                  <w:vAlign w:val="center"/>
                </w:tcPr>
                <w:p>
                  <w:pPr>
                    <w:jc w:val="center"/>
                    <w:rPr>
                      <w:color w:val="auto"/>
                      <w:highlight w:val="none"/>
                    </w:rPr>
                  </w:pPr>
                  <w:r>
                    <w:rPr>
                      <w:color w:val="auto"/>
                      <w:highlight w:val="none"/>
                    </w:rPr>
                    <w:t>本项目情况</w:t>
                  </w:r>
                </w:p>
              </w:tc>
              <w:tc>
                <w:tcPr>
                  <w:tcW w:w="1014" w:type="dxa"/>
                  <w:vAlign w:val="center"/>
                </w:tcPr>
                <w:p>
                  <w:pPr>
                    <w:jc w:val="center"/>
                    <w:rPr>
                      <w:color w:val="auto"/>
                      <w:highlight w:val="none"/>
                    </w:rPr>
                  </w:pPr>
                  <w:r>
                    <w:rPr>
                      <w:color w:val="auto"/>
                      <w:highlight w:val="none"/>
                    </w:rPr>
                    <w:t>相符性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070" w:type="dxa"/>
                  <w:vMerge w:val="restart"/>
                  <w:vAlign w:val="center"/>
                </w:tcPr>
                <w:p>
                  <w:pPr>
                    <w:jc w:val="center"/>
                    <w:rPr>
                      <w:color w:val="auto"/>
                      <w:highlight w:val="none"/>
                    </w:rPr>
                  </w:pPr>
                  <w:r>
                    <w:rPr>
                      <w:color w:val="auto"/>
                      <w:highlight w:val="none"/>
                    </w:rPr>
                    <w:t>空间布局约束</w:t>
                  </w:r>
                </w:p>
              </w:tc>
              <w:tc>
                <w:tcPr>
                  <w:tcW w:w="3549" w:type="dxa"/>
                  <w:vAlign w:val="center"/>
                </w:tcPr>
                <w:p>
                  <w:pPr>
                    <w:rPr>
                      <w:color w:val="auto"/>
                      <w:highlight w:val="none"/>
                    </w:rPr>
                  </w:pPr>
                  <w:r>
                    <w:rPr>
                      <w:color w:val="auto"/>
                      <w:highlight w:val="none"/>
                    </w:rPr>
                    <w:t>（1）执行规划和规划环评及其审查意见相关要求。</w:t>
                  </w:r>
                </w:p>
              </w:tc>
              <w:tc>
                <w:tcPr>
                  <w:tcW w:w="2598" w:type="dxa"/>
                  <w:vAlign w:val="center"/>
                </w:tcPr>
                <w:p>
                  <w:pPr>
                    <w:rPr>
                      <w:color w:val="auto"/>
                      <w:highlight w:val="none"/>
                    </w:rPr>
                  </w:pPr>
                  <w:r>
                    <w:rPr>
                      <w:color w:val="auto"/>
                      <w:highlight w:val="none"/>
                    </w:rPr>
                    <w:t>本项目符合建设规划环评及其审查意见相关要求。</w:t>
                  </w:r>
                </w:p>
              </w:tc>
              <w:tc>
                <w:tcPr>
                  <w:tcW w:w="1014" w:type="dxa"/>
                  <w:vAlign w:val="center"/>
                </w:tcPr>
                <w:p>
                  <w:pPr>
                    <w:jc w:val="center"/>
                    <w:rPr>
                      <w:color w:val="auto"/>
                      <w:highlight w:val="none"/>
                    </w:rPr>
                  </w:pPr>
                  <w:r>
                    <w:rPr>
                      <w:color w:val="auto"/>
                      <w:highlight w:val="none"/>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1070" w:type="dxa"/>
                  <w:vMerge w:val="continue"/>
                  <w:vAlign w:val="center"/>
                </w:tcPr>
                <w:p>
                  <w:pPr>
                    <w:jc w:val="center"/>
                    <w:rPr>
                      <w:color w:val="auto"/>
                      <w:highlight w:val="none"/>
                    </w:rPr>
                  </w:pPr>
                </w:p>
              </w:tc>
              <w:tc>
                <w:tcPr>
                  <w:tcW w:w="3549" w:type="dxa"/>
                  <w:vAlign w:val="center"/>
                </w:tcPr>
                <w:p>
                  <w:pPr>
                    <w:rPr>
                      <w:color w:val="auto"/>
                      <w:highlight w:val="none"/>
                    </w:rPr>
                  </w:pPr>
                  <w:r>
                    <w:rPr>
                      <w:color w:val="auto"/>
                      <w:highlight w:val="none"/>
                    </w:rPr>
                    <w:t>（2）园区定位：生态化科技产业新城、国际化品质宜居新城、现代化科教创新开发区。结合区域发展定位、开发布局以及生态环境保护目标，结合不同片区制定鼓励发展的产业准入清单和严格的负面清单。</w:t>
                  </w:r>
                </w:p>
              </w:tc>
              <w:tc>
                <w:tcPr>
                  <w:tcW w:w="2598" w:type="dxa"/>
                  <w:vAlign w:val="center"/>
                </w:tcPr>
                <w:p>
                  <w:pPr>
                    <w:rPr>
                      <w:color w:val="auto"/>
                      <w:highlight w:val="none"/>
                    </w:rPr>
                  </w:pPr>
                  <w:r>
                    <w:rPr>
                      <w:color w:val="auto"/>
                      <w:highlight w:val="none"/>
                    </w:rPr>
                    <w:t>本项目的建设符合园区产业准入要求。</w:t>
                  </w:r>
                </w:p>
              </w:tc>
              <w:tc>
                <w:tcPr>
                  <w:tcW w:w="1014" w:type="dxa"/>
                  <w:vAlign w:val="center"/>
                </w:tcPr>
                <w:p>
                  <w:pPr>
                    <w:jc w:val="center"/>
                    <w:rPr>
                      <w:color w:val="auto"/>
                      <w:highlight w:val="none"/>
                    </w:rPr>
                  </w:pPr>
                  <w:r>
                    <w:rPr>
                      <w:color w:val="auto"/>
                      <w:highlight w:val="none"/>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1070" w:type="dxa"/>
                  <w:vMerge w:val="continue"/>
                  <w:vAlign w:val="center"/>
                </w:tcPr>
                <w:p>
                  <w:pPr>
                    <w:jc w:val="center"/>
                    <w:rPr>
                      <w:color w:val="auto"/>
                      <w:highlight w:val="none"/>
                    </w:rPr>
                  </w:pPr>
                </w:p>
              </w:tc>
              <w:tc>
                <w:tcPr>
                  <w:tcW w:w="3549" w:type="dxa"/>
                  <w:vAlign w:val="center"/>
                </w:tcPr>
                <w:p>
                  <w:pPr>
                    <w:rPr>
                      <w:color w:val="auto"/>
                      <w:highlight w:val="none"/>
                    </w:rPr>
                  </w:pPr>
                  <w:r>
                    <w:rPr>
                      <w:color w:val="auto"/>
                      <w:highlight w:val="none"/>
                    </w:rPr>
                    <w:t>（3）优先引入：信息通信、汽车、新能源、电力自动化与智能电网、航空和生命科技等产业，软件及服务外包、商务商贸、现代物流、文化创意等服务业。</w:t>
                  </w:r>
                </w:p>
              </w:tc>
              <w:tc>
                <w:tcPr>
                  <w:tcW w:w="2598" w:type="dxa"/>
                  <w:vAlign w:val="center"/>
                </w:tcPr>
                <w:p>
                  <w:pPr>
                    <w:rPr>
                      <w:color w:val="auto"/>
                      <w:highlight w:val="none"/>
                    </w:rPr>
                  </w:pPr>
                  <w:r>
                    <w:rPr>
                      <w:color w:val="auto"/>
                      <w:highlight w:val="none"/>
                    </w:rPr>
                    <w:t>本项目为</w:t>
                  </w:r>
                  <w:r>
                    <w:rPr>
                      <w:color w:val="auto"/>
                      <w:szCs w:val="21"/>
                      <w:highlight w:val="none"/>
                    </w:rPr>
                    <w:t>C3971电子真空器件制造，属于</w:t>
                  </w:r>
                  <w:r>
                    <w:rPr>
                      <w:color w:val="auto"/>
                      <w:highlight w:val="none"/>
                    </w:rPr>
                    <w:t>信息通信</w:t>
                  </w:r>
                  <w:r>
                    <w:rPr>
                      <w:color w:val="auto"/>
                      <w:szCs w:val="21"/>
                      <w:highlight w:val="none"/>
                    </w:rPr>
                    <w:t>产业。</w:t>
                  </w:r>
                </w:p>
              </w:tc>
              <w:tc>
                <w:tcPr>
                  <w:tcW w:w="1014" w:type="dxa"/>
                  <w:vAlign w:val="center"/>
                </w:tcPr>
                <w:p>
                  <w:pPr>
                    <w:jc w:val="center"/>
                    <w:rPr>
                      <w:color w:val="auto"/>
                      <w:highlight w:val="none"/>
                    </w:rPr>
                  </w:pPr>
                  <w:r>
                    <w:rPr>
                      <w:color w:val="auto"/>
                      <w:highlight w:val="none"/>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1070" w:type="dxa"/>
                  <w:vMerge w:val="continue"/>
                  <w:vAlign w:val="center"/>
                </w:tcPr>
                <w:p>
                  <w:pPr>
                    <w:jc w:val="center"/>
                    <w:rPr>
                      <w:color w:val="auto"/>
                      <w:highlight w:val="none"/>
                    </w:rPr>
                  </w:pPr>
                </w:p>
              </w:tc>
              <w:tc>
                <w:tcPr>
                  <w:tcW w:w="3549" w:type="dxa"/>
                  <w:vAlign w:val="center"/>
                </w:tcPr>
                <w:p>
                  <w:pPr>
                    <w:rPr>
                      <w:color w:val="auto"/>
                      <w:highlight w:val="none"/>
                    </w:rPr>
                  </w:pPr>
                  <w:r>
                    <w:rPr>
                      <w:color w:val="auto"/>
                      <w:highlight w:val="none"/>
                    </w:rPr>
                    <w:t>（4）禁止引入：化工、电镀、水泥、印染、酿造等重污染的企业，以及单晶硅和多晶硅前道工序的企业，废水排放量在1000t/d以上的工业项目。</w:t>
                  </w:r>
                </w:p>
              </w:tc>
              <w:tc>
                <w:tcPr>
                  <w:tcW w:w="2598" w:type="dxa"/>
                  <w:vAlign w:val="center"/>
                </w:tcPr>
                <w:p>
                  <w:pPr>
                    <w:rPr>
                      <w:color w:val="auto"/>
                      <w:highlight w:val="none"/>
                    </w:rPr>
                  </w:pPr>
                  <w:r>
                    <w:rPr>
                      <w:color w:val="auto"/>
                      <w:highlight w:val="none"/>
                    </w:rPr>
                    <w:t>本项目为</w:t>
                  </w:r>
                  <w:r>
                    <w:rPr>
                      <w:color w:val="auto"/>
                      <w:szCs w:val="21"/>
                      <w:highlight w:val="none"/>
                    </w:rPr>
                    <w:t>C3971电子真空器件制造</w:t>
                  </w:r>
                  <w:r>
                    <w:rPr>
                      <w:color w:val="auto"/>
                      <w:highlight w:val="none"/>
                    </w:rPr>
                    <w:t>，不属于禁止类项目，本项目生产废水排放量在1000t/d以下。</w:t>
                  </w:r>
                </w:p>
              </w:tc>
              <w:tc>
                <w:tcPr>
                  <w:tcW w:w="1014" w:type="dxa"/>
                  <w:vAlign w:val="center"/>
                </w:tcPr>
                <w:p>
                  <w:pPr>
                    <w:jc w:val="center"/>
                    <w:rPr>
                      <w:color w:val="auto"/>
                      <w:highlight w:val="none"/>
                    </w:rPr>
                  </w:pPr>
                  <w:r>
                    <w:rPr>
                      <w:color w:val="auto"/>
                      <w:highlight w:val="none"/>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1070" w:type="dxa"/>
                  <w:vMerge w:val="continue"/>
                  <w:vAlign w:val="center"/>
                </w:tcPr>
                <w:p>
                  <w:pPr>
                    <w:jc w:val="center"/>
                    <w:rPr>
                      <w:color w:val="auto"/>
                      <w:highlight w:val="none"/>
                    </w:rPr>
                  </w:pPr>
                </w:p>
              </w:tc>
              <w:tc>
                <w:tcPr>
                  <w:tcW w:w="3549" w:type="dxa"/>
                  <w:vAlign w:val="center"/>
                </w:tcPr>
                <w:p>
                  <w:pPr>
                    <w:rPr>
                      <w:color w:val="auto"/>
                      <w:highlight w:val="none"/>
                    </w:rPr>
                  </w:pPr>
                  <w:r>
                    <w:rPr>
                      <w:color w:val="auto"/>
                      <w:highlight w:val="none"/>
                    </w:rPr>
                    <w:t>（5）生命科技产业禁止引入：病毒疫苗类研发项目；使用传染性或潜在传染性材料的实验室；P3、P4生物安全实验室；进行动物性实验；手工胶囊、软木塞</w:t>
                  </w:r>
                  <w:r>
                    <w:rPr>
                      <w:color w:val="auto"/>
                      <w:highlight w:val="none"/>
                    </w:rPr>
                    <w:cr/>
                  </w:r>
                  <w:r>
                    <w:rPr>
                      <w:color w:val="auto"/>
                      <w:highlight w:val="none"/>
                    </w:rPr>
                    <w:t>蜡包装药品等项目。生产类项目禁止引入原药类、发酵类生产项</w:t>
                  </w:r>
                  <w:r>
                    <w:rPr>
                      <w:color w:val="auto"/>
                      <w:highlight w:val="none"/>
                    </w:rPr>
                    <w:cr/>
                  </w:r>
                  <w:r>
                    <w:rPr>
                      <w:color w:val="auto"/>
                      <w:highlight w:val="none"/>
                    </w:rPr>
                    <w:t>。</w:t>
                  </w:r>
                </w:p>
              </w:tc>
              <w:tc>
                <w:tcPr>
                  <w:tcW w:w="2598" w:type="dxa"/>
                  <w:vAlign w:val="center"/>
                </w:tcPr>
                <w:p>
                  <w:pPr>
                    <w:rPr>
                      <w:color w:val="auto"/>
                      <w:highlight w:val="none"/>
                    </w:rPr>
                  </w:pPr>
                  <w:r>
                    <w:rPr>
                      <w:color w:val="auto"/>
                      <w:highlight w:val="none"/>
                    </w:rPr>
                    <w:t>本项目为</w:t>
                  </w:r>
                  <w:r>
                    <w:rPr>
                      <w:color w:val="auto"/>
                      <w:szCs w:val="21"/>
                      <w:highlight w:val="none"/>
                    </w:rPr>
                    <w:t>C3971电子真空器件制造</w:t>
                  </w:r>
                  <w:r>
                    <w:rPr>
                      <w:color w:val="auto"/>
                      <w:highlight w:val="none"/>
                    </w:rPr>
                    <w:t>，不属于禁止类项目。</w:t>
                  </w:r>
                </w:p>
              </w:tc>
              <w:tc>
                <w:tcPr>
                  <w:tcW w:w="1014" w:type="dxa"/>
                  <w:vAlign w:val="center"/>
                </w:tcPr>
                <w:p>
                  <w:pPr>
                    <w:jc w:val="center"/>
                    <w:rPr>
                      <w:color w:val="auto"/>
                      <w:highlight w:val="none"/>
                    </w:rPr>
                  </w:pPr>
                  <w:r>
                    <w:rPr>
                      <w:color w:val="auto"/>
                      <w:highlight w:val="none"/>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1070" w:type="dxa"/>
                  <w:vAlign w:val="center"/>
                </w:tcPr>
                <w:p>
                  <w:pPr>
                    <w:jc w:val="center"/>
                    <w:rPr>
                      <w:color w:val="auto"/>
                      <w:highlight w:val="none"/>
                    </w:rPr>
                  </w:pPr>
                  <w:r>
                    <w:rPr>
                      <w:color w:val="auto"/>
                      <w:highlight w:val="none"/>
                    </w:rPr>
                    <w:t>污染物</w:t>
                  </w:r>
                </w:p>
                <w:p>
                  <w:pPr>
                    <w:jc w:val="center"/>
                    <w:rPr>
                      <w:color w:val="auto"/>
                      <w:highlight w:val="none"/>
                    </w:rPr>
                  </w:pPr>
                  <w:r>
                    <w:rPr>
                      <w:color w:val="auto"/>
                      <w:highlight w:val="none"/>
                    </w:rPr>
                    <w:t>排放管</w:t>
                  </w:r>
                </w:p>
                <w:p>
                  <w:pPr>
                    <w:jc w:val="center"/>
                    <w:rPr>
                      <w:color w:val="auto"/>
                      <w:highlight w:val="none"/>
                    </w:rPr>
                  </w:pPr>
                  <w:r>
                    <w:rPr>
                      <w:color w:val="auto"/>
                      <w:highlight w:val="none"/>
                    </w:rPr>
                    <w:t>控</w:t>
                  </w:r>
                </w:p>
              </w:tc>
              <w:tc>
                <w:tcPr>
                  <w:tcW w:w="3549" w:type="dxa"/>
                  <w:vAlign w:val="center"/>
                </w:tcPr>
                <w:p>
                  <w:pPr>
                    <w:rPr>
                      <w:color w:val="auto"/>
                      <w:highlight w:val="none"/>
                    </w:rPr>
                  </w:pPr>
                  <w:r>
                    <w:rPr>
                      <w:color w:val="auto"/>
                      <w:highlight w:val="none"/>
                    </w:rPr>
                    <w:t>严格实施污染物总量控制制度，根据区域环境质量改善目标，采取有效措施减少主要污染物排放总量，确保区</w:t>
                  </w:r>
                </w:p>
                <w:p>
                  <w:pPr>
                    <w:rPr>
                      <w:color w:val="auto"/>
                      <w:highlight w:val="none"/>
                    </w:rPr>
                  </w:pPr>
                  <w:r>
                    <w:rPr>
                      <w:color w:val="auto"/>
                      <w:highlight w:val="none"/>
                    </w:rPr>
                    <w:t>域环境质量持续改善</w:t>
                  </w:r>
                  <w:r>
                    <w:rPr>
                      <w:color w:val="auto"/>
                      <w:highlight w:val="none"/>
                    </w:rPr>
                    <w:cr/>
                  </w:r>
                  <w:r>
                    <w:rPr>
                      <w:color w:val="auto"/>
                      <w:highlight w:val="none"/>
                    </w:rPr>
                    <w:t>园区污染物排放总量按照规划和规划环评及其审查意见的要求进行管控。</w:t>
                  </w:r>
                </w:p>
              </w:tc>
              <w:tc>
                <w:tcPr>
                  <w:tcW w:w="2598" w:type="dxa"/>
                  <w:vAlign w:val="center"/>
                </w:tcPr>
                <w:p>
                  <w:pPr>
                    <w:pStyle w:val="12"/>
                    <w:rPr>
                      <w:color w:val="auto"/>
                      <w:sz w:val="21"/>
                      <w:szCs w:val="21"/>
                      <w:highlight w:val="none"/>
                    </w:rPr>
                  </w:pPr>
                  <w:r>
                    <w:rPr>
                      <w:color w:val="auto"/>
                      <w:sz w:val="21"/>
                      <w:szCs w:val="21"/>
                      <w:highlight w:val="none"/>
                    </w:rPr>
                    <w:t>本项目废水、废气达标排放，总量按江宁区要求落实，固废妥善处置，不外排，符合</w:t>
                  </w:r>
                  <w:r>
                    <w:rPr>
                      <w:rFonts w:hint="eastAsia"/>
                      <w:color w:val="auto"/>
                      <w:sz w:val="21"/>
                      <w:szCs w:val="21"/>
                      <w:highlight w:val="none"/>
                    </w:rPr>
                    <w:t>污染物排放</w:t>
                  </w:r>
                  <w:r>
                    <w:rPr>
                      <w:color w:val="auto"/>
                      <w:sz w:val="21"/>
                      <w:szCs w:val="21"/>
                      <w:highlight w:val="none"/>
                    </w:rPr>
                    <w:t>管控要求。</w:t>
                  </w:r>
                </w:p>
              </w:tc>
              <w:tc>
                <w:tcPr>
                  <w:tcW w:w="1014" w:type="dxa"/>
                  <w:vAlign w:val="center"/>
                </w:tcPr>
                <w:p>
                  <w:pPr>
                    <w:jc w:val="center"/>
                    <w:rPr>
                      <w:color w:val="auto"/>
                      <w:highlight w:val="none"/>
                    </w:rPr>
                  </w:pPr>
                  <w:r>
                    <w:rPr>
                      <w:color w:val="auto"/>
                      <w:highlight w:val="none"/>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1070" w:type="dxa"/>
                  <w:vMerge w:val="restart"/>
                  <w:vAlign w:val="center"/>
                </w:tcPr>
                <w:p>
                  <w:pPr>
                    <w:jc w:val="center"/>
                    <w:rPr>
                      <w:color w:val="auto"/>
                      <w:highlight w:val="none"/>
                    </w:rPr>
                  </w:pPr>
                  <w:r>
                    <w:rPr>
                      <w:color w:val="auto"/>
                      <w:highlight w:val="none"/>
                    </w:rPr>
                    <w:t>环境风</w:t>
                  </w:r>
                </w:p>
                <w:p>
                  <w:pPr>
                    <w:jc w:val="center"/>
                    <w:rPr>
                      <w:color w:val="auto"/>
                      <w:highlight w:val="none"/>
                    </w:rPr>
                  </w:pPr>
                  <w:r>
                    <w:rPr>
                      <w:color w:val="auto"/>
                      <w:highlight w:val="none"/>
                    </w:rPr>
                    <w:t>险防控</w:t>
                  </w:r>
                </w:p>
              </w:tc>
              <w:tc>
                <w:tcPr>
                  <w:tcW w:w="3549" w:type="dxa"/>
                  <w:vAlign w:val="center"/>
                </w:tcPr>
                <w:p>
                  <w:pPr>
                    <w:rPr>
                      <w:color w:val="auto"/>
                      <w:highlight w:val="none"/>
                    </w:rPr>
                  </w:pPr>
                  <w:r>
                    <w:rPr>
                      <w:color w:val="auto"/>
                      <w:highlight w:val="none"/>
                    </w:rPr>
                    <w:t>（1）园区建立环境应急体系，完善事故应急救援体系，加强应急物资装备储备，编制突发环境事件应急预案，定期开展演练。</w:t>
                  </w:r>
                </w:p>
              </w:tc>
              <w:tc>
                <w:tcPr>
                  <w:tcW w:w="2598" w:type="dxa"/>
                  <w:vAlign w:val="center"/>
                </w:tcPr>
                <w:p>
                  <w:pPr>
                    <w:rPr>
                      <w:color w:val="auto"/>
                      <w:highlight w:val="none"/>
                    </w:rPr>
                  </w:pPr>
                  <w:r>
                    <w:rPr>
                      <w:color w:val="auto"/>
                      <w:highlight w:val="none"/>
                    </w:rPr>
                    <w:t>园区建立了环境应急体系，完善了事故应急救援体系，完善并定期补充物资装备储备，编制了突发环境事件应急预案，并定期开展演练。</w:t>
                  </w:r>
                </w:p>
              </w:tc>
              <w:tc>
                <w:tcPr>
                  <w:tcW w:w="1014" w:type="dxa"/>
                  <w:vAlign w:val="center"/>
                </w:tcPr>
                <w:p>
                  <w:pPr>
                    <w:jc w:val="center"/>
                    <w:rPr>
                      <w:color w:val="auto"/>
                      <w:highlight w:val="none"/>
                    </w:rPr>
                  </w:pPr>
                  <w:r>
                    <w:rPr>
                      <w:color w:val="auto"/>
                      <w:highlight w:val="none"/>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1070" w:type="dxa"/>
                  <w:vMerge w:val="continue"/>
                  <w:vAlign w:val="center"/>
                </w:tcPr>
                <w:p>
                  <w:pPr>
                    <w:jc w:val="center"/>
                    <w:rPr>
                      <w:color w:val="auto"/>
                      <w:highlight w:val="none"/>
                    </w:rPr>
                  </w:pPr>
                </w:p>
              </w:tc>
              <w:tc>
                <w:tcPr>
                  <w:tcW w:w="3549" w:type="dxa"/>
                  <w:vAlign w:val="center"/>
                </w:tcPr>
                <w:p>
                  <w:pPr>
                    <w:rPr>
                      <w:color w:val="auto"/>
                      <w:highlight w:val="none"/>
                    </w:rPr>
                  </w:pPr>
                  <w:r>
                    <w:rPr>
                      <w:color w:val="auto"/>
                      <w:highlight w:val="none"/>
                    </w:rPr>
                    <w:t>（2）生产、使用、储存危险化学品或其他存在环境风险的企事业单位，应当制定风险防范措施，编制完善突发环境事件应急预案，防止发生环境污染事故。</w:t>
                  </w:r>
                </w:p>
              </w:tc>
              <w:tc>
                <w:tcPr>
                  <w:tcW w:w="2598" w:type="dxa"/>
                  <w:vAlign w:val="center"/>
                </w:tcPr>
                <w:p>
                  <w:pPr>
                    <w:rPr>
                      <w:color w:val="auto"/>
                      <w:highlight w:val="none"/>
                    </w:rPr>
                  </w:pPr>
                  <w:r>
                    <w:rPr>
                      <w:color w:val="auto"/>
                      <w:highlight w:val="none"/>
                    </w:rPr>
                    <w:t>本项目实施后，建设单位拟制定风险防范措施，完善应急措施并</w:t>
                  </w:r>
                  <w:r>
                    <w:rPr>
                      <w:rFonts w:hint="eastAsia"/>
                      <w:color w:val="auto"/>
                      <w:highlight w:val="none"/>
                    </w:rPr>
                    <w:t>修订</w:t>
                  </w:r>
                  <w:r>
                    <w:rPr>
                      <w:color w:val="auto"/>
                      <w:highlight w:val="none"/>
                    </w:rPr>
                    <w:t>突发环境事件应急预案。</w:t>
                  </w:r>
                </w:p>
              </w:tc>
              <w:tc>
                <w:tcPr>
                  <w:tcW w:w="1014" w:type="dxa"/>
                  <w:vAlign w:val="center"/>
                </w:tcPr>
                <w:p>
                  <w:pPr>
                    <w:jc w:val="center"/>
                    <w:rPr>
                      <w:color w:val="auto"/>
                      <w:highlight w:val="none"/>
                    </w:rPr>
                  </w:pPr>
                  <w:r>
                    <w:rPr>
                      <w:color w:val="auto"/>
                      <w:highlight w:val="none"/>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1070" w:type="dxa"/>
                  <w:vMerge w:val="continue"/>
                  <w:vAlign w:val="center"/>
                </w:tcPr>
                <w:p>
                  <w:pPr>
                    <w:jc w:val="center"/>
                    <w:rPr>
                      <w:color w:val="auto"/>
                      <w:highlight w:val="none"/>
                    </w:rPr>
                  </w:pPr>
                </w:p>
              </w:tc>
              <w:tc>
                <w:tcPr>
                  <w:tcW w:w="3549" w:type="dxa"/>
                  <w:vAlign w:val="center"/>
                </w:tcPr>
                <w:p>
                  <w:pPr>
                    <w:rPr>
                      <w:color w:val="auto"/>
                      <w:highlight w:val="none"/>
                    </w:rPr>
                  </w:pPr>
                  <w:r>
                    <w:rPr>
                      <w:color w:val="auto"/>
                      <w:highlight w:val="none"/>
                    </w:rPr>
                    <w:t>（3）加强环境影响跟踪监测，建立健全各环境要素监控体系，完善并落实园区日常环境监测与污染源监控计划。</w:t>
                  </w:r>
                </w:p>
              </w:tc>
              <w:tc>
                <w:tcPr>
                  <w:tcW w:w="2598" w:type="dxa"/>
                  <w:vAlign w:val="center"/>
                </w:tcPr>
                <w:p>
                  <w:pPr>
                    <w:rPr>
                      <w:color w:val="auto"/>
                      <w:highlight w:val="none"/>
                    </w:rPr>
                  </w:pPr>
                  <w:r>
                    <w:rPr>
                      <w:color w:val="auto"/>
                      <w:highlight w:val="none"/>
                    </w:rPr>
                    <w:t>本项目实施后，建设单位落实排污自行监测计划。</w:t>
                  </w:r>
                </w:p>
              </w:tc>
              <w:tc>
                <w:tcPr>
                  <w:tcW w:w="1014" w:type="dxa"/>
                  <w:vAlign w:val="center"/>
                </w:tcPr>
                <w:p>
                  <w:pPr>
                    <w:jc w:val="center"/>
                    <w:rPr>
                      <w:color w:val="auto"/>
                      <w:highlight w:val="none"/>
                    </w:rPr>
                  </w:pPr>
                  <w:r>
                    <w:rPr>
                      <w:color w:val="auto"/>
                      <w:highlight w:val="none"/>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1070" w:type="dxa"/>
                  <w:vMerge w:val="restart"/>
                  <w:vAlign w:val="center"/>
                </w:tcPr>
                <w:p>
                  <w:pPr>
                    <w:jc w:val="center"/>
                    <w:rPr>
                      <w:color w:val="auto"/>
                      <w:highlight w:val="none"/>
                    </w:rPr>
                  </w:pPr>
                  <w:r>
                    <w:rPr>
                      <w:color w:val="auto"/>
                      <w:highlight w:val="none"/>
                    </w:rPr>
                    <w:t>资源利</w:t>
                  </w:r>
                </w:p>
                <w:p>
                  <w:pPr>
                    <w:jc w:val="center"/>
                    <w:rPr>
                      <w:color w:val="auto"/>
                      <w:highlight w:val="none"/>
                    </w:rPr>
                  </w:pPr>
                  <w:r>
                    <w:rPr>
                      <w:color w:val="auto"/>
                      <w:highlight w:val="none"/>
                    </w:rPr>
                    <w:t>用效率</w:t>
                  </w:r>
                </w:p>
                <w:p>
                  <w:pPr>
                    <w:jc w:val="center"/>
                    <w:rPr>
                      <w:color w:val="auto"/>
                      <w:highlight w:val="none"/>
                    </w:rPr>
                  </w:pPr>
                  <w:r>
                    <w:rPr>
                      <w:color w:val="auto"/>
                      <w:highlight w:val="none"/>
                    </w:rPr>
                    <w:t>要求</w:t>
                  </w:r>
                </w:p>
              </w:tc>
              <w:tc>
                <w:tcPr>
                  <w:tcW w:w="3549" w:type="dxa"/>
                  <w:vAlign w:val="center"/>
                </w:tcPr>
                <w:p>
                  <w:pPr>
                    <w:rPr>
                      <w:color w:val="auto"/>
                      <w:highlight w:val="none"/>
                    </w:rPr>
                  </w:pPr>
                  <w:r>
                    <w:rPr>
                      <w:color w:val="auto"/>
                      <w:highlight w:val="none"/>
                    </w:rPr>
                    <w:t>（1）引进项目的生产工艺、设备、能耗、污染物排放、资源利用等均须达到同行业先进水平。</w:t>
                  </w:r>
                </w:p>
              </w:tc>
              <w:tc>
                <w:tcPr>
                  <w:tcW w:w="2598" w:type="dxa"/>
                  <w:vAlign w:val="center"/>
                </w:tcPr>
                <w:p>
                  <w:pPr>
                    <w:rPr>
                      <w:color w:val="auto"/>
                      <w:highlight w:val="none"/>
                    </w:rPr>
                  </w:pPr>
                  <w:r>
                    <w:rPr>
                      <w:color w:val="auto"/>
                      <w:highlight w:val="none"/>
                    </w:rPr>
                    <w:t>本项目不采用国家和地方明令禁止和淘汰的落后设备、工艺及产品，资源利用比较合理，污染物排放较少。</w:t>
                  </w:r>
                </w:p>
              </w:tc>
              <w:tc>
                <w:tcPr>
                  <w:tcW w:w="1014" w:type="dxa"/>
                  <w:vAlign w:val="center"/>
                </w:tcPr>
                <w:p>
                  <w:pPr>
                    <w:jc w:val="center"/>
                    <w:rPr>
                      <w:color w:val="auto"/>
                      <w:highlight w:val="none"/>
                    </w:rPr>
                  </w:pPr>
                  <w:r>
                    <w:rPr>
                      <w:color w:val="auto"/>
                      <w:highlight w:val="none"/>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1070" w:type="dxa"/>
                  <w:vMerge w:val="continue"/>
                  <w:vAlign w:val="center"/>
                </w:tcPr>
                <w:p>
                  <w:pPr>
                    <w:jc w:val="center"/>
                    <w:rPr>
                      <w:color w:val="auto"/>
                      <w:highlight w:val="none"/>
                    </w:rPr>
                  </w:pPr>
                </w:p>
              </w:tc>
              <w:tc>
                <w:tcPr>
                  <w:tcW w:w="3549" w:type="dxa"/>
                  <w:vAlign w:val="center"/>
                </w:tcPr>
                <w:p>
                  <w:pPr>
                    <w:rPr>
                      <w:color w:val="auto"/>
                      <w:highlight w:val="none"/>
                    </w:rPr>
                  </w:pPr>
                  <w:r>
                    <w:rPr>
                      <w:color w:val="auto"/>
                      <w:highlight w:val="none"/>
                    </w:rPr>
                    <w:t>（2）按照国家和省能耗及水耗限额标准执行。</w:t>
                  </w:r>
                </w:p>
              </w:tc>
              <w:tc>
                <w:tcPr>
                  <w:tcW w:w="2598" w:type="dxa"/>
                  <w:vAlign w:val="center"/>
                </w:tcPr>
                <w:p>
                  <w:pPr>
                    <w:rPr>
                      <w:color w:val="auto"/>
                      <w:highlight w:val="none"/>
                    </w:rPr>
                  </w:pPr>
                  <w:r>
                    <w:rPr>
                      <w:color w:val="auto"/>
                      <w:highlight w:val="none"/>
                    </w:rPr>
                    <w:t>本项目将严格按照国家和省能耗及水耗限额标准执行。</w:t>
                  </w:r>
                </w:p>
              </w:tc>
              <w:tc>
                <w:tcPr>
                  <w:tcW w:w="1014" w:type="dxa"/>
                  <w:vAlign w:val="center"/>
                </w:tcPr>
                <w:p>
                  <w:pPr>
                    <w:jc w:val="center"/>
                    <w:rPr>
                      <w:color w:val="auto"/>
                      <w:highlight w:val="none"/>
                    </w:rPr>
                  </w:pPr>
                  <w:r>
                    <w:rPr>
                      <w:color w:val="auto"/>
                      <w:highlight w:val="none"/>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1070" w:type="dxa"/>
                  <w:vMerge w:val="continue"/>
                  <w:vAlign w:val="center"/>
                </w:tcPr>
                <w:p>
                  <w:pPr>
                    <w:jc w:val="center"/>
                    <w:rPr>
                      <w:color w:val="auto"/>
                      <w:highlight w:val="none"/>
                    </w:rPr>
                  </w:pPr>
                </w:p>
              </w:tc>
              <w:tc>
                <w:tcPr>
                  <w:tcW w:w="3549" w:type="dxa"/>
                  <w:vAlign w:val="center"/>
                </w:tcPr>
                <w:p>
                  <w:pPr>
                    <w:rPr>
                      <w:color w:val="auto"/>
                      <w:highlight w:val="none"/>
                    </w:rPr>
                  </w:pPr>
                  <w:r>
                    <w:rPr>
                      <w:color w:val="auto"/>
                      <w:highlight w:val="none"/>
                    </w:rPr>
                    <w:t>（3）强化企业清洁生产改造，推进节水型企业、节水型园区建设，提高资</w:t>
                  </w:r>
                  <w:r>
                    <w:rPr>
                      <w:color w:val="auto"/>
                      <w:highlight w:val="none"/>
                    </w:rPr>
                    <w:cr/>
                  </w:r>
                  <w:r>
                    <w:rPr>
                      <w:color w:val="auto"/>
                      <w:highlight w:val="none"/>
                    </w:rPr>
                    <w:t>能源利用效率。</w:t>
                  </w:r>
                </w:p>
              </w:tc>
              <w:tc>
                <w:tcPr>
                  <w:tcW w:w="2598" w:type="dxa"/>
                  <w:vAlign w:val="center"/>
                </w:tcPr>
                <w:p>
                  <w:pPr>
                    <w:rPr>
                      <w:color w:val="auto"/>
                      <w:highlight w:val="none"/>
                    </w:rPr>
                  </w:pPr>
                  <w:r>
                    <w:rPr>
                      <w:color w:val="auto"/>
                      <w:highlight w:val="none"/>
                    </w:rPr>
                    <w:t>本项目实施后，企业将强化清洁生产</w:t>
                  </w:r>
                  <w:r>
                    <w:rPr>
                      <w:rFonts w:hint="eastAsia"/>
                      <w:color w:val="auto"/>
                      <w:highlight w:val="none"/>
                    </w:rPr>
                    <w:t>管理</w:t>
                  </w:r>
                  <w:r>
                    <w:rPr>
                      <w:color w:val="auto"/>
                      <w:highlight w:val="none"/>
                    </w:rPr>
                    <w:t>，提高资源能源利用效率。</w:t>
                  </w:r>
                </w:p>
              </w:tc>
              <w:tc>
                <w:tcPr>
                  <w:tcW w:w="1014" w:type="dxa"/>
                  <w:vAlign w:val="center"/>
                </w:tcPr>
                <w:p>
                  <w:pPr>
                    <w:jc w:val="center"/>
                    <w:rPr>
                      <w:color w:val="auto"/>
                      <w:highlight w:val="none"/>
                    </w:rPr>
                  </w:pPr>
                  <w:r>
                    <w:rPr>
                      <w:color w:val="auto"/>
                      <w:highlight w:val="none"/>
                    </w:rPr>
                    <w:t>相符</w:t>
                  </w:r>
                </w:p>
              </w:tc>
            </w:tr>
          </w:tbl>
          <w:p>
            <w:pPr>
              <w:adjustRightInd w:val="0"/>
              <w:snapToGrid w:val="0"/>
              <w:spacing w:beforeLines="50" w:line="360" w:lineRule="auto"/>
              <w:ind w:firstLine="482" w:firstLineChars="200"/>
              <w:rPr>
                <w:b/>
                <w:color w:val="auto"/>
                <w:sz w:val="24"/>
                <w:highlight w:val="none"/>
              </w:rPr>
            </w:pPr>
            <w:r>
              <w:rPr>
                <w:b/>
                <w:color w:val="auto"/>
                <w:sz w:val="24"/>
                <w:highlight w:val="none"/>
              </w:rPr>
              <w:t>（2）“资源利用上线”符合性分析</w:t>
            </w:r>
          </w:p>
          <w:p>
            <w:pPr>
              <w:pStyle w:val="2"/>
              <w:spacing w:line="360" w:lineRule="auto"/>
              <w:ind w:firstLine="480" w:firstLineChars="200"/>
              <w:rPr>
                <w:color w:val="auto"/>
                <w:sz w:val="24"/>
                <w:szCs w:val="24"/>
                <w:highlight w:val="none"/>
              </w:rPr>
            </w:pPr>
            <w:r>
              <w:rPr>
                <w:color w:val="auto"/>
                <w:sz w:val="24"/>
                <w:szCs w:val="24"/>
                <w:highlight w:val="none"/>
              </w:rPr>
              <w:t>根据《关于加强资源环境生态红线管控的指导意见》（发改环资[2016]162号），建设项目与资源利用上线的相符性分析见表1-</w:t>
            </w:r>
            <w:r>
              <w:rPr>
                <w:rFonts w:hint="eastAsia"/>
                <w:color w:val="auto"/>
                <w:sz w:val="24"/>
                <w:szCs w:val="24"/>
                <w:highlight w:val="none"/>
              </w:rPr>
              <w:t>6</w:t>
            </w:r>
            <w:r>
              <w:rPr>
                <w:color w:val="auto"/>
                <w:sz w:val="24"/>
                <w:szCs w:val="24"/>
                <w:highlight w:val="none"/>
              </w:rPr>
              <w:t>。</w:t>
            </w:r>
          </w:p>
          <w:p>
            <w:pPr>
              <w:spacing w:line="360" w:lineRule="auto"/>
              <w:jc w:val="center"/>
              <w:rPr>
                <w:b/>
                <w:color w:val="auto"/>
                <w:sz w:val="24"/>
                <w:highlight w:val="none"/>
              </w:rPr>
            </w:pPr>
            <w:r>
              <w:rPr>
                <w:b/>
                <w:color w:val="auto"/>
                <w:sz w:val="24"/>
                <w:highlight w:val="none"/>
              </w:rPr>
              <w:t>表1-</w:t>
            </w:r>
            <w:r>
              <w:rPr>
                <w:rFonts w:hint="eastAsia"/>
                <w:b/>
                <w:color w:val="auto"/>
                <w:sz w:val="24"/>
                <w:highlight w:val="none"/>
              </w:rPr>
              <w:t>6</w:t>
            </w:r>
            <w:r>
              <w:rPr>
                <w:b/>
                <w:color w:val="auto"/>
                <w:sz w:val="24"/>
                <w:highlight w:val="none"/>
              </w:rPr>
              <w:t xml:space="preserve">  建设项目与资源利用上线的相符性分析表</w:t>
            </w:r>
          </w:p>
          <w:tbl>
            <w:tblPr>
              <w:tblStyle w:val="3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9"/>
              <w:gridCol w:w="1346"/>
              <w:gridCol w:w="5017"/>
              <w:gridCol w:w="9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454" w:type="pct"/>
                  <w:vAlign w:val="center"/>
                </w:tcPr>
                <w:p>
                  <w:pPr>
                    <w:adjustRightInd w:val="0"/>
                    <w:snapToGrid w:val="0"/>
                    <w:jc w:val="center"/>
                    <w:rPr>
                      <w:color w:val="auto"/>
                      <w:highlight w:val="none"/>
                    </w:rPr>
                  </w:pPr>
                  <w:r>
                    <w:rPr>
                      <w:color w:val="auto"/>
                      <w:highlight w:val="none"/>
                    </w:rPr>
                    <w:t>序号</w:t>
                  </w:r>
                </w:p>
              </w:tc>
              <w:tc>
                <w:tcPr>
                  <w:tcW w:w="838" w:type="pct"/>
                  <w:vAlign w:val="center"/>
                </w:tcPr>
                <w:p>
                  <w:pPr>
                    <w:adjustRightInd w:val="0"/>
                    <w:snapToGrid w:val="0"/>
                    <w:jc w:val="center"/>
                    <w:rPr>
                      <w:color w:val="auto"/>
                      <w:highlight w:val="none"/>
                    </w:rPr>
                  </w:pPr>
                  <w:r>
                    <w:rPr>
                      <w:color w:val="auto"/>
                      <w:highlight w:val="none"/>
                    </w:rPr>
                    <w:t>内容</w:t>
                  </w:r>
                </w:p>
              </w:tc>
              <w:tc>
                <w:tcPr>
                  <w:tcW w:w="3124" w:type="pct"/>
                  <w:vAlign w:val="center"/>
                </w:tcPr>
                <w:p>
                  <w:pPr>
                    <w:adjustRightInd w:val="0"/>
                    <w:snapToGrid w:val="0"/>
                    <w:jc w:val="center"/>
                    <w:rPr>
                      <w:color w:val="auto"/>
                      <w:highlight w:val="none"/>
                    </w:rPr>
                  </w:pPr>
                  <w:r>
                    <w:rPr>
                      <w:color w:val="auto"/>
                      <w:highlight w:val="none"/>
                    </w:rPr>
                    <w:t>与资源利用上线的相符性</w:t>
                  </w:r>
                </w:p>
              </w:tc>
              <w:tc>
                <w:tcPr>
                  <w:tcW w:w="583" w:type="pct"/>
                  <w:vAlign w:val="center"/>
                </w:tcPr>
                <w:p>
                  <w:pPr>
                    <w:adjustRightInd w:val="0"/>
                    <w:snapToGrid w:val="0"/>
                    <w:jc w:val="center"/>
                    <w:rPr>
                      <w:color w:val="auto"/>
                      <w:highlight w:val="none"/>
                    </w:rPr>
                  </w:pPr>
                  <w:r>
                    <w:rPr>
                      <w:color w:val="auto"/>
                      <w:highlight w:val="none"/>
                    </w:rPr>
                    <w:t>符合</w:t>
                  </w:r>
                  <w:r>
                    <w:rPr>
                      <w:rFonts w:hint="eastAsia"/>
                      <w:color w:val="auto"/>
                      <w:highlight w:val="none"/>
                    </w:rPr>
                    <w:t>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54" w:type="pct"/>
                  <w:vAlign w:val="center"/>
                </w:tcPr>
                <w:p>
                  <w:pPr>
                    <w:adjustRightInd w:val="0"/>
                    <w:snapToGrid w:val="0"/>
                    <w:jc w:val="center"/>
                    <w:rPr>
                      <w:color w:val="auto"/>
                      <w:highlight w:val="none"/>
                    </w:rPr>
                  </w:pPr>
                  <w:r>
                    <w:rPr>
                      <w:color w:val="auto"/>
                      <w:highlight w:val="none"/>
                    </w:rPr>
                    <w:t>1</w:t>
                  </w:r>
                </w:p>
              </w:tc>
              <w:tc>
                <w:tcPr>
                  <w:tcW w:w="838" w:type="pct"/>
                  <w:vAlign w:val="center"/>
                </w:tcPr>
                <w:p>
                  <w:pPr>
                    <w:adjustRightInd w:val="0"/>
                    <w:snapToGrid w:val="0"/>
                    <w:jc w:val="center"/>
                    <w:rPr>
                      <w:color w:val="auto"/>
                      <w:highlight w:val="none"/>
                    </w:rPr>
                  </w:pPr>
                  <w:r>
                    <w:rPr>
                      <w:color w:val="auto"/>
                      <w:highlight w:val="none"/>
                    </w:rPr>
                    <w:t>能耗物耗</w:t>
                  </w:r>
                </w:p>
              </w:tc>
              <w:tc>
                <w:tcPr>
                  <w:tcW w:w="3124" w:type="pct"/>
                  <w:vAlign w:val="center"/>
                </w:tcPr>
                <w:p>
                  <w:pPr>
                    <w:adjustRightInd w:val="0"/>
                    <w:snapToGrid w:val="0"/>
                    <w:jc w:val="center"/>
                    <w:rPr>
                      <w:color w:val="auto"/>
                      <w:highlight w:val="none"/>
                    </w:rPr>
                  </w:pPr>
                  <w:r>
                    <w:rPr>
                      <w:color w:val="auto"/>
                      <w:highlight w:val="none"/>
                    </w:rPr>
                    <w:t>不使用煤炭；不属于压缩产能、过剩产能、“两高”行业；用电</w:t>
                  </w:r>
                  <w:r>
                    <w:rPr>
                      <w:color w:val="auto"/>
                      <w:szCs w:val="21"/>
                      <w:highlight w:val="none"/>
                    </w:rPr>
                    <w:t>673000</w:t>
                  </w:r>
                  <w:r>
                    <w:rPr>
                      <w:rFonts w:hint="eastAsia"/>
                      <w:color w:val="auto"/>
                      <w:highlight w:val="none"/>
                    </w:rPr>
                    <w:t>kW</w:t>
                  </w:r>
                  <w:r>
                    <w:rPr>
                      <w:color w:val="auto"/>
                      <w:highlight w:val="none"/>
                    </w:rPr>
                    <w:t>h/a，所在地满足需要。</w:t>
                  </w:r>
                </w:p>
              </w:tc>
              <w:tc>
                <w:tcPr>
                  <w:tcW w:w="583" w:type="pct"/>
                  <w:vAlign w:val="center"/>
                </w:tcPr>
                <w:p>
                  <w:pPr>
                    <w:adjustRightInd w:val="0"/>
                    <w:snapToGrid w:val="0"/>
                    <w:jc w:val="center"/>
                    <w:rPr>
                      <w:color w:val="auto"/>
                      <w:highlight w:val="none"/>
                    </w:rPr>
                  </w:pPr>
                  <w:r>
                    <w:rPr>
                      <w:rFonts w:hint="eastAsia"/>
                      <w:color w:val="auto"/>
                      <w:highlight w:val="none"/>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454" w:type="pct"/>
                  <w:vAlign w:val="center"/>
                </w:tcPr>
                <w:p>
                  <w:pPr>
                    <w:adjustRightInd w:val="0"/>
                    <w:snapToGrid w:val="0"/>
                    <w:jc w:val="center"/>
                    <w:rPr>
                      <w:color w:val="auto"/>
                      <w:highlight w:val="none"/>
                    </w:rPr>
                  </w:pPr>
                  <w:r>
                    <w:rPr>
                      <w:color w:val="auto"/>
                      <w:highlight w:val="none"/>
                    </w:rPr>
                    <w:t>2</w:t>
                  </w:r>
                </w:p>
              </w:tc>
              <w:tc>
                <w:tcPr>
                  <w:tcW w:w="838" w:type="pct"/>
                  <w:vAlign w:val="center"/>
                </w:tcPr>
                <w:p>
                  <w:pPr>
                    <w:adjustRightInd w:val="0"/>
                    <w:snapToGrid w:val="0"/>
                    <w:jc w:val="center"/>
                    <w:rPr>
                      <w:color w:val="auto"/>
                      <w:highlight w:val="none"/>
                    </w:rPr>
                  </w:pPr>
                  <w:r>
                    <w:rPr>
                      <w:color w:val="auto"/>
                      <w:highlight w:val="none"/>
                    </w:rPr>
                    <w:t>水资源</w:t>
                  </w:r>
                </w:p>
                <w:p>
                  <w:pPr>
                    <w:adjustRightInd w:val="0"/>
                    <w:snapToGrid w:val="0"/>
                    <w:jc w:val="center"/>
                    <w:rPr>
                      <w:color w:val="auto"/>
                      <w:highlight w:val="none"/>
                    </w:rPr>
                  </w:pPr>
                  <w:r>
                    <w:rPr>
                      <w:color w:val="auto"/>
                      <w:highlight w:val="none"/>
                    </w:rPr>
                    <w:t>消耗</w:t>
                  </w:r>
                </w:p>
              </w:tc>
              <w:tc>
                <w:tcPr>
                  <w:tcW w:w="3124" w:type="pct"/>
                  <w:vAlign w:val="center"/>
                </w:tcPr>
                <w:p>
                  <w:pPr>
                    <w:adjustRightInd w:val="0"/>
                    <w:snapToGrid w:val="0"/>
                    <w:jc w:val="center"/>
                    <w:rPr>
                      <w:color w:val="auto"/>
                      <w:highlight w:val="none"/>
                    </w:rPr>
                  </w:pPr>
                  <w:r>
                    <w:rPr>
                      <w:color w:val="auto"/>
                      <w:highlight w:val="none"/>
                    </w:rPr>
                    <w:t>建设项目所在地不属于严重缺水地区；区域供水管网可</w:t>
                  </w:r>
                  <w:r>
                    <w:rPr>
                      <w:rFonts w:hint="eastAsia"/>
                      <w:color w:val="auto"/>
                      <w:highlight w:val="none"/>
                    </w:rPr>
                    <w:t>以</w:t>
                  </w:r>
                  <w:r>
                    <w:rPr>
                      <w:color w:val="auto"/>
                      <w:highlight w:val="none"/>
                    </w:rPr>
                    <w:t>满足建设项目地用水需要；建设项目不涉及开采。</w:t>
                  </w:r>
                </w:p>
              </w:tc>
              <w:tc>
                <w:tcPr>
                  <w:tcW w:w="583" w:type="pct"/>
                  <w:vAlign w:val="center"/>
                </w:tcPr>
                <w:p>
                  <w:pPr>
                    <w:adjustRightInd w:val="0"/>
                    <w:snapToGrid w:val="0"/>
                    <w:jc w:val="center"/>
                    <w:rPr>
                      <w:color w:val="auto"/>
                      <w:highlight w:val="none"/>
                    </w:rPr>
                  </w:pPr>
                  <w:r>
                    <w:rPr>
                      <w:rFonts w:hint="eastAsia"/>
                      <w:color w:val="auto"/>
                      <w:highlight w:val="none"/>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454" w:type="pct"/>
                  <w:vAlign w:val="center"/>
                </w:tcPr>
                <w:p>
                  <w:pPr>
                    <w:adjustRightInd w:val="0"/>
                    <w:snapToGrid w:val="0"/>
                    <w:jc w:val="center"/>
                    <w:rPr>
                      <w:color w:val="auto"/>
                      <w:highlight w:val="none"/>
                    </w:rPr>
                  </w:pPr>
                  <w:r>
                    <w:rPr>
                      <w:color w:val="auto"/>
                      <w:highlight w:val="none"/>
                    </w:rPr>
                    <w:t>3</w:t>
                  </w:r>
                </w:p>
              </w:tc>
              <w:tc>
                <w:tcPr>
                  <w:tcW w:w="838" w:type="pct"/>
                  <w:vAlign w:val="center"/>
                </w:tcPr>
                <w:p>
                  <w:pPr>
                    <w:adjustRightInd w:val="0"/>
                    <w:snapToGrid w:val="0"/>
                    <w:jc w:val="center"/>
                    <w:rPr>
                      <w:color w:val="auto"/>
                      <w:highlight w:val="none"/>
                    </w:rPr>
                  </w:pPr>
                  <w:r>
                    <w:rPr>
                      <w:color w:val="auto"/>
                      <w:highlight w:val="none"/>
                    </w:rPr>
                    <w:t>土地资源</w:t>
                  </w:r>
                </w:p>
              </w:tc>
              <w:tc>
                <w:tcPr>
                  <w:tcW w:w="3124" w:type="pct"/>
                  <w:vAlign w:val="center"/>
                </w:tcPr>
                <w:p>
                  <w:pPr>
                    <w:adjustRightInd w:val="0"/>
                    <w:snapToGrid w:val="0"/>
                    <w:jc w:val="center"/>
                    <w:rPr>
                      <w:color w:val="auto"/>
                      <w:highlight w:val="none"/>
                    </w:rPr>
                  </w:pPr>
                  <w:r>
                    <w:rPr>
                      <w:color w:val="auto"/>
                      <w:highlight w:val="none"/>
                    </w:rPr>
                    <w:t>在现有建成厂房内建设，不涉及新征土地。</w:t>
                  </w:r>
                </w:p>
              </w:tc>
              <w:tc>
                <w:tcPr>
                  <w:tcW w:w="583" w:type="pct"/>
                  <w:vAlign w:val="center"/>
                </w:tcPr>
                <w:p>
                  <w:pPr>
                    <w:adjustRightInd w:val="0"/>
                    <w:snapToGrid w:val="0"/>
                    <w:jc w:val="center"/>
                    <w:rPr>
                      <w:color w:val="auto"/>
                      <w:highlight w:val="none"/>
                    </w:rPr>
                  </w:pPr>
                  <w:r>
                    <w:rPr>
                      <w:rFonts w:hint="eastAsia"/>
                      <w:color w:val="auto"/>
                      <w:highlight w:val="none"/>
                    </w:rPr>
                    <w:t>符合</w:t>
                  </w:r>
                </w:p>
              </w:tc>
            </w:tr>
          </w:tbl>
          <w:p>
            <w:pPr>
              <w:adjustRightInd w:val="0"/>
              <w:snapToGrid w:val="0"/>
              <w:spacing w:beforeLines="50" w:line="360" w:lineRule="auto"/>
              <w:ind w:firstLine="482" w:firstLineChars="200"/>
              <w:rPr>
                <w:b/>
                <w:color w:val="auto"/>
                <w:sz w:val="24"/>
                <w:highlight w:val="none"/>
              </w:rPr>
            </w:pPr>
            <w:r>
              <w:rPr>
                <w:b/>
                <w:color w:val="auto"/>
                <w:sz w:val="24"/>
                <w:highlight w:val="none"/>
              </w:rPr>
              <w:t>（3）“环境质量底线”符合性分析</w:t>
            </w:r>
          </w:p>
          <w:p>
            <w:pPr>
              <w:pStyle w:val="2"/>
              <w:spacing w:line="360" w:lineRule="auto"/>
              <w:ind w:firstLine="480" w:firstLineChars="200"/>
              <w:rPr>
                <w:color w:val="auto"/>
                <w:sz w:val="24"/>
                <w:szCs w:val="24"/>
                <w:highlight w:val="none"/>
              </w:rPr>
            </w:pPr>
            <w:r>
              <w:rPr>
                <w:color w:val="auto"/>
                <w:sz w:val="24"/>
                <w:szCs w:val="24"/>
                <w:highlight w:val="none"/>
              </w:rPr>
              <w:t>根据《2021年南京市环境质量状况公报》，对照《环境空气质量标准》（GB3095-2012），NO</w:t>
            </w:r>
            <w:r>
              <w:rPr>
                <w:color w:val="auto"/>
                <w:sz w:val="24"/>
                <w:szCs w:val="24"/>
                <w:highlight w:val="none"/>
                <w:vertAlign w:val="subscript"/>
              </w:rPr>
              <w:t>2</w:t>
            </w:r>
            <w:r>
              <w:rPr>
                <w:color w:val="auto"/>
                <w:sz w:val="24"/>
                <w:szCs w:val="24"/>
                <w:highlight w:val="none"/>
              </w:rPr>
              <w:t>、SO</w:t>
            </w:r>
            <w:r>
              <w:rPr>
                <w:color w:val="auto"/>
                <w:sz w:val="24"/>
                <w:szCs w:val="24"/>
                <w:highlight w:val="none"/>
                <w:vertAlign w:val="subscript"/>
              </w:rPr>
              <w:t>2</w:t>
            </w:r>
            <w:r>
              <w:rPr>
                <w:color w:val="auto"/>
                <w:sz w:val="24"/>
                <w:szCs w:val="24"/>
                <w:highlight w:val="none"/>
              </w:rPr>
              <w:t>、CO、PM</w:t>
            </w:r>
            <w:r>
              <w:rPr>
                <w:color w:val="auto"/>
                <w:sz w:val="24"/>
                <w:szCs w:val="24"/>
                <w:highlight w:val="none"/>
                <w:vertAlign w:val="subscript"/>
              </w:rPr>
              <w:t>2.5</w:t>
            </w:r>
            <w:r>
              <w:rPr>
                <w:color w:val="auto"/>
                <w:sz w:val="24"/>
                <w:szCs w:val="24"/>
                <w:highlight w:val="none"/>
              </w:rPr>
              <w:t>、PM</w:t>
            </w:r>
            <w:r>
              <w:rPr>
                <w:color w:val="auto"/>
                <w:sz w:val="24"/>
                <w:szCs w:val="24"/>
                <w:highlight w:val="none"/>
                <w:vertAlign w:val="subscript"/>
              </w:rPr>
              <w:t>10</w:t>
            </w:r>
            <w:r>
              <w:rPr>
                <w:color w:val="auto"/>
                <w:sz w:val="24"/>
                <w:szCs w:val="24"/>
                <w:highlight w:val="none"/>
              </w:rPr>
              <w:t>五项基本污染物达标，O</w:t>
            </w:r>
            <w:r>
              <w:rPr>
                <w:color w:val="auto"/>
                <w:sz w:val="24"/>
                <w:szCs w:val="24"/>
                <w:highlight w:val="none"/>
                <w:vertAlign w:val="subscript"/>
              </w:rPr>
              <w:t>3</w:t>
            </w:r>
            <w:r>
              <w:rPr>
                <w:color w:val="auto"/>
                <w:sz w:val="24"/>
                <w:szCs w:val="24"/>
                <w:highlight w:val="none"/>
              </w:rPr>
              <w:t>污染物不达标，因此判定项目所在区域环境空气质量不达标；42个省考地表水断面水质全部达标，秦淮河水质稳定，断面水质全部达</w:t>
            </w:r>
            <w:r>
              <w:rPr>
                <w:rFonts w:hint="eastAsia"/>
                <w:color w:val="auto"/>
                <w:sz w:val="24"/>
                <w:szCs w:val="24"/>
                <w:highlight w:val="none"/>
              </w:rPr>
              <w:t>到功能区划</w:t>
            </w:r>
            <w:r>
              <w:rPr>
                <w:color w:val="auto"/>
                <w:sz w:val="24"/>
                <w:szCs w:val="24"/>
                <w:highlight w:val="none"/>
              </w:rPr>
              <w:t>标</w:t>
            </w:r>
            <w:r>
              <w:rPr>
                <w:rFonts w:hint="eastAsia"/>
                <w:color w:val="auto"/>
                <w:sz w:val="24"/>
                <w:szCs w:val="24"/>
                <w:highlight w:val="none"/>
              </w:rPr>
              <w:t>准。</w:t>
            </w:r>
          </w:p>
          <w:p>
            <w:pPr>
              <w:pStyle w:val="2"/>
              <w:spacing w:line="360" w:lineRule="auto"/>
              <w:ind w:firstLine="480" w:firstLineChars="200"/>
              <w:rPr>
                <w:color w:val="auto"/>
                <w:sz w:val="24"/>
                <w:szCs w:val="24"/>
                <w:highlight w:val="none"/>
              </w:rPr>
            </w:pPr>
            <w:r>
              <w:rPr>
                <w:color w:val="auto"/>
                <w:sz w:val="24"/>
                <w:szCs w:val="24"/>
                <w:highlight w:val="none"/>
              </w:rPr>
              <w:t>本项目废气：本项目清洗废气非甲烷总烃、HC</w:t>
            </w:r>
            <w:r>
              <w:rPr>
                <w:rFonts w:hint="eastAsia"/>
                <w:color w:val="auto"/>
                <w:sz w:val="24"/>
                <w:szCs w:val="24"/>
                <w:highlight w:val="none"/>
              </w:rPr>
              <w:t>l顶吸集气罩收集+</w:t>
            </w:r>
            <w:r>
              <w:rPr>
                <w:color w:val="auto"/>
                <w:sz w:val="24"/>
                <w:szCs w:val="24"/>
                <w:highlight w:val="none"/>
              </w:rPr>
              <w:t>碱液喷淋+除雾+</w:t>
            </w:r>
            <w:r>
              <w:rPr>
                <w:rFonts w:hint="eastAsia"/>
                <w:color w:val="auto"/>
                <w:sz w:val="24"/>
                <w:szCs w:val="24"/>
                <w:highlight w:val="none"/>
              </w:rPr>
              <w:t>一级</w:t>
            </w:r>
            <w:r>
              <w:rPr>
                <w:color w:val="auto"/>
                <w:sz w:val="24"/>
                <w:szCs w:val="24"/>
                <w:highlight w:val="none"/>
              </w:rPr>
              <w:t>活性炭吸附+15m高排气筒P2达标排放；封口工序采用液化石油气火焰对玻壳进行加热封口，液化石油气用量1.5t/a，产生的废气主要有烟尘、二氧化硫、氮氧化物</w:t>
            </w:r>
            <w:r>
              <w:rPr>
                <w:rFonts w:hint="eastAsia"/>
                <w:color w:val="auto"/>
                <w:sz w:val="24"/>
                <w:szCs w:val="24"/>
                <w:highlight w:val="none"/>
              </w:rPr>
              <w:t>，</w:t>
            </w:r>
            <w:r>
              <w:rPr>
                <w:color w:val="auto"/>
                <w:sz w:val="24"/>
                <w:szCs w:val="24"/>
                <w:highlight w:val="none"/>
              </w:rPr>
              <w:t>经</w:t>
            </w:r>
            <w:r>
              <w:rPr>
                <w:rFonts w:hint="eastAsia"/>
                <w:color w:val="auto"/>
                <w:sz w:val="24"/>
                <w:szCs w:val="24"/>
                <w:highlight w:val="none"/>
              </w:rPr>
              <w:t>顶吸集气罩收集+</w:t>
            </w:r>
            <w:r>
              <w:rPr>
                <w:color w:val="auto"/>
                <w:sz w:val="24"/>
                <w:szCs w:val="24"/>
                <w:highlight w:val="none"/>
              </w:rPr>
              <w:t>15高排气筒P2达标排放。本项目建设对区域大气环境影响较小。</w:t>
            </w:r>
          </w:p>
          <w:p>
            <w:pPr>
              <w:adjustRightInd w:val="0"/>
              <w:snapToGrid w:val="0"/>
              <w:spacing w:line="360" w:lineRule="auto"/>
              <w:ind w:firstLine="480" w:firstLineChars="200"/>
              <w:rPr>
                <w:color w:val="auto"/>
                <w:sz w:val="24"/>
                <w:highlight w:val="none"/>
              </w:rPr>
            </w:pPr>
            <w:r>
              <w:rPr>
                <w:color w:val="auto"/>
                <w:sz w:val="24"/>
                <w:highlight w:val="none"/>
              </w:rPr>
              <w:t>本项目废水：本项目清洗废水、废气处理喷淋</w:t>
            </w:r>
            <w:r>
              <w:rPr>
                <w:rFonts w:hint="eastAsia"/>
                <w:color w:val="auto"/>
                <w:sz w:val="24"/>
                <w:highlight w:val="none"/>
              </w:rPr>
              <w:t>定期</w:t>
            </w:r>
            <w:r>
              <w:rPr>
                <w:color w:val="auto"/>
                <w:sz w:val="24"/>
                <w:highlight w:val="none"/>
              </w:rPr>
              <w:t>排水依托现有项目酸碱废水中和处理装置处理后同零部件冲洗水</w:t>
            </w:r>
            <w:r>
              <w:rPr>
                <w:rFonts w:hint="eastAsia"/>
                <w:color w:val="auto"/>
                <w:sz w:val="24"/>
                <w:highlight w:val="none"/>
                <w:lang w:eastAsia="zh-CN"/>
              </w:rPr>
              <w:t>（</w:t>
            </w:r>
            <w:r>
              <w:rPr>
                <w:color w:val="auto"/>
                <w:sz w:val="24"/>
                <w:highlight w:val="none"/>
              </w:rPr>
              <w:t>自来水和纯水冲洗</w:t>
            </w:r>
            <w:r>
              <w:rPr>
                <w:rFonts w:hint="eastAsia"/>
                <w:color w:val="auto"/>
                <w:sz w:val="24"/>
                <w:highlight w:val="none"/>
              </w:rPr>
              <w:t>废水</w:t>
            </w:r>
            <w:r>
              <w:rPr>
                <w:rFonts w:hint="eastAsia"/>
                <w:color w:val="auto"/>
                <w:sz w:val="24"/>
                <w:highlight w:val="none"/>
                <w:lang w:eastAsia="zh-CN"/>
              </w:rPr>
              <w:t>）</w:t>
            </w:r>
            <w:r>
              <w:rPr>
                <w:color w:val="auto"/>
                <w:sz w:val="24"/>
                <w:highlight w:val="none"/>
              </w:rPr>
              <w:t>、纯水制备排放浓水、循环水</w:t>
            </w:r>
            <w:r>
              <w:rPr>
                <w:rFonts w:hint="eastAsia"/>
                <w:color w:val="auto"/>
                <w:sz w:val="24"/>
                <w:highlight w:val="none"/>
              </w:rPr>
              <w:t>定期</w:t>
            </w:r>
            <w:r>
              <w:rPr>
                <w:color w:val="auto"/>
                <w:sz w:val="24"/>
                <w:highlight w:val="none"/>
              </w:rPr>
              <w:t>排水排入江宁经济技术开发区污水处理厂，尾水排入秦淮新河。能够达到江宁经济技术开发区污水处理厂接管标准，本项目的建设不会降低区域水环境功能。</w:t>
            </w:r>
          </w:p>
          <w:p>
            <w:pPr>
              <w:pStyle w:val="2"/>
              <w:spacing w:line="360" w:lineRule="auto"/>
              <w:ind w:firstLine="480" w:firstLineChars="200"/>
              <w:rPr>
                <w:color w:val="auto"/>
                <w:sz w:val="24"/>
                <w:szCs w:val="24"/>
                <w:highlight w:val="none"/>
              </w:rPr>
            </w:pPr>
            <w:r>
              <w:rPr>
                <w:color w:val="auto"/>
                <w:sz w:val="24"/>
                <w:szCs w:val="24"/>
                <w:highlight w:val="none"/>
              </w:rPr>
              <w:t>本项目固废：本项目危险废物交有资质单位处置，一般固体废物回收利用，所有固废均得到有效处置。</w:t>
            </w:r>
          </w:p>
          <w:p>
            <w:pPr>
              <w:adjustRightInd w:val="0"/>
              <w:snapToGrid w:val="0"/>
              <w:spacing w:line="360" w:lineRule="auto"/>
              <w:ind w:firstLine="482" w:firstLineChars="200"/>
              <w:rPr>
                <w:b/>
                <w:color w:val="auto"/>
                <w:sz w:val="24"/>
                <w:highlight w:val="none"/>
              </w:rPr>
            </w:pPr>
            <w:r>
              <w:rPr>
                <w:b/>
                <w:color w:val="auto"/>
                <w:sz w:val="24"/>
                <w:highlight w:val="none"/>
              </w:rPr>
              <w:t>（4）生态环境准入清单符合性分析</w:t>
            </w:r>
          </w:p>
          <w:p>
            <w:pPr>
              <w:spacing w:line="360" w:lineRule="auto"/>
              <w:ind w:firstLine="480" w:firstLineChars="200"/>
              <w:rPr>
                <w:color w:val="auto"/>
                <w:sz w:val="24"/>
                <w:highlight w:val="none"/>
              </w:rPr>
            </w:pPr>
            <w:r>
              <w:rPr>
                <w:color w:val="auto"/>
                <w:sz w:val="24"/>
                <w:highlight w:val="none"/>
              </w:rPr>
              <w:t>本项目位于南京江宁经济技术开发区秣陵街道康平街2号北方夜视技术股份有限公司现有厂房内，本项目属于C3971电子真空器件制造，对照园区产业发展负面清单，本项目不属于园区产业发展负面清单所列项目。</w:t>
            </w:r>
          </w:p>
          <w:p>
            <w:pPr>
              <w:pStyle w:val="2"/>
              <w:spacing w:line="360" w:lineRule="auto"/>
              <w:ind w:firstLine="480" w:firstLineChars="200"/>
              <w:rPr>
                <w:color w:val="auto"/>
                <w:sz w:val="24"/>
                <w:szCs w:val="24"/>
                <w:highlight w:val="none"/>
              </w:rPr>
            </w:pPr>
            <w:r>
              <w:rPr>
                <w:color w:val="auto"/>
                <w:sz w:val="24"/>
                <w:szCs w:val="24"/>
                <w:highlight w:val="none"/>
              </w:rPr>
              <w:t>对照《市场准入负面清单（2022年版）》（发改体改规[2022]397号）、《关于印发&lt;长江经济带发展负面清单指南&gt;（试行，2022年版）》的通知》（长江办[2022]7号）、《市政府关于印发&lt;南京市建设项目环境准入暂行规定&gt;的通知》（宁政发[2015]251号），《关于印发《江宁区建设项目环境准入“负面清单”（2020）》的通知（江宁政发[2020]120号）》和江宁经济技术开发区规划各片区禁止发展的产业清单，项目不在禁止范围内。</w:t>
            </w:r>
          </w:p>
          <w:p>
            <w:pPr>
              <w:pStyle w:val="2"/>
              <w:spacing w:line="360" w:lineRule="auto"/>
              <w:ind w:firstLine="480" w:firstLineChars="200"/>
              <w:rPr>
                <w:color w:val="auto"/>
                <w:sz w:val="24"/>
                <w:szCs w:val="24"/>
                <w:highlight w:val="none"/>
              </w:rPr>
            </w:pPr>
            <w:r>
              <w:rPr>
                <w:color w:val="auto"/>
                <w:sz w:val="24"/>
                <w:szCs w:val="24"/>
                <w:highlight w:val="none"/>
              </w:rPr>
              <w:t>综上所述，本项目的建设符合“三线一单”的控制要求。</w:t>
            </w:r>
          </w:p>
          <w:p>
            <w:pPr>
              <w:spacing w:line="360" w:lineRule="auto"/>
              <w:rPr>
                <w:b/>
                <w:bCs/>
                <w:color w:val="auto"/>
                <w:sz w:val="24"/>
                <w:highlight w:val="none"/>
              </w:rPr>
            </w:pPr>
            <w:r>
              <w:rPr>
                <w:rFonts w:hint="eastAsia"/>
                <w:b/>
                <w:bCs/>
                <w:color w:val="auto"/>
                <w:sz w:val="24"/>
                <w:highlight w:val="none"/>
              </w:rPr>
              <w:t>2</w:t>
            </w:r>
            <w:r>
              <w:rPr>
                <w:b/>
                <w:bCs/>
                <w:color w:val="auto"/>
                <w:sz w:val="24"/>
                <w:highlight w:val="none"/>
              </w:rPr>
              <w:t>、与其他相关生态环境保护法律法规政策、生态环境保护规划的符合性分析</w:t>
            </w:r>
          </w:p>
          <w:p>
            <w:pPr>
              <w:spacing w:line="360" w:lineRule="auto"/>
              <w:ind w:firstLine="482"/>
              <w:rPr>
                <w:b/>
                <w:color w:val="auto"/>
                <w:sz w:val="24"/>
                <w:highlight w:val="none"/>
              </w:rPr>
            </w:pPr>
            <w:r>
              <w:rPr>
                <w:b/>
                <w:color w:val="auto"/>
                <w:sz w:val="24"/>
                <w:highlight w:val="none"/>
              </w:rPr>
              <w:t>（1）与产业政策相符性分析</w:t>
            </w:r>
          </w:p>
          <w:p>
            <w:pPr>
              <w:spacing w:line="360" w:lineRule="auto"/>
              <w:ind w:firstLine="482"/>
              <w:rPr>
                <w:color w:val="auto"/>
                <w:sz w:val="24"/>
                <w:highlight w:val="none"/>
              </w:rPr>
            </w:pPr>
            <w:r>
              <w:rPr>
                <w:color w:val="auto"/>
                <w:sz w:val="24"/>
                <w:highlight w:val="none"/>
              </w:rPr>
              <w:t>本项目为C3971电子真空器件制造，属于《产业结构调整指导目录（2019年本）》（2021年修改）鼓励类项目；不属于江苏省经济贸易委员会发布的《江苏省工业和信息产业结构调整限制、淘汰目录和能耗限额（2015年本）》中的限制类和淘汰类的有关条款；属于《省政府办公厅关于印发江苏省“产业强链”三年行动计划（2021－2023年）的通知》（苏政办发〔2020〕82号）50条重点产业链目录中项目。本项目的建设符合国家及地方的产业政策。</w:t>
            </w:r>
          </w:p>
          <w:p>
            <w:pPr>
              <w:spacing w:line="360" w:lineRule="auto"/>
              <w:ind w:firstLine="482"/>
              <w:rPr>
                <w:b/>
                <w:color w:val="auto"/>
                <w:sz w:val="24"/>
                <w:highlight w:val="none"/>
              </w:rPr>
            </w:pPr>
            <w:r>
              <w:rPr>
                <w:rFonts w:hint="eastAsia"/>
                <w:b/>
                <w:color w:val="auto"/>
                <w:sz w:val="24"/>
                <w:highlight w:val="none"/>
              </w:rPr>
              <w:t>（2）</w:t>
            </w:r>
            <w:r>
              <w:rPr>
                <w:b/>
                <w:color w:val="auto"/>
                <w:sz w:val="24"/>
                <w:highlight w:val="none"/>
              </w:rPr>
              <w:t>与用地政策相符性</w:t>
            </w:r>
          </w:p>
          <w:p>
            <w:pPr>
              <w:spacing w:line="360" w:lineRule="auto"/>
              <w:ind w:firstLine="480" w:firstLineChars="200"/>
              <w:rPr>
                <w:color w:val="auto"/>
                <w:sz w:val="24"/>
                <w:highlight w:val="none"/>
              </w:rPr>
            </w:pPr>
            <w:r>
              <w:rPr>
                <w:color w:val="auto"/>
                <w:sz w:val="24"/>
                <w:highlight w:val="none"/>
              </w:rPr>
              <w:t>本项目位于江宁经济技术开发区北方夜视技术股份有限公司 现有8号厂房内，根据《江宁经济技术开发区总体发展规划（2020-2035）》近期土地利用规划（2025年）、远期土地利用规划（2035年），项目用地属于二类工业用地。符合规划用地要求。</w:t>
            </w:r>
          </w:p>
          <w:p>
            <w:pPr>
              <w:pStyle w:val="3"/>
              <w:spacing w:line="360" w:lineRule="auto"/>
              <w:ind w:firstLine="480" w:firstLineChars="200"/>
              <w:jc w:val="both"/>
              <w:rPr>
                <w:color w:val="auto"/>
                <w:sz w:val="24"/>
                <w:szCs w:val="24"/>
                <w:highlight w:val="none"/>
              </w:rPr>
            </w:pPr>
            <w:r>
              <w:rPr>
                <w:color w:val="auto"/>
                <w:sz w:val="24"/>
                <w:highlight w:val="none"/>
              </w:rPr>
              <w:t>对照国土资源部、国家发展和改革委员会《限制用地项目目录（2012年本）》和《禁止用地项目目录（2012年本）》以及《江苏省限制用地项目目录（2013 年本）》和《江苏省禁止用地项目目录（2013年本）》，本项目不属于限制和禁止用地项目。与用地政策相符。</w:t>
            </w:r>
          </w:p>
          <w:p>
            <w:pPr>
              <w:spacing w:line="360" w:lineRule="auto"/>
              <w:ind w:firstLine="602" w:firstLineChars="250"/>
              <w:rPr>
                <w:b/>
                <w:color w:val="auto"/>
                <w:sz w:val="24"/>
                <w:highlight w:val="none"/>
              </w:rPr>
            </w:pPr>
            <w:r>
              <w:rPr>
                <w:b/>
                <w:color w:val="auto"/>
                <w:sz w:val="24"/>
                <w:highlight w:val="none"/>
              </w:rPr>
              <w:t>（</w:t>
            </w:r>
            <w:r>
              <w:rPr>
                <w:rFonts w:hint="eastAsia"/>
                <w:b/>
                <w:color w:val="auto"/>
                <w:sz w:val="24"/>
                <w:highlight w:val="none"/>
              </w:rPr>
              <w:t>3</w:t>
            </w:r>
            <w:r>
              <w:rPr>
                <w:b/>
                <w:color w:val="auto"/>
                <w:sz w:val="24"/>
                <w:highlight w:val="none"/>
              </w:rPr>
              <w:t>）与苏环办〔2019〕327号文相符性分析</w:t>
            </w:r>
          </w:p>
          <w:p>
            <w:pPr>
              <w:spacing w:line="360" w:lineRule="auto"/>
              <w:jc w:val="center"/>
              <w:rPr>
                <w:b/>
                <w:color w:val="auto"/>
                <w:sz w:val="24"/>
                <w:highlight w:val="none"/>
              </w:rPr>
            </w:pPr>
            <w:r>
              <w:rPr>
                <w:b/>
                <w:color w:val="auto"/>
                <w:sz w:val="24"/>
                <w:highlight w:val="none"/>
              </w:rPr>
              <w:t>表1-</w:t>
            </w:r>
            <w:r>
              <w:rPr>
                <w:rFonts w:hint="eastAsia"/>
                <w:b/>
                <w:color w:val="auto"/>
                <w:sz w:val="24"/>
                <w:highlight w:val="none"/>
              </w:rPr>
              <w:t>7</w:t>
            </w:r>
            <w:r>
              <w:rPr>
                <w:b/>
                <w:color w:val="auto"/>
                <w:sz w:val="24"/>
                <w:highlight w:val="none"/>
              </w:rPr>
              <w:t xml:space="preserve">  危废仓库与苏环办〔2019〕327号文相符性分析表</w:t>
            </w:r>
          </w:p>
          <w:tbl>
            <w:tblPr>
              <w:tblStyle w:val="34"/>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9"/>
              <w:gridCol w:w="3356"/>
              <w:gridCol w:w="3175"/>
              <w:gridCol w:w="8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29" w:type="pct"/>
                  <w:vAlign w:val="center"/>
                </w:tcPr>
                <w:p>
                  <w:pPr>
                    <w:jc w:val="center"/>
                    <w:rPr>
                      <w:color w:val="auto"/>
                      <w:szCs w:val="21"/>
                      <w:highlight w:val="none"/>
                    </w:rPr>
                  </w:pPr>
                  <w:r>
                    <w:rPr>
                      <w:color w:val="auto"/>
                      <w:szCs w:val="21"/>
                      <w:highlight w:val="none"/>
                    </w:rPr>
                    <w:t>序号</w:t>
                  </w:r>
                </w:p>
              </w:tc>
              <w:tc>
                <w:tcPr>
                  <w:tcW w:w="2090" w:type="pct"/>
                  <w:vAlign w:val="center"/>
                </w:tcPr>
                <w:p>
                  <w:pPr>
                    <w:jc w:val="center"/>
                    <w:rPr>
                      <w:color w:val="auto"/>
                      <w:szCs w:val="21"/>
                      <w:highlight w:val="none"/>
                    </w:rPr>
                  </w:pPr>
                  <w:r>
                    <w:rPr>
                      <w:color w:val="auto"/>
                      <w:szCs w:val="21"/>
                      <w:highlight w:val="none"/>
                    </w:rPr>
                    <w:t>文件规定要求</w:t>
                  </w:r>
                </w:p>
              </w:tc>
              <w:tc>
                <w:tcPr>
                  <w:tcW w:w="1977" w:type="pct"/>
                  <w:vAlign w:val="center"/>
                </w:tcPr>
                <w:p>
                  <w:pPr>
                    <w:jc w:val="center"/>
                    <w:rPr>
                      <w:color w:val="auto"/>
                      <w:szCs w:val="21"/>
                      <w:highlight w:val="none"/>
                    </w:rPr>
                  </w:pPr>
                  <w:r>
                    <w:rPr>
                      <w:color w:val="auto"/>
                      <w:szCs w:val="21"/>
                      <w:highlight w:val="none"/>
                    </w:rPr>
                    <w:t>拟实施情况</w:t>
                  </w:r>
                </w:p>
              </w:tc>
              <w:tc>
                <w:tcPr>
                  <w:tcW w:w="502" w:type="pct"/>
                  <w:vAlign w:val="center"/>
                </w:tcPr>
                <w:p>
                  <w:pPr>
                    <w:jc w:val="center"/>
                    <w:rPr>
                      <w:color w:val="auto"/>
                      <w:szCs w:val="21"/>
                      <w:highlight w:val="none"/>
                    </w:rPr>
                  </w:pPr>
                  <w:r>
                    <w:rPr>
                      <w:color w:val="auto"/>
                      <w:szCs w:val="21"/>
                      <w:highlight w:val="none"/>
                    </w:rPr>
                    <w:t>符合性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29" w:type="pct"/>
                  <w:vAlign w:val="center"/>
                </w:tcPr>
                <w:p>
                  <w:pPr>
                    <w:numPr>
                      <w:ilvl w:val="0"/>
                      <w:numId w:val="1"/>
                    </w:numPr>
                    <w:jc w:val="center"/>
                    <w:rPr>
                      <w:color w:val="auto"/>
                      <w:szCs w:val="21"/>
                      <w:highlight w:val="none"/>
                    </w:rPr>
                  </w:pPr>
                </w:p>
              </w:tc>
              <w:tc>
                <w:tcPr>
                  <w:tcW w:w="2090" w:type="pct"/>
                  <w:vAlign w:val="center"/>
                </w:tcPr>
                <w:p>
                  <w:pPr>
                    <w:jc w:val="center"/>
                    <w:rPr>
                      <w:color w:val="auto"/>
                      <w:szCs w:val="21"/>
                      <w:highlight w:val="none"/>
                    </w:rPr>
                  </w:pPr>
                  <w:r>
                    <w:rPr>
                      <w:color w:val="auto"/>
                      <w:szCs w:val="21"/>
                      <w:highlight w:val="none"/>
                    </w:rPr>
                    <w:t>对建设项目危险废物种类、数量、属性、贮存设施、利用或处置方式进行科学分析。</w:t>
                  </w:r>
                </w:p>
              </w:tc>
              <w:tc>
                <w:tcPr>
                  <w:tcW w:w="1977" w:type="pct"/>
                  <w:vAlign w:val="center"/>
                </w:tcPr>
                <w:p>
                  <w:pPr>
                    <w:jc w:val="center"/>
                    <w:rPr>
                      <w:color w:val="auto"/>
                      <w:szCs w:val="21"/>
                      <w:highlight w:val="none"/>
                    </w:rPr>
                  </w:pPr>
                  <w:r>
                    <w:rPr>
                      <w:color w:val="auto"/>
                      <w:szCs w:val="21"/>
                      <w:highlight w:val="none"/>
                    </w:rPr>
                    <w:t>对项目产生的危险废物种类、数量、属性、贮存设施</w:t>
                  </w:r>
                  <w:r>
                    <w:rPr>
                      <w:color w:val="auto"/>
                      <w:szCs w:val="21"/>
                      <w:highlight w:val="none"/>
                    </w:rPr>
                    <w:cr/>
                  </w:r>
                  <w:r>
                    <w:rPr>
                      <w:color w:val="auto"/>
                      <w:szCs w:val="21"/>
                      <w:highlight w:val="none"/>
                    </w:rPr>
                    <w:t>利用或处置方式进行了分析。</w:t>
                  </w:r>
                </w:p>
              </w:tc>
              <w:tc>
                <w:tcPr>
                  <w:tcW w:w="502" w:type="pct"/>
                  <w:vAlign w:val="center"/>
                </w:tcPr>
                <w:p>
                  <w:pPr>
                    <w:jc w:val="center"/>
                    <w:rPr>
                      <w:color w:val="auto"/>
                      <w:szCs w:val="21"/>
                      <w:highlight w:val="none"/>
                    </w:rPr>
                  </w:pPr>
                  <w:r>
                    <w:rPr>
                      <w:color w:val="auto"/>
                      <w:szCs w:val="21"/>
                      <w:highlight w:val="none"/>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29" w:type="pct"/>
                  <w:vAlign w:val="center"/>
                </w:tcPr>
                <w:p>
                  <w:pPr>
                    <w:numPr>
                      <w:ilvl w:val="0"/>
                      <w:numId w:val="1"/>
                    </w:numPr>
                    <w:jc w:val="center"/>
                    <w:rPr>
                      <w:color w:val="auto"/>
                      <w:szCs w:val="21"/>
                      <w:highlight w:val="none"/>
                    </w:rPr>
                  </w:pPr>
                </w:p>
              </w:tc>
              <w:tc>
                <w:tcPr>
                  <w:tcW w:w="2090" w:type="pct"/>
                  <w:vAlign w:val="center"/>
                </w:tcPr>
                <w:p>
                  <w:pPr>
                    <w:jc w:val="center"/>
                    <w:rPr>
                      <w:color w:val="auto"/>
                      <w:szCs w:val="21"/>
                      <w:highlight w:val="none"/>
                    </w:rPr>
                  </w:pPr>
                  <w:r>
                    <w:rPr>
                      <w:color w:val="auto"/>
                      <w:szCs w:val="21"/>
                      <w:highlight w:val="none"/>
                    </w:rPr>
                    <w:t>对建设项目危险</w:t>
                  </w:r>
                  <w:r>
                    <w:rPr>
                      <w:rFonts w:hint="eastAsia"/>
                      <w:color w:val="auto"/>
                      <w:szCs w:val="21"/>
                      <w:highlight w:val="none"/>
                    </w:rPr>
                    <w:t>废</w:t>
                  </w:r>
                  <w:r>
                    <w:rPr>
                      <w:color w:val="auto"/>
                      <w:szCs w:val="21"/>
                      <w:highlight w:val="none"/>
                    </w:rPr>
                    <w:cr/>
                  </w:r>
                  <w:r>
                    <w:rPr>
                      <w:color w:val="auto"/>
                      <w:szCs w:val="21"/>
                      <w:highlight w:val="none"/>
                    </w:rPr>
                    <w:t>物环境影响以及环境风险评价，并提出切实可行的污染防治对策措施。</w:t>
                  </w:r>
                </w:p>
              </w:tc>
              <w:tc>
                <w:tcPr>
                  <w:tcW w:w="1977" w:type="pct"/>
                  <w:vAlign w:val="center"/>
                </w:tcPr>
                <w:p>
                  <w:pPr>
                    <w:jc w:val="center"/>
                    <w:rPr>
                      <w:color w:val="auto"/>
                      <w:szCs w:val="21"/>
                      <w:highlight w:val="none"/>
                    </w:rPr>
                  </w:pPr>
                  <w:r>
                    <w:rPr>
                      <w:color w:val="auto"/>
                      <w:szCs w:val="21"/>
                      <w:highlight w:val="none"/>
                    </w:rPr>
                    <w:t>建设项目危废不易发生泄漏，危废间地面采取防渗措施，设有防泄漏托盘。本项目提出危废储存污染防治措施，按要求编制突发环境事件应急预案。</w:t>
                  </w:r>
                </w:p>
              </w:tc>
              <w:tc>
                <w:tcPr>
                  <w:tcW w:w="502" w:type="pct"/>
                  <w:vAlign w:val="center"/>
                </w:tcPr>
                <w:p>
                  <w:pPr>
                    <w:jc w:val="center"/>
                    <w:rPr>
                      <w:color w:val="auto"/>
                      <w:highlight w:val="none"/>
                    </w:rPr>
                  </w:pPr>
                  <w:r>
                    <w:rPr>
                      <w:color w:val="auto"/>
                      <w:szCs w:val="21"/>
                      <w:highlight w:val="none"/>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29" w:type="pct"/>
                  <w:vAlign w:val="center"/>
                </w:tcPr>
                <w:p>
                  <w:pPr>
                    <w:numPr>
                      <w:ilvl w:val="0"/>
                      <w:numId w:val="1"/>
                    </w:numPr>
                    <w:jc w:val="center"/>
                    <w:rPr>
                      <w:color w:val="auto"/>
                      <w:szCs w:val="21"/>
                      <w:highlight w:val="none"/>
                    </w:rPr>
                  </w:pPr>
                </w:p>
              </w:tc>
              <w:tc>
                <w:tcPr>
                  <w:tcW w:w="2090" w:type="pct"/>
                  <w:vAlign w:val="center"/>
                </w:tcPr>
                <w:p>
                  <w:pPr>
                    <w:jc w:val="center"/>
                    <w:rPr>
                      <w:color w:val="auto"/>
                      <w:szCs w:val="21"/>
                      <w:highlight w:val="none"/>
                    </w:rPr>
                  </w:pPr>
                  <w:r>
                    <w:rPr>
                      <w:color w:val="auto"/>
                      <w:szCs w:val="21"/>
                      <w:highlight w:val="none"/>
                    </w:rPr>
                    <w:t>企业应根据危险废物的种类和特性进行分区、分类贮存。</w:t>
                  </w:r>
                </w:p>
              </w:tc>
              <w:tc>
                <w:tcPr>
                  <w:tcW w:w="1977" w:type="pct"/>
                  <w:vAlign w:val="center"/>
                </w:tcPr>
                <w:p>
                  <w:pPr>
                    <w:jc w:val="center"/>
                    <w:rPr>
                      <w:color w:val="auto"/>
                      <w:szCs w:val="21"/>
                      <w:highlight w:val="none"/>
                    </w:rPr>
                  </w:pPr>
                  <w:r>
                    <w:rPr>
                      <w:color w:val="auto"/>
                      <w:szCs w:val="21"/>
                      <w:highlight w:val="none"/>
                    </w:rPr>
                    <w:t>危废采用密闭贮存，危废分区、分类进行存放，各种类危废存放区域均设有危废标识。</w:t>
                  </w:r>
                </w:p>
              </w:tc>
              <w:tc>
                <w:tcPr>
                  <w:tcW w:w="502" w:type="pct"/>
                  <w:vAlign w:val="center"/>
                </w:tcPr>
                <w:p>
                  <w:pPr>
                    <w:jc w:val="center"/>
                    <w:rPr>
                      <w:color w:val="auto"/>
                      <w:highlight w:val="none"/>
                    </w:rPr>
                  </w:pPr>
                  <w:r>
                    <w:rPr>
                      <w:color w:val="auto"/>
                      <w:szCs w:val="21"/>
                      <w:highlight w:val="none"/>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29" w:type="pct"/>
                  <w:vAlign w:val="center"/>
                </w:tcPr>
                <w:p>
                  <w:pPr>
                    <w:numPr>
                      <w:ilvl w:val="0"/>
                      <w:numId w:val="1"/>
                    </w:numPr>
                    <w:jc w:val="center"/>
                    <w:rPr>
                      <w:color w:val="auto"/>
                      <w:szCs w:val="21"/>
                      <w:highlight w:val="none"/>
                    </w:rPr>
                  </w:pPr>
                </w:p>
              </w:tc>
              <w:tc>
                <w:tcPr>
                  <w:tcW w:w="2090" w:type="pct"/>
                  <w:vAlign w:val="center"/>
                </w:tcPr>
                <w:p>
                  <w:pPr>
                    <w:jc w:val="center"/>
                    <w:rPr>
                      <w:color w:val="auto"/>
                      <w:szCs w:val="21"/>
                      <w:highlight w:val="none"/>
                    </w:rPr>
                  </w:pPr>
                  <w:r>
                    <w:rPr>
                      <w:color w:val="auto"/>
                      <w:szCs w:val="21"/>
                      <w:highlight w:val="none"/>
                    </w:rPr>
                    <w:t>危险废物贮存设置防雨、防火、防雷、防扬散、防渗漏装置及泄漏液体收集装置。</w:t>
                  </w:r>
                </w:p>
              </w:tc>
              <w:tc>
                <w:tcPr>
                  <w:tcW w:w="1977" w:type="pct"/>
                  <w:vAlign w:val="center"/>
                </w:tcPr>
                <w:p>
                  <w:pPr>
                    <w:jc w:val="center"/>
                    <w:rPr>
                      <w:color w:val="auto"/>
                      <w:szCs w:val="21"/>
                      <w:highlight w:val="none"/>
                    </w:rPr>
                  </w:pPr>
                  <w:r>
                    <w:rPr>
                      <w:color w:val="auto"/>
                      <w:szCs w:val="21"/>
                      <w:highlight w:val="none"/>
                    </w:rPr>
                    <w:t>危险废物贮存设置防雨、防火</w:t>
                  </w:r>
                  <w:r>
                    <w:rPr>
                      <w:color w:val="auto"/>
                      <w:szCs w:val="21"/>
                      <w:highlight w:val="none"/>
                    </w:rPr>
                    <w:cr/>
                  </w:r>
                  <w:r>
                    <w:rPr>
                      <w:color w:val="auto"/>
                      <w:szCs w:val="21"/>
                      <w:highlight w:val="none"/>
                    </w:rPr>
                    <w:t>防雷、防扬散、防渗漏装置及泄漏液体收集装置。</w:t>
                  </w:r>
                </w:p>
              </w:tc>
              <w:tc>
                <w:tcPr>
                  <w:tcW w:w="502" w:type="pct"/>
                  <w:vAlign w:val="center"/>
                </w:tcPr>
                <w:p>
                  <w:pPr>
                    <w:jc w:val="center"/>
                    <w:rPr>
                      <w:color w:val="auto"/>
                      <w:highlight w:val="none"/>
                    </w:rPr>
                  </w:pPr>
                  <w:r>
                    <w:rPr>
                      <w:color w:val="auto"/>
                      <w:szCs w:val="21"/>
                      <w:highlight w:val="none"/>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29" w:type="pct"/>
                  <w:vAlign w:val="center"/>
                </w:tcPr>
                <w:p>
                  <w:pPr>
                    <w:numPr>
                      <w:ilvl w:val="0"/>
                      <w:numId w:val="1"/>
                    </w:numPr>
                    <w:jc w:val="center"/>
                    <w:rPr>
                      <w:color w:val="auto"/>
                      <w:szCs w:val="21"/>
                      <w:highlight w:val="none"/>
                    </w:rPr>
                  </w:pPr>
                </w:p>
              </w:tc>
              <w:tc>
                <w:tcPr>
                  <w:tcW w:w="2090" w:type="pct"/>
                  <w:vAlign w:val="center"/>
                </w:tcPr>
                <w:p>
                  <w:pPr>
                    <w:jc w:val="center"/>
                    <w:rPr>
                      <w:color w:val="auto"/>
                      <w:szCs w:val="21"/>
                      <w:highlight w:val="none"/>
                    </w:rPr>
                  </w:pPr>
                  <w:r>
                    <w:rPr>
                      <w:color w:val="auto"/>
                      <w:szCs w:val="21"/>
                      <w:highlight w:val="none"/>
                    </w:rPr>
                    <w:t>对易爆、易燃及排出有毒气体的危险废物进行预处理，稳定后贮存。</w:t>
                  </w:r>
                </w:p>
              </w:tc>
              <w:tc>
                <w:tcPr>
                  <w:tcW w:w="1977" w:type="pct"/>
                  <w:vAlign w:val="center"/>
                </w:tcPr>
                <w:p>
                  <w:pPr>
                    <w:jc w:val="center"/>
                    <w:rPr>
                      <w:color w:val="auto"/>
                      <w:szCs w:val="21"/>
                      <w:highlight w:val="none"/>
                    </w:rPr>
                  </w:pPr>
                  <w:r>
                    <w:rPr>
                      <w:color w:val="auto"/>
                      <w:szCs w:val="21"/>
                      <w:highlight w:val="none"/>
                    </w:rPr>
                    <w:t>本项目废丙酮、乙醇属于易燃、易爆危险废物，进行稳定处理后贮存。</w:t>
                  </w:r>
                </w:p>
              </w:tc>
              <w:tc>
                <w:tcPr>
                  <w:tcW w:w="502" w:type="pct"/>
                  <w:vAlign w:val="center"/>
                </w:tcPr>
                <w:p>
                  <w:pPr>
                    <w:jc w:val="center"/>
                    <w:rPr>
                      <w:color w:val="auto"/>
                      <w:highlight w:val="none"/>
                    </w:rPr>
                  </w:pPr>
                  <w:r>
                    <w:rPr>
                      <w:color w:val="auto"/>
                      <w:szCs w:val="21"/>
                      <w:highlight w:val="none"/>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29" w:type="pct"/>
                  <w:vAlign w:val="center"/>
                </w:tcPr>
                <w:p>
                  <w:pPr>
                    <w:numPr>
                      <w:ilvl w:val="0"/>
                      <w:numId w:val="1"/>
                    </w:numPr>
                    <w:jc w:val="center"/>
                    <w:rPr>
                      <w:color w:val="auto"/>
                      <w:szCs w:val="21"/>
                      <w:highlight w:val="none"/>
                    </w:rPr>
                  </w:pPr>
                </w:p>
              </w:tc>
              <w:tc>
                <w:tcPr>
                  <w:tcW w:w="2090" w:type="pct"/>
                  <w:vAlign w:val="center"/>
                </w:tcPr>
                <w:p>
                  <w:pPr>
                    <w:jc w:val="center"/>
                    <w:rPr>
                      <w:color w:val="auto"/>
                      <w:szCs w:val="21"/>
                      <w:highlight w:val="none"/>
                    </w:rPr>
                  </w:pPr>
                  <w:r>
                    <w:rPr>
                      <w:color w:val="auto"/>
                      <w:szCs w:val="21"/>
                      <w:highlight w:val="none"/>
                    </w:rPr>
                    <w:t>贮存废弃剧毒化学品的，应按照公安机关要求落实治安防范措施。</w:t>
                  </w:r>
                </w:p>
              </w:tc>
              <w:tc>
                <w:tcPr>
                  <w:tcW w:w="1977" w:type="pct"/>
                  <w:vAlign w:val="center"/>
                </w:tcPr>
                <w:p>
                  <w:pPr>
                    <w:jc w:val="center"/>
                    <w:rPr>
                      <w:color w:val="auto"/>
                      <w:szCs w:val="21"/>
                      <w:highlight w:val="none"/>
                    </w:rPr>
                  </w:pPr>
                  <w:r>
                    <w:rPr>
                      <w:color w:val="auto"/>
                      <w:szCs w:val="21"/>
                      <w:highlight w:val="none"/>
                    </w:rPr>
                    <w:t>项目不涉及废弃剧毒化学品</w:t>
                  </w:r>
                </w:p>
              </w:tc>
              <w:tc>
                <w:tcPr>
                  <w:tcW w:w="502" w:type="pct"/>
                  <w:vAlign w:val="center"/>
                </w:tcPr>
                <w:p>
                  <w:pPr>
                    <w:jc w:val="center"/>
                    <w:rPr>
                      <w:color w:val="auto"/>
                      <w:highlight w:val="none"/>
                    </w:rPr>
                  </w:pPr>
                  <w:r>
                    <w:rPr>
                      <w:color w:val="auto"/>
                      <w:szCs w:val="21"/>
                      <w:highlight w:val="none"/>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29" w:type="pct"/>
                  <w:vAlign w:val="center"/>
                </w:tcPr>
                <w:p>
                  <w:pPr>
                    <w:numPr>
                      <w:ilvl w:val="0"/>
                      <w:numId w:val="1"/>
                    </w:numPr>
                    <w:jc w:val="center"/>
                    <w:rPr>
                      <w:color w:val="auto"/>
                      <w:szCs w:val="21"/>
                      <w:highlight w:val="none"/>
                    </w:rPr>
                  </w:pPr>
                </w:p>
              </w:tc>
              <w:tc>
                <w:tcPr>
                  <w:tcW w:w="2090" w:type="pct"/>
                  <w:vAlign w:val="center"/>
                </w:tcPr>
                <w:p>
                  <w:pPr>
                    <w:jc w:val="center"/>
                    <w:rPr>
                      <w:color w:val="auto"/>
                      <w:szCs w:val="21"/>
                      <w:highlight w:val="none"/>
                    </w:rPr>
                  </w:pPr>
                  <w:r>
                    <w:rPr>
                      <w:color w:val="auto"/>
                      <w:szCs w:val="21"/>
                      <w:highlight w:val="none"/>
                    </w:rPr>
                    <w:t>企业严格执行《省生态环境厅关于印发江苏省危险废物贮存规范化管理专项整治行动方案的通知》（苏环办〔2019〕149号）要求，按照《环保图形标志固体废物贮存（处置）场》（GB15562.2-1995）和危险废物识别标识设置规范设置标志（具体要求必须符合苏环办[2019]327号附件1“危险废物识别标识规范化设置要求”的规定）。</w:t>
                  </w:r>
                </w:p>
              </w:tc>
              <w:tc>
                <w:tcPr>
                  <w:tcW w:w="1977" w:type="pct"/>
                  <w:vAlign w:val="center"/>
                </w:tcPr>
                <w:p>
                  <w:pPr>
                    <w:jc w:val="center"/>
                    <w:rPr>
                      <w:color w:val="auto"/>
                      <w:szCs w:val="21"/>
                      <w:highlight w:val="none"/>
                    </w:rPr>
                  </w:pPr>
                  <w:r>
                    <w:rPr>
                      <w:color w:val="auto"/>
                      <w:szCs w:val="21"/>
                      <w:highlight w:val="none"/>
                    </w:rPr>
                    <w:t>厂区门口设置危废信息公开栏，危废间外墙墙面及室内危废贮存设置符合苏环办[2019]327号附件1“危险废物识别标识规范化设置要求”的规定。</w:t>
                  </w:r>
                </w:p>
              </w:tc>
              <w:tc>
                <w:tcPr>
                  <w:tcW w:w="502" w:type="pct"/>
                  <w:vAlign w:val="center"/>
                </w:tcPr>
                <w:p>
                  <w:pPr>
                    <w:jc w:val="center"/>
                    <w:rPr>
                      <w:color w:val="auto"/>
                      <w:highlight w:val="none"/>
                    </w:rPr>
                  </w:pPr>
                  <w:r>
                    <w:rPr>
                      <w:color w:val="auto"/>
                      <w:szCs w:val="21"/>
                      <w:highlight w:val="none"/>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29" w:type="pct"/>
                  <w:vAlign w:val="center"/>
                </w:tcPr>
                <w:p>
                  <w:pPr>
                    <w:numPr>
                      <w:ilvl w:val="0"/>
                      <w:numId w:val="1"/>
                    </w:numPr>
                    <w:jc w:val="center"/>
                    <w:rPr>
                      <w:color w:val="auto"/>
                      <w:szCs w:val="21"/>
                      <w:highlight w:val="none"/>
                    </w:rPr>
                  </w:pPr>
                </w:p>
              </w:tc>
              <w:tc>
                <w:tcPr>
                  <w:tcW w:w="2090" w:type="pct"/>
                  <w:vAlign w:val="center"/>
                </w:tcPr>
                <w:p>
                  <w:pPr>
                    <w:jc w:val="center"/>
                    <w:rPr>
                      <w:color w:val="auto"/>
                      <w:szCs w:val="21"/>
                      <w:highlight w:val="none"/>
                    </w:rPr>
                  </w:pPr>
                  <w:r>
                    <w:rPr>
                      <w:color w:val="auto"/>
                      <w:szCs w:val="21"/>
                      <w:highlight w:val="none"/>
                    </w:rPr>
                    <w:t>危废仓库须配备照明设施和消防设施</w:t>
                  </w:r>
                  <w:r>
                    <w:rPr>
                      <w:rFonts w:hint="eastAsia"/>
                      <w:color w:val="auto"/>
                      <w:szCs w:val="21"/>
                      <w:highlight w:val="none"/>
                    </w:rPr>
                    <w:t>。</w:t>
                  </w:r>
                </w:p>
              </w:tc>
              <w:tc>
                <w:tcPr>
                  <w:tcW w:w="1977" w:type="pct"/>
                  <w:vAlign w:val="center"/>
                </w:tcPr>
                <w:p>
                  <w:pPr>
                    <w:jc w:val="center"/>
                    <w:rPr>
                      <w:color w:val="auto"/>
                      <w:szCs w:val="21"/>
                      <w:highlight w:val="none"/>
                    </w:rPr>
                  </w:pPr>
                  <w:r>
                    <w:rPr>
                      <w:color w:val="auto"/>
                      <w:szCs w:val="21"/>
                      <w:highlight w:val="none"/>
                    </w:rPr>
                    <w:t>危废间内配备防爆灯、禁火标志、配备灭火器、黄沙等。</w:t>
                  </w:r>
                </w:p>
              </w:tc>
              <w:tc>
                <w:tcPr>
                  <w:tcW w:w="502" w:type="pct"/>
                  <w:vAlign w:val="center"/>
                </w:tcPr>
                <w:p>
                  <w:pPr>
                    <w:jc w:val="center"/>
                    <w:rPr>
                      <w:color w:val="auto"/>
                      <w:highlight w:val="none"/>
                    </w:rPr>
                  </w:pPr>
                  <w:r>
                    <w:rPr>
                      <w:color w:val="auto"/>
                      <w:szCs w:val="21"/>
                      <w:highlight w:val="none"/>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29" w:type="pct"/>
                  <w:vAlign w:val="center"/>
                </w:tcPr>
                <w:p>
                  <w:pPr>
                    <w:numPr>
                      <w:ilvl w:val="0"/>
                      <w:numId w:val="1"/>
                    </w:numPr>
                    <w:jc w:val="center"/>
                    <w:rPr>
                      <w:color w:val="auto"/>
                      <w:szCs w:val="21"/>
                      <w:highlight w:val="none"/>
                    </w:rPr>
                  </w:pPr>
                </w:p>
              </w:tc>
              <w:tc>
                <w:tcPr>
                  <w:tcW w:w="2090" w:type="pct"/>
                  <w:vAlign w:val="center"/>
                </w:tcPr>
                <w:p>
                  <w:pPr>
                    <w:jc w:val="center"/>
                    <w:rPr>
                      <w:color w:val="auto"/>
                      <w:szCs w:val="21"/>
                      <w:highlight w:val="none"/>
                    </w:rPr>
                  </w:pPr>
                  <w:r>
                    <w:rPr>
                      <w:color w:val="auto"/>
                      <w:szCs w:val="21"/>
                      <w:highlight w:val="none"/>
                    </w:rPr>
                    <w:t>危险废物仓库须设置气体导出口及气体净化装置，确保废气达标排放</w:t>
                  </w:r>
                  <w:r>
                    <w:rPr>
                      <w:rFonts w:hint="eastAsia"/>
                      <w:color w:val="auto"/>
                      <w:szCs w:val="21"/>
                      <w:highlight w:val="none"/>
                    </w:rPr>
                    <w:t>。</w:t>
                  </w:r>
                </w:p>
              </w:tc>
              <w:tc>
                <w:tcPr>
                  <w:tcW w:w="1977" w:type="pct"/>
                  <w:vAlign w:val="center"/>
                </w:tcPr>
                <w:p>
                  <w:pPr>
                    <w:jc w:val="center"/>
                    <w:rPr>
                      <w:color w:val="auto"/>
                      <w:szCs w:val="21"/>
                      <w:highlight w:val="none"/>
                    </w:rPr>
                  </w:pPr>
                  <w:r>
                    <w:rPr>
                      <w:color w:val="auto"/>
                      <w:szCs w:val="21"/>
                      <w:highlight w:val="none"/>
                    </w:rPr>
                    <w:t>危险废物仓库设置气体导出口及气体净化装置，确保废气达标排放。</w:t>
                  </w:r>
                </w:p>
              </w:tc>
              <w:tc>
                <w:tcPr>
                  <w:tcW w:w="502" w:type="pct"/>
                  <w:vAlign w:val="center"/>
                </w:tcPr>
                <w:p>
                  <w:pPr>
                    <w:jc w:val="center"/>
                    <w:rPr>
                      <w:color w:val="auto"/>
                      <w:highlight w:val="none"/>
                    </w:rPr>
                  </w:pPr>
                  <w:r>
                    <w:rPr>
                      <w:color w:val="auto"/>
                      <w:szCs w:val="21"/>
                      <w:highlight w:val="none"/>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29" w:type="pct"/>
                  <w:vAlign w:val="center"/>
                </w:tcPr>
                <w:p>
                  <w:pPr>
                    <w:numPr>
                      <w:ilvl w:val="0"/>
                      <w:numId w:val="1"/>
                    </w:numPr>
                    <w:jc w:val="center"/>
                    <w:rPr>
                      <w:color w:val="auto"/>
                      <w:szCs w:val="21"/>
                      <w:highlight w:val="none"/>
                    </w:rPr>
                  </w:pPr>
                </w:p>
              </w:tc>
              <w:tc>
                <w:tcPr>
                  <w:tcW w:w="2090" w:type="pct"/>
                  <w:vAlign w:val="center"/>
                </w:tcPr>
                <w:p>
                  <w:pPr>
                    <w:jc w:val="center"/>
                    <w:rPr>
                      <w:color w:val="auto"/>
                      <w:szCs w:val="21"/>
                      <w:highlight w:val="none"/>
                    </w:rPr>
                  </w:pPr>
                  <w:r>
                    <w:rPr>
                      <w:color w:val="auto"/>
                      <w:szCs w:val="21"/>
                      <w:highlight w:val="none"/>
                    </w:rPr>
                    <w:t>在危险废物仓库出入口、设施内部、危险废物运输车辆通道等关键位置按照危险废物贮存设施视频监控布设要求设置视频监控，并与中控室联网（具体要求必须符合苏环办[2019]327号</w:t>
                  </w:r>
                  <w:r>
                    <w:rPr>
                      <w:color w:val="auto"/>
                      <w:szCs w:val="21"/>
                      <w:highlight w:val="none"/>
                    </w:rPr>
                    <w:cr/>
                  </w:r>
                  <w:r>
                    <w:rPr>
                      <w:color w:val="auto"/>
                      <w:szCs w:val="21"/>
                      <w:highlight w:val="none"/>
                    </w:rPr>
                    <w:t>件2“危险废物贮存设施视频监控布设要求”的规定）</w:t>
                  </w:r>
                </w:p>
              </w:tc>
              <w:tc>
                <w:tcPr>
                  <w:tcW w:w="1977" w:type="pct"/>
                  <w:vAlign w:val="center"/>
                </w:tcPr>
                <w:p>
                  <w:pPr>
                    <w:jc w:val="center"/>
                    <w:rPr>
                      <w:color w:val="auto"/>
                      <w:szCs w:val="21"/>
                      <w:highlight w:val="none"/>
                    </w:rPr>
                  </w:pPr>
                  <w:r>
                    <w:rPr>
                      <w:color w:val="auto"/>
                      <w:szCs w:val="21"/>
                      <w:highlight w:val="none"/>
                    </w:rPr>
                    <w:t>危废间设置监控系统，在危废间出入口、内部、厂门口位置安装视频监控设施，进行实时监控，并与中控室联网。</w:t>
                  </w:r>
                </w:p>
              </w:tc>
              <w:tc>
                <w:tcPr>
                  <w:tcW w:w="502" w:type="pct"/>
                  <w:vAlign w:val="center"/>
                </w:tcPr>
                <w:p>
                  <w:pPr>
                    <w:jc w:val="center"/>
                    <w:rPr>
                      <w:color w:val="auto"/>
                      <w:highlight w:val="none"/>
                    </w:rPr>
                  </w:pPr>
                  <w:r>
                    <w:rPr>
                      <w:color w:val="auto"/>
                      <w:szCs w:val="21"/>
                      <w:highlight w:val="none"/>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29" w:type="pct"/>
                  <w:vAlign w:val="center"/>
                </w:tcPr>
                <w:p>
                  <w:pPr>
                    <w:numPr>
                      <w:ilvl w:val="0"/>
                      <w:numId w:val="1"/>
                    </w:numPr>
                    <w:jc w:val="center"/>
                    <w:rPr>
                      <w:color w:val="auto"/>
                      <w:szCs w:val="21"/>
                      <w:highlight w:val="none"/>
                    </w:rPr>
                  </w:pPr>
                </w:p>
              </w:tc>
              <w:tc>
                <w:tcPr>
                  <w:tcW w:w="2090" w:type="pct"/>
                  <w:vAlign w:val="center"/>
                </w:tcPr>
                <w:p>
                  <w:pPr>
                    <w:jc w:val="center"/>
                    <w:rPr>
                      <w:color w:val="auto"/>
                      <w:szCs w:val="21"/>
                      <w:highlight w:val="none"/>
                    </w:rPr>
                  </w:pPr>
                  <w:r>
                    <w:rPr>
                      <w:color w:val="auto"/>
                      <w:szCs w:val="21"/>
                      <w:highlight w:val="none"/>
                    </w:rPr>
                    <w:t>环评文件中涉及有副产品内容的，应严格对照《固体废物鉴别标准通则》（GB34330-2017），依据其产生来源、利用和处置过程等进行鉴别，禁止以</w:t>
                  </w:r>
                  <w:r>
                    <w:rPr>
                      <w:color w:val="auto"/>
                      <w:szCs w:val="21"/>
                      <w:highlight w:val="none"/>
                    </w:rPr>
                    <w:cr/>
                  </w:r>
                  <w:r>
                    <w:rPr>
                      <w:color w:val="auto"/>
                      <w:szCs w:val="21"/>
                      <w:highlight w:val="none"/>
                    </w:rPr>
                    <w:t>产品的名义逃避监管。</w:t>
                  </w:r>
                </w:p>
              </w:tc>
              <w:tc>
                <w:tcPr>
                  <w:tcW w:w="1977" w:type="pct"/>
                  <w:vAlign w:val="center"/>
                </w:tcPr>
                <w:p>
                  <w:pPr>
                    <w:jc w:val="center"/>
                    <w:rPr>
                      <w:color w:val="auto"/>
                      <w:szCs w:val="21"/>
                      <w:highlight w:val="none"/>
                    </w:rPr>
                  </w:pPr>
                  <w:r>
                    <w:rPr>
                      <w:color w:val="auto"/>
                      <w:szCs w:val="21"/>
                      <w:highlight w:val="none"/>
                    </w:rPr>
                    <w:t>项目产生的固体废物已对照《固体废物鉴别标准通则》（GB34330-2017）进行分析，定位为固体废物，不属于副产品。</w:t>
                  </w:r>
                </w:p>
              </w:tc>
              <w:tc>
                <w:tcPr>
                  <w:tcW w:w="502" w:type="pct"/>
                  <w:vAlign w:val="center"/>
                </w:tcPr>
                <w:p>
                  <w:pPr>
                    <w:jc w:val="center"/>
                    <w:rPr>
                      <w:color w:val="auto"/>
                      <w:highlight w:val="none"/>
                    </w:rPr>
                  </w:pPr>
                  <w:r>
                    <w:rPr>
                      <w:color w:val="auto"/>
                      <w:szCs w:val="21"/>
                      <w:highlight w:val="none"/>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29" w:type="pct"/>
                  <w:vAlign w:val="center"/>
                </w:tcPr>
                <w:p>
                  <w:pPr>
                    <w:numPr>
                      <w:ilvl w:val="0"/>
                      <w:numId w:val="1"/>
                    </w:numPr>
                    <w:jc w:val="center"/>
                    <w:rPr>
                      <w:color w:val="auto"/>
                      <w:szCs w:val="21"/>
                      <w:highlight w:val="none"/>
                    </w:rPr>
                  </w:pPr>
                </w:p>
              </w:tc>
              <w:tc>
                <w:tcPr>
                  <w:tcW w:w="2090" w:type="pct"/>
                  <w:vAlign w:val="center"/>
                </w:tcPr>
                <w:p>
                  <w:pPr>
                    <w:jc w:val="center"/>
                    <w:rPr>
                      <w:color w:val="auto"/>
                      <w:szCs w:val="21"/>
                      <w:highlight w:val="none"/>
                    </w:rPr>
                  </w:pPr>
                  <w:r>
                    <w:rPr>
                      <w:color w:val="auto"/>
                      <w:szCs w:val="21"/>
                      <w:highlight w:val="none"/>
                    </w:rPr>
                    <w:t>贮存易爆、易燃及出有毒气体的危险废物贮存设施应按照应急管理、消防、规划建设等相关职能部门的要求办理相关手续</w:t>
                  </w:r>
                </w:p>
              </w:tc>
              <w:tc>
                <w:tcPr>
                  <w:tcW w:w="1977" w:type="pct"/>
                  <w:vAlign w:val="center"/>
                </w:tcPr>
                <w:p>
                  <w:pPr>
                    <w:jc w:val="center"/>
                    <w:rPr>
                      <w:color w:val="auto"/>
                      <w:szCs w:val="21"/>
                      <w:highlight w:val="none"/>
                    </w:rPr>
                  </w:pPr>
                  <w:r>
                    <w:rPr>
                      <w:color w:val="auto"/>
                      <w:szCs w:val="21"/>
                      <w:highlight w:val="none"/>
                    </w:rPr>
                    <w:t>本项目危险废物贮存设施按照应急管理、消防、规划建设按相关职能部门的要求办理相关手续。</w:t>
                  </w:r>
                </w:p>
              </w:tc>
              <w:tc>
                <w:tcPr>
                  <w:tcW w:w="502" w:type="pct"/>
                  <w:vAlign w:val="center"/>
                </w:tcPr>
                <w:p>
                  <w:pPr>
                    <w:jc w:val="center"/>
                    <w:rPr>
                      <w:color w:val="auto"/>
                      <w:highlight w:val="none"/>
                    </w:rPr>
                  </w:pPr>
                  <w:r>
                    <w:rPr>
                      <w:color w:val="auto"/>
                      <w:szCs w:val="21"/>
                      <w:highlight w:val="none"/>
                    </w:rPr>
                    <w:t>符合</w:t>
                  </w:r>
                </w:p>
              </w:tc>
            </w:tr>
          </w:tbl>
          <w:p>
            <w:pPr>
              <w:spacing w:beforeLines="50" w:line="360" w:lineRule="auto"/>
              <w:ind w:left="21" w:leftChars="10" w:right="42" w:rightChars="20" w:firstLine="482" w:firstLineChars="200"/>
              <w:rPr>
                <w:b/>
                <w:color w:val="auto"/>
                <w:sz w:val="24"/>
                <w:highlight w:val="none"/>
              </w:rPr>
            </w:pPr>
            <w:r>
              <w:rPr>
                <w:b/>
                <w:color w:val="auto"/>
                <w:sz w:val="24"/>
                <w:highlight w:val="none"/>
              </w:rPr>
              <w:t>（</w:t>
            </w:r>
            <w:r>
              <w:rPr>
                <w:rFonts w:hint="eastAsia"/>
                <w:b/>
                <w:color w:val="auto"/>
                <w:sz w:val="24"/>
                <w:highlight w:val="none"/>
              </w:rPr>
              <w:t>4</w:t>
            </w:r>
            <w:r>
              <w:rPr>
                <w:b/>
                <w:color w:val="auto"/>
                <w:sz w:val="24"/>
                <w:highlight w:val="none"/>
              </w:rPr>
              <w:t>）与有关挥发性有机废气环保政策符合性分析</w:t>
            </w:r>
          </w:p>
          <w:p>
            <w:pPr>
              <w:spacing w:line="360" w:lineRule="auto"/>
              <w:jc w:val="center"/>
              <w:rPr>
                <w:b/>
                <w:color w:val="auto"/>
                <w:sz w:val="24"/>
                <w:highlight w:val="none"/>
              </w:rPr>
            </w:pPr>
            <w:r>
              <w:rPr>
                <w:b/>
                <w:color w:val="auto"/>
                <w:sz w:val="24"/>
                <w:highlight w:val="none"/>
              </w:rPr>
              <w:t>表1-</w:t>
            </w:r>
            <w:r>
              <w:rPr>
                <w:rFonts w:hint="eastAsia"/>
                <w:b/>
                <w:color w:val="auto"/>
                <w:sz w:val="24"/>
                <w:highlight w:val="none"/>
              </w:rPr>
              <w:t>8</w:t>
            </w:r>
            <w:r>
              <w:rPr>
                <w:b/>
                <w:color w:val="auto"/>
                <w:sz w:val="24"/>
                <w:highlight w:val="none"/>
              </w:rPr>
              <w:t xml:space="preserve">  与相关环保政策符合性分析</w:t>
            </w:r>
          </w:p>
          <w:tbl>
            <w:tblPr>
              <w:tblStyle w:val="3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958"/>
              <w:gridCol w:w="927"/>
              <w:gridCol w:w="4205"/>
              <w:gridCol w:w="19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597" w:type="pct"/>
                  <w:vAlign w:val="center"/>
                </w:tcPr>
                <w:p>
                  <w:pPr>
                    <w:snapToGrid w:val="0"/>
                    <w:jc w:val="center"/>
                    <w:rPr>
                      <w:color w:val="auto"/>
                      <w:szCs w:val="21"/>
                      <w:highlight w:val="none"/>
                    </w:rPr>
                  </w:pPr>
                  <w:r>
                    <w:rPr>
                      <w:color w:val="auto"/>
                      <w:szCs w:val="21"/>
                      <w:highlight w:val="none"/>
                    </w:rPr>
                    <w:t>文件名称</w:t>
                  </w:r>
                </w:p>
              </w:tc>
              <w:tc>
                <w:tcPr>
                  <w:tcW w:w="3195" w:type="pct"/>
                  <w:gridSpan w:val="2"/>
                  <w:vAlign w:val="center"/>
                </w:tcPr>
                <w:p>
                  <w:pPr>
                    <w:pStyle w:val="69"/>
                    <w:snapToGrid w:val="0"/>
                    <w:spacing w:line="240" w:lineRule="auto"/>
                    <w:ind w:firstLine="0" w:firstLineChars="0"/>
                    <w:jc w:val="center"/>
                    <w:rPr>
                      <w:rFonts w:cs="Times New Roman"/>
                      <w:color w:val="auto"/>
                      <w:sz w:val="21"/>
                      <w:szCs w:val="21"/>
                      <w:highlight w:val="none"/>
                    </w:rPr>
                  </w:pPr>
                  <w:r>
                    <w:rPr>
                      <w:rFonts w:cs="Times New Roman"/>
                      <w:color w:val="auto"/>
                      <w:sz w:val="21"/>
                      <w:szCs w:val="21"/>
                      <w:highlight w:val="none"/>
                    </w:rPr>
                    <w:t>具体内容</w:t>
                  </w:r>
                </w:p>
              </w:tc>
              <w:tc>
                <w:tcPr>
                  <w:tcW w:w="1207" w:type="pct"/>
                  <w:vAlign w:val="center"/>
                </w:tcPr>
                <w:p>
                  <w:pPr>
                    <w:pStyle w:val="69"/>
                    <w:snapToGrid w:val="0"/>
                    <w:spacing w:line="240" w:lineRule="auto"/>
                    <w:ind w:firstLine="0" w:firstLineChars="0"/>
                    <w:jc w:val="center"/>
                    <w:rPr>
                      <w:rFonts w:cs="Times New Roman"/>
                      <w:color w:val="auto"/>
                      <w:sz w:val="21"/>
                      <w:szCs w:val="21"/>
                      <w:highlight w:val="none"/>
                    </w:rPr>
                  </w:pPr>
                  <w:r>
                    <w:rPr>
                      <w:rFonts w:cs="Times New Roman"/>
                      <w:color w:val="auto"/>
                      <w:sz w:val="21"/>
                      <w:szCs w:val="21"/>
                      <w:highlight w:val="none"/>
                    </w:rPr>
                    <w:t>相符性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597" w:type="pct"/>
                  <w:vAlign w:val="center"/>
                </w:tcPr>
                <w:p>
                  <w:pPr>
                    <w:snapToGrid w:val="0"/>
                    <w:jc w:val="center"/>
                    <w:rPr>
                      <w:color w:val="auto"/>
                      <w:szCs w:val="21"/>
                      <w:highlight w:val="none"/>
                    </w:rPr>
                  </w:pPr>
                  <w:r>
                    <w:rPr>
                      <w:color w:val="auto"/>
                      <w:szCs w:val="21"/>
                      <w:highlight w:val="none"/>
                    </w:rPr>
                    <w:t>省政府办公厅关于印发</w:t>
                  </w:r>
                </w:p>
                <w:p>
                  <w:pPr>
                    <w:snapToGrid w:val="0"/>
                    <w:jc w:val="center"/>
                    <w:rPr>
                      <w:color w:val="auto"/>
                      <w:szCs w:val="21"/>
                      <w:highlight w:val="none"/>
                    </w:rPr>
                  </w:pPr>
                  <w:r>
                    <w:rPr>
                      <w:color w:val="auto"/>
                      <w:szCs w:val="21"/>
                      <w:highlight w:val="none"/>
                    </w:rPr>
                    <w:t>《江苏省“十四五”生态环境保护规划》的通知（苏政办发〔2021〕84号）</w:t>
                  </w:r>
                </w:p>
              </w:tc>
              <w:tc>
                <w:tcPr>
                  <w:tcW w:w="577" w:type="pct"/>
                  <w:vAlign w:val="center"/>
                </w:tcPr>
                <w:p>
                  <w:pPr>
                    <w:pStyle w:val="69"/>
                    <w:snapToGrid w:val="0"/>
                    <w:spacing w:line="240" w:lineRule="auto"/>
                    <w:ind w:firstLine="0" w:firstLineChars="0"/>
                    <w:jc w:val="center"/>
                    <w:rPr>
                      <w:rFonts w:cs="Times New Roman"/>
                      <w:color w:val="auto"/>
                      <w:sz w:val="21"/>
                      <w:szCs w:val="21"/>
                      <w:highlight w:val="none"/>
                    </w:rPr>
                  </w:pPr>
                  <w:r>
                    <w:rPr>
                      <w:rFonts w:cs="Times New Roman"/>
                      <w:color w:val="auto"/>
                      <w:sz w:val="21"/>
                      <w:szCs w:val="21"/>
                      <w:highlight w:val="none"/>
                    </w:rPr>
                    <w:t>加强VOCs治理攻坚</w:t>
                  </w:r>
                </w:p>
              </w:tc>
              <w:tc>
                <w:tcPr>
                  <w:tcW w:w="2617" w:type="pct"/>
                  <w:vAlign w:val="center"/>
                </w:tcPr>
                <w:p>
                  <w:pPr>
                    <w:pStyle w:val="69"/>
                    <w:snapToGrid w:val="0"/>
                    <w:spacing w:line="240" w:lineRule="auto"/>
                    <w:ind w:firstLine="420"/>
                    <w:jc w:val="left"/>
                    <w:rPr>
                      <w:rFonts w:cs="Times New Roman"/>
                      <w:color w:val="auto"/>
                      <w:sz w:val="21"/>
                      <w:szCs w:val="21"/>
                      <w:highlight w:val="none"/>
                    </w:rPr>
                  </w:pPr>
                  <w:r>
                    <w:rPr>
                      <w:rFonts w:cs="Times New Roman"/>
                      <w:color w:val="auto"/>
                      <w:sz w:val="21"/>
                      <w:szCs w:val="21"/>
                      <w:highlight w:val="none"/>
                    </w:rPr>
                    <w:t>大力推进源头替代。实施《江苏省重点行业挥发性有机物清洁原料替代工作方案》，全面排查使用高VOCs含量原辅材料的企业，按照“可替尽替、应代尽代”的原则，推进实施源头替代，培育一批源头替代示范型企业。加大工业涂装、包装印刷等行业源头替代力度，在化工行业推广使用低（无）VOCs含量、低反应活性的原辅材料，加快芳香烃、含卤素有机化合物的绿色替代。严格准入要求，禁止建设生产和使用高VOCs含量的溶剂型涂料、油墨、胶黏剂等项目。将符合低挥发性有机</w:t>
                  </w:r>
                  <w:r>
                    <w:rPr>
                      <w:rFonts w:cs="Times New Roman"/>
                      <w:color w:val="auto"/>
                      <w:sz w:val="21"/>
                      <w:szCs w:val="21"/>
                      <w:highlight w:val="none"/>
                    </w:rPr>
                    <w:cr/>
                  </w:r>
                  <w:r>
                    <w:rPr>
                      <w:rFonts w:cs="Times New Roman"/>
                      <w:color w:val="auto"/>
                      <w:sz w:val="21"/>
                      <w:szCs w:val="21"/>
                      <w:highlight w:val="none"/>
                    </w:rPr>
                    <w:t>合物含量产品技术要求的企业纳入清洁原料替代正面清单。强化重点行业VOCs治理减排，加强石化、化工、工业涂装、包装印刷、油品储运销售等重点行业VOCs深度治理</w:t>
                  </w:r>
                  <w:r>
                    <w:rPr>
                      <w:rFonts w:cs="Times New Roman"/>
                      <w:color w:val="auto"/>
                      <w:sz w:val="21"/>
                      <w:szCs w:val="21"/>
                      <w:highlight w:val="none"/>
                    </w:rPr>
                    <w:cr/>
                  </w:r>
                  <w:r>
                    <w:rPr>
                      <w:rFonts w:cs="Times New Roman"/>
                      <w:color w:val="auto"/>
                      <w:sz w:val="21"/>
                      <w:szCs w:val="21"/>
                      <w:highlight w:val="none"/>
                    </w:rPr>
                    <w:t>发布VOCs重点监管企业名录，编制实施“一企一策”综合治理方案。完善省重点行业VOCs总量核算体系，实施新建项目总量平衡“减</w:t>
                  </w:r>
                  <w:r>
                    <w:rPr>
                      <w:rFonts w:hint="eastAsia" w:cs="Times New Roman"/>
                      <w:color w:val="auto"/>
                      <w:sz w:val="21"/>
                      <w:szCs w:val="21"/>
                      <w:highlight w:val="none"/>
                    </w:rPr>
                    <w:t>二</w:t>
                  </w:r>
                  <w:r>
                    <w:rPr>
                      <w:rFonts w:cs="Times New Roman"/>
                      <w:color w:val="auto"/>
                      <w:sz w:val="21"/>
                      <w:szCs w:val="21"/>
                      <w:highlight w:val="none"/>
                    </w:rPr>
                    <w:t>增一”。引导石化、化工、煤化工、制药、农药等合理安排停检修计划，减少非正常工况VOCs排放。</w:t>
                  </w:r>
                </w:p>
              </w:tc>
              <w:tc>
                <w:tcPr>
                  <w:tcW w:w="1207" w:type="pct"/>
                  <w:vAlign w:val="center"/>
                </w:tcPr>
                <w:p>
                  <w:pPr>
                    <w:rPr>
                      <w:color w:val="auto"/>
                      <w:szCs w:val="21"/>
                      <w:highlight w:val="none"/>
                    </w:rPr>
                  </w:pPr>
                  <w:r>
                    <w:rPr>
                      <w:color w:val="auto"/>
                      <w:szCs w:val="21"/>
                      <w:highlight w:val="none"/>
                    </w:rPr>
                    <w:t>本项目为C3971电子真空器件制造，不属于VOCs治理重点行业，不属于工业涂装、包装印刷等行业。</w:t>
                  </w:r>
                </w:p>
                <w:p>
                  <w:pPr>
                    <w:rPr>
                      <w:color w:val="auto"/>
                      <w:szCs w:val="21"/>
                      <w:highlight w:val="none"/>
                    </w:rPr>
                  </w:pPr>
                  <w:r>
                    <w:rPr>
                      <w:color w:val="auto"/>
                      <w:szCs w:val="21"/>
                      <w:highlight w:val="none"/>
                    </w:rPr>
                    <w:t>零部件使用无水乙醇和丙酮清洗暂时不能用其他物质替代，经实验其他处理工艺无法满足光电倍增管性能要求</w:t>
                  </w:r>
                  <w:r>
                    <w:rPr>
                      <w:rFonts w:hint="eastAsia"/>
                      <w:color w:val="auto"/>
                      <w:szCs w:val="21"/>
                      <w:highlight w:val="none"/>
                    </w:rPr>
                    <w:t>，一旦有可替代立即改进</w:t>
                  </w:r>
                  <w:r>
                    <w:rPr>
                      <w:color w:val="auto"/>
                      <w:szCs w:val="21"/>
                      <w:highlight w:val="none"/>
                    </w:rPr>
                    <w:t>。项目</w:t>
                  </w:r>
                  <w:r>
                    <w:rPr>
                      <w:color w:val="auto"/>
                      <w:szCs w:val="22"/>
                      <w:highlight w:val="none"/>
                    </w:rPr>
                    <w:t>不使用胶黏剂等。</w:t>
                  </w:r>
                  <w:r>
                    <w:rPr>
                      <w:color w:val="auto"/>
                      <w:szCs w:val="21"/>
                      <w:highlight w:val="none"/>
                    </w:rPr>
                    <w:t>与文件要求相符。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597" w:type="pct"/>
                  <w:vAlign w:val="center"/>
                </w:tcPr>
                <w:p>
                  <w:pPr>
                    <w:snapToGrid w:val="0"/>
                    <w:jc w:val="center"/>
                    <w:rPr>
                      <w:color w:val="auto"/>
                      <w:szCs w:val="21"/>
                      <w:highlight w:val="none"/>
                    </w:rPr>
                  </w:pPr>
                  <w:r>
                    <w:rPr>
                      <w:color w:val="auto"/>
                      <w:szCs w:val="21"/>
                      <w:highlight w:val="none"/>
                    </w:rPr>
                    <w:t>江苏省长江经济带生态环境保护实施规划</w:t>
                  </w:r>
                </w:p>
              </w:tc>
              <w:tc>
                <w:tcPr>
                  <w:tcW w:w="577" w:type="pct"/>
                  <w:vAlign w:val="center"/>
                </w:tcPr>
                <w:p>
                  <w:pPr>
                    <w:pStyle w:val="69"/>
                    <w:snapToGrid w:val="0"/>
                    <w:spacing w:line="240" w:lineRule="auto"/>
                    <w:ind w:firstLine="0" w:firstLineChars="0"/>
                    <w:jc w:val="center"/>
                    <w:rPr>
                      <w:rFonts w:cs="Times New Roman"/>
                      <w:color w:val="auto"/>
                      <w:sz w:val="21"/>
                      <w:szCs w:val="21"/>
                      <w:highlight w:val="none"/>
                    </w:rPr>
                  </w:pPr>
                  <w:r>
                    <w:rPr>
                      <w:rFonts w:cs="Times New Roman"/>
                      <w:color w:val="auto"/>
                      <w:sz w:val="21"/>
                      <w:szCs w:val="21"/>
                      <w:highlight w:val="none"/>
                    </w:rPr>
                    <w:t>强化挥发性有机物</w:t>
                  </w:r>
                  <w:r>
                    <w:rPr>
                      <w:rFonts w:cs="Times New Roman"/>
                      <w:color w:val="auto"/>
                      <w:sz w:val="21"/>
                      <w:szCs w:val="21"/>
                      <w:highlight w:val="none"/>
                    </w:rPr>
                    <w:cr/>
                  </w:r>
                  <w:r>
                    <w:rPr>
                      <w:rFonts w:cs="Times New Roman"/>
                      <w:color w:val="auto"/>
                      <w:sz w:val="21"/>
                      <w:szCs w:val="21"/>
                      <w:highlight w:val="none"/>
                    </w:rPr>
                    <w:t>放控制</w:t>
                  </w:r>
                </w:p>
              </w:tc>
              <w:tc>
                <w:tcPr>
                  <w:tcW w:w="2617" w:type="pct"/>
                  <w:vAlign w:val="center"/>
                </w:tcPr>
                <w:p>
                  <w:pPr>
                    <w:pStyle w:val="69"/>
                    <w:snapToGrid w:val="0"/>
                    <w:spacing w:line="240" w:lineRule="auto"/>
                    <w:ind w:firstLine="420"/>
                    <w:rPr>
                      <w:rFonts w:cs="Times New Roman"/>
                      <w:color w:val="auto"/>
                      <w:sz w:val="21"/>
                      <w:szCs w:val="21"/>
                      <w:highlight w:val="none"/>
                    </w:rPr>
                  </w:pPr>
                  <w:r>
                    <w:rPr>
                      <w:rFonts w:cs="Times New Roman"/>
                      <w:color w:val="auto"/>
                      <w:sz w:val="21"/>
                      <w:szCs w:val="21"/>
                      <w:highlight w:val="none"/>
                    </w:rPr>
                    <w:t>推进石化、化工、工业涂装、包装印刷、油品储运销、机动车等重点行业挥发性有机物排放总量控制。开展重点园区挥发性有机物治理，2017年底前，石化、化工企业全部开展泄漏检测与修复，完成重点化工园区（集中区）和重点企业废气排放源整治工作。强制使用水性涂料，2017年底前，印刷包装以及集装箱、交通工具、机械设备、人造板、家具等行业全面实现低VOCs含量油墨、涂料、胶黏剂和清洗剂等的替代。加强汽车维修、露天喷涂污染控制，推广绿色汽修技术，使用节能环保型烤漆房，配备漆雾净化装置和有害挥发物净化装置，有效处理漆雾</w:t>
                  </w:r>
                  <w:r>
                    <w:rPr>
                      <w:rFonts w:cs="Times New Roman"/>
                      <w:color w:val="auto"/>
                      <w:sz w:val="21"/>
                      <w:szCs w:val="21"/>
                      <w:highlight w:val="none"/>
                    </w:rPr>
                    <w:cr/>
                  </w:r>
                  <w:r>
                    <w:rPr>
                      <w:rFonts w:cs="Times New Roman"/>
                      <w:color w:val="auto"/>
                      <w:sz w:val="21"/>
                      <w:szCs w:val="21"/>
                      <w:highlight w:val="none"/>
                    </w:rPr>
                    <w:t>有害挥发物。2017年底前，实现储油储气库油气回收装置全覆盖，已建油气回收装置确保稳定运行。加强城市服务业挥发性有机物污染防治，2018年底前，城市建成区所有</w:t>
                  </w:r>
                  <w:r>
                    <w:rPr>
                      <w:rFonts w:cs="Times New Roman"/>
                      <w:color w:val="auto"/>
                      <w:sz w:val="21"/>
                      <w:szCs w:val="21"/>
                      <w:highlight w:val="none"/>
                    </w:rPr>
                    <w:cr/>
                  </w:r>
                  <w:r>
                    <w:rPr>
                      <w:rFonts w:cs="Times New Roman"/>
                      <w:color w:val="auto"/>
                      <w:sz w:val="21"/>
                      <w:szCs w:val="21"/>
                      <w:highlight w:val="none"/>
                    </w:rPr>
                    <w:t>洗经营单位禁止使用开启式干洗机，在除臭过程</w:t>
                  </w:r>
                  <w:r>
                    <w:rPr>
                      <w:rFonts w:cs="Times New Roman"/>
                      <w:color w:val="auto"/>
                      <w:sz w:val="21"/>
                      <w:szCs w:val="21"/>
                      <w:highlight w:val="none"/>
                    </w:rPr>
                    <w:cr/>
                  </w:r>
                  <w:r>
                    <w:rPr>
                      <w:rFonts w:cs="Times New Roman"/>
                      <w:color w:val="auto"/>
                      <w:sz w:val="21"/>
                      <w:szCs w:val="21"/>
                      <w:highlight w:val="none"/>
                    </w:rPr>
                    <w:t>不直接外排废气。到2020年，全省挥发性有机物（VOCs）排放总量削减20%以上。</w:t>
                  </w:r>
                </w:p>
              </w:tc>
              <w:tc>
                <w:tcPr>
                  <w:tcW w:w="1207" w:type="pct"/>
                  <w:vAlign w:val="center"/>
                </w:tcPr>
                <w:p>
                  <w:pPr>
                    <w:rPr>
                      <w:color w:val="auto"/>
                      <w:szCs w:val="21"/>
                      <w:highlight w:val="none"/>
                    </w:rPr>
                  </w:pPr>
                  <w:r>
                    <w:rPr>
                      <w:color w:val="auto"/>
                      <w:szCs w:val="21"/>
                      <w:highlight w:val="none"/>
                    </w:rPr>
                    <w:t>本项目为</w:t>
                  </w:r>
                  <w:r>
                    <w:rPr>
                      <w:color w:val="auto"/>
                      <w:sz w:val="24"/>
                      <w:highlight w:val="none"/>
                    </w:rPr>
                    <w:t>C3971电子真空器件制造</w:t>
                  </w:r>
                  <w:r>
                    <w:rPr>
                      <w:color w:val="auto"/>
                      <w:szCs w:val="21"/>
                      <w:highlight w:val="none"/>
                    </w:rPr>
                    <w:t>。不属于石化、化工、工业涂装、包装印刷、油品储运销、机动车等重点行业。不属于集装箱、交通工具、机械设备、人造板、家具等行业。与文件要求相符。</w:t>
                  </w:r>
                </w:p>
                <w:p>
                  <w:pPr>
                    <w:pStyle w:val="69"/>
                    <w:snapToGrid w:val="0"/>
                    <w:spacing w:line="240" w:lineRule="auto"/>
                    <w:ind w:firstLine="0" w:firstLineChars="0"/>
                    <w:rPr>
                      <w:rFonts w:cs="Times New Roman"/>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83" w:hRule="atLeast"/>
                <w:jc w:val="center"/>
              </w:trPr>
              <w:tc>
                <w:tcPr>
                  <w:tcW w:w="597" w:type="pct"/>
                  <w:vMerge w:val="restart"/>
                  <w:vAlign w:val="center"/>
                </w:tcPr>
                <w:p>
                  <w:pPr>
                    <w:snapToGrid w:val="0"/>
                    <w:jc w:val="center"/>
                    <w:rPr>
                      <w:color w:val="auto"/>
                      <w:szCs w:val="21"/>
                      <w:highlight w:val="none"/>
                    </w:rPr>
                  </w:pPr>
                  <w:r>
                    <w:rPr>
                      <w:color w:val="auto"/>
                      <w:szCs w:val="21"/>
                      <w:highlight w:val="none"/>
                    </w:rPr>
                    <w:t>《江苏省挥发性有机物污染防治管理办法》</w:t>
                  </w:r>
                </w:p>
              </w:tc>
              <w:tc>
                <w:tcPr>
                  <w:tcW w:w="577" w:type="pct"/>
                  <w:vAlign w:val="center"/>
                </w:tcPr>
                <w:p>
                  <w:pPr>
                    <w:snapToGrid w:val="0"/>
                    <w:jc w:val="center"/>
                    <w:rPr>
                      <w:color w:val="auto"/>
                      <w:szCs w:val="21"/>
                      <w:highlight w:val="none"/>
                    </w:rPr>
                  </w:pPr>
                  <w:r>
                    <w:rPr>
                      <w:color w:val="auto"/>
                      <w:szCs w:val="21"/>
                      <w:highlight w:val="none"/>
                    </w:rPr>
                    <w:t>第三条</w:t>
                  </w:r>
                </w:p>
              </w:tc>
              <w:tc>
                <w:tcPr>
                  <w:tcW w:w="2617" w:type="pct"/>
                  <w:vAlign w:val="center"/>
                </w:tcPr>
                <w:p>
                  <w:pPr>
                    <w:snapToGrid w:val="0"/>
                    <w:ind w:firstLine="420" w:firstLineChars="200"/>
                    <w:rPr>
                      <w:color w:val="auto"/>
                      <w:szCs w:val="21"/>
                      <w:highlight w:val="none"/>
                    </w:rPr>
                  </w:pPr>
                  <w:r>
                    <w:rPr>
                      <w:color w:val="auto"/>
                      <w:szCs w:val="21"/>
                      <w:highlight w:val="none"/>
                    </w:rPr>
                    <w:t>挥发性有机物污染防治坚持源头控制、综合治理、损害担责、公众参与的原则，重点防治工业源排放的挥发性有机物，强化生活源、农业源等挥发性有</w:t>
                  </w:r>
                  <w:r>
                    <w:rPr>
                      <w:color w:val="auto"/>
                      <w:szCs w:val="21"/>
                      <w:highlight w:val="none"/>
                    </w:rPr>
                    <w:cr/>
                  </w:r>
                  <w:r>
                    <w:rPr>
                      <w:color w:val="auto"/>
                      <w:szCs w:val="21"/>
                      <w:highlight w:val="none"/>
                    </w:rPr>
                    <w:t>物污染防治。</w:t>
                  </w:r>
                </w:p>
              </w:tc>
              <w:tc>
                <w:tcPr>
                  <w:tcW w:w="1207" w:type="pct"/>
                  <w:vAlign w:val="center"/>
                </w:tcPr>
                <w:p>
                  <w:pPr>
                    <w:tabs>
                      <w:tab w:val="left" w:pos="2160"/>
                    </w:tabs>
                    <w:snapToGrid w:val="0"/>
                    <w:jc w:val="center"/>
                    <w:rPr>
                      <w:color w:val="auto"/>
                      <w:szCs w:val="21"/>
                      <w:highlight w:val="none"/>
                    </w:rPr>
                  </w:pPr>
                  <w:r>
                    <w:rPr>
                      <w:color w:val="auto"/>
                      <w:szCs w:val="21"/>
                      <w:highlight w:val="none"/>
                    </w:rPr>
                    <w:t>零部件使用无水乙醇和丙酮清洗暂时不能用其他物质替代，经实验其他处理工艺无法满足光电倍增管性能要求。如果有可替代工艺，将立即改进。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597" w:type="pct"/>
                  <w:vMerge w:val="continue"/>
                  <w:vAlign w:val="center"/>
                </w:tcPr>
                <w:p>
                  <w:pPr>
                    <w:snapToGrid w:val="0"/>
                    <w:jc w:val="center"/>
                    <w:rPr>
                      <w:color w:val="auto"/>
                      <w:szCs w:val="21"/>
                      <w:highlight w:val="none"/>
                    </w:rPr>
                  </w:pPr>
                </w:p>
              </w:tc>
              <w:tc>
                <w:tcPr>
                  <w:tcW w:w="577" w:type="pct"/>
                  <w:vAlign w:val="center"/>
                </w:tcPr>
                <w:p>
                  <w:pPr>
                    <w:snapToGrid w:val="0"/>
                    <w:jc w:val="center"/>
                    <w:rPr>
                      <w:color w:val="auto"/>
                      <w:szCs w:val="21"/>
                      <w:highlight w:val="none"/>
                    </w:rPr>
                  </w:pPr>
                  <w:r>
                    <w:rPr>
                      <w:color w:val="auto"/>
                      <w:szCs w:val="21"/>
                      <w:highlight w:val="none"/>
                    </w:rPr>
                    <w:t>第十五条</w:t>
                  </w:r>
                </w:p>
              </w:tc>
              <w:tc>
                <w:tcPr>
                  <w:tcW w:w="2617" w:type="pct"/>
                  <w:vAlign w:val="center"/>
                </w:tcPr>
                <w:p>
                  <w:pPr>
                    <w:snapToGrid w:val="0"/>
                    <w:ind w:firstLine="420" w:firstLineChars="200"/>
                    <w:rPr>
                      <w:color w:val="auto"/>
                      <w:szCs w:val="21"/>
                      <w:highlight w:val="none"/>
                    </w:rPr>
                  </w:pPr>
                  <w:r>
                    <w:rPr>
                      <w:color w:val="auto"/>
                      <w:szCs w:val="21"/>
                      <w:highlight w:val="none"/>
                    </w:rPr>
                    <w:t>排放挥发性有机物的生产经营者应当履行防治挥发性有机物污染的义务，根据国家和省相关标准以及防治技术指南，采</w:t>
                  </w:r>
                  <w:r>
                    <w:rPr>
                      <w:rFonts w:hint="eastAsia"/>
                      <w:color w:val="auto"/>
                      <w:szCs w:val="21"/>
                      <w:highlight w:val="none"/>
                    </w:rPr>
                    <w:t>取</w:t>
                  </w:r>
                  <w:r>
                    <w:rPr>
                      <w:color w:val="auto"/>
                      <w:szCs w:val="21"/>
                      <w:highlight w:val="none"/>
                    </w:rPr>
                    <w:t>挥发性有机物污染控制技术，规范操作规程，组织生产经营管理，确保挥发性有机物的排放符合相应的排放标准。</w:t>
                  </w:r>
                </w:p>
              </w:tc>
              <w:tc>
                <w:tcPr>
                  <w:tcW w:w="1207" w:type="pct"/>
                  <w:vAlign w:val="center"/>
                </w:tcPr>
                <w:p>
                  <w:pPr>
                    <w:tabs>
                      <w:tab w:val="left" w:pos="2160"/>
                    </w:tabs>
                    <w:snapToGrid w:val="0"/>
                    <w:jc w:val="center"/>
                    <w:rPr>
                      <w:color w:val="auto"/>
                      <w:szCs w:val="21"/>
                      <w:highlight w:val="none"/>
                    </w:rPr>
                  </w:pPr>
                  <w:r>
                    <w:rPr>
                      <w:color w:val="auto"/>
                      <w:szCs w:val="21"/>
                      <w:highlight w:val="none"/>
                    </w:rPr>
                    <w:t>零部件清洗产生的非甲烷总烃有组织排放经处理后达DB32/4041—2021表1排放标准，无组织排放达DB32/4041—2021表3排放标准，厂区内非甲烷总烃达DB32/4041—2021表2排放标准。与文件要求相符。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597" w:type="pct"/>
                  <w:vMerge w:val="continue"/>
                  <w:vAlign w:val="center"/>
                </w:tcPr>
                <w:p>
                  <w:pPr>
                    <w:snapToGrid w:val="0"/>
                    <w:jc w:val="center"/>
                    <w:rPr>
                      <w:color w:val="auto"/>
                      <w:szCs w:val="21"/>
                      <w:highlight w:val="none"/>
                    </w:rPr>
                  </w:pPr>
                </w:p>
              </w:tc>
              <w:tc>
                <w:tcPr>
                  <w:tcW w:w="577" w:type="pct"/>
                  <w:vAlign w:val="center"/>
                </w:tcPr>
                <w:p>
                  <w:pPr>
                    <w:snapToGrid w:val="0"/>
                    <w:jc w:val="center"/>
                    <w:rPr>
                      <w:color w:val="auto"/>
                      <w:szCs w:val="21"/>
                      <w:highlight w:val="none"/>
                    </w:rPr>
                  </w:pPr>
                  <w:r>
                    <w:rPr>
                      <w:color w:val="auto"/>
                      <w:szCs w:val="21"/>
                      <w:highlight w:val="none"/>
                    </w:rPr>
                    <w:t>第十七条</w:t>
                  </w:r>
                </w:p>
              </w:tc>
              <w:tc>
                <w:tcPr>
                  <w:tcW w:w="2617" w:type="pct"/>
                  <w:vAlign w:val="center"/>
                </w:tcPr>
                <w:p>
                  <w:pPr>
                    <w:snapToGrid w:val="0"/>
                    <w:ind w:firstLine="420" w:firstLineChars="200"/>
                    <w:rPr>
                      <w:color w:val="auto"/>
                      <w:szCs w:val="21"/>
                      <w:highlight w:val="none"/>
                    </w:rPr>
                  </w:pPr>
                  <w:r>
                    <w:rPr>
                      <w:color w:val="auto"/>
                      <w:szCs w:val="21"/>
                      <w:highlight w:val="none"/>
                    </w:rPr>
                    <w:t>挥发性有机物排放单位应当按照有关规定和监测规范自行或者委托有关监测机构对其排放的挥发性有机废气进行监测，记录、保存监测数据，按照规定向社会公开。监测数据应当真实</w:t>
                  </w:r>
                  <w:r>
                    <w:rPr>
                      <w:rFonts w:hint="eastAsia"/>
                      <w:color w:val="auto"/>
                      <w:szCs w:val="21"/>
                      <w:highlight w:val="none"/>
                    </w:rPr>
                    <w:t>、</w:t>
                  </w:r>
                  <w:r>
                    <w:rPr>
                      <w:color w:val="auto"/>
                      <w:szCs w:val="21"/>
                      <w:highlight w:val="none"/>
                    </w:rPr>
                    <w:t>可靠，保存时间不得少于3年。</w:t>
                  </w:r>
                </w:p>
              </w:tc>
              <w:tc>
                <w:tcPr>
                  <w:tcW w:w="1207" w:type="pct"/>
                  <w:vAlign w:val="center"/>
                </w:tcPr>
                <w:p>
                  <w:pPr>
                    <w:tabs>
                      <w:tab w:val="left" w:pos="2160"/>
                    </w:tabs>
                    <w:snapToGrid w:val="0"/>
                    <w:jc w:val="center"/>
                    <w:rPr>
                      <w:color w:val="auto"/>
                      <w:szCs w:val="21"/>
                      <w:highlight w:val="none"/>
                    </w:rPr>
                  </w:pPr>
                  <w:r>
                    <w:rPr>
                      <w:color w:val="auto"/>
                      <w:szCs w:val="21"/>
                      <w:highlight w:val="none"/>
                    </w:rPr>
                    <w:t>本项目已按照《排污单位自行监测技术指南电子工业》（HJ1253-2022），制定废气监测计划，与文件要求相符。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96" w:hRule="atLeast"/>
                <w:jc w:val="center"/>
              </w:trPr>
              <w:tc>
                <w:tcPr>
                  <w:tcW w:w="597" w:type="pct"/>
                  <w:vMerge w:val="continue"/>
                  <w:vAlign w:val="center"/>
                </w:tcPr>
                <w:p>
                  <w:pPr>
                    <w:snapToGrid w:val="0"/>
                    <w:jc w:val="center"/>
                    <w:rPr>
                      <w:color w:val="auto"/>
                      <w:szCs w:val="21"/>
                      <w:highlight w:val="none"/>
                    </w:rPr>
                  </w:pPr>
                </w:p>
              </w:tc>
              <w:tc>
                <w:tcPr>
                  <w:tcW w:w="577" w:type="pct"/>
                  <w:vAlign w:val="center"/>
                </w:tcPr>
                <w:p>
                  <w:pPr>
                    <w:snapToGrid w:val="0"/>
                    <w:jc w:val="center"/>
                    <w:rPr>
                      <w:color w:val="auto"/>
                      <w:szCs w:val="21"/>
                      <w:highlight w:val="none"/>
                    </w:rPr>
                  </w:pPr>
                  <w:r>
                    <w:rPr>
                      <w:color w:val="auto"/>
                      <w:szCs w:val="21"/>
                      <w:highlight w:val="none"/>
                    </w:rPr>
                    <w:t>第二十</w:t>
                  </w:r>
                </w:p>
                <w:p>
                  <w:pPr>
                    <w:snapToGrid w:val="0"/>
                    <w:jc w:val="center"/>
                    <w:rPr>
                      <w:color w:val="auto"/>
                      <w:szCs w:val="21"/>
                      <w:highlight w:val="none"/>
                    </w:rPr>
                  </w:pPr>
                  <w:r>
                    <w:rPr>
                      <w:color w:val="auto"/>
                      <w:szCs w:val="21"/>
                      <w:highlight w:val="none"/>
                    </w:rPr>
                    <w:t>一条</w:t>
                  </w:r>
                </w:p>
              </w:tc>
              <w:tc>
                <w:tcPr>
                  <w:tcW w:w="2617" w:type="pct"/>
                  <w:vAlign w:val="center"/>
                </w:tcPr>
                <w:p>
                  <w:pPr>
                    <w:snapToGrid w:val="0"/>
                    <w:ind w:firstLine="420" w:firstLineChars="200"/>
                    <w:rPr>
                      <w:color w:val="auto"/>
                      <w:szCs w:val="21"/>
                      <w:highlight w:val="none"/>
                    </w:rPr>
                  </w:pPr>
                  <w:r>
                    <w:rPr>
                      <w:color w:val="auto"/>
                      <w:szCs w:val="21"/>
                      <w:highlight w:val="none"/>
                    </w:rPr>
                    <w:t>产生挥发性有机物废气的生产经营活动应当在密闭空间或者密闭设备中进行。生产场所、生产设备应当按照环境保护和安全生产</w:t>
                  </w:r>
                  <w:r>
                    <w:rPr>
                      <w:color w:val="auto"/>
                      <w:szCs w:val="21"/>
                      <w:highlight w:val="none"/>
                    </w:rPr>
                    <w:cr/>
                  </w:r>
                  <w:r>
                    <w:rPr>
                      <w:color w:val="auto"/>
                      <w:szCs w:val="21"/>
                      <w:highlight w:val="none"/>
                    </w:rPr>
                    <w:t>要求设计、安装和有效运行挥发性有机物回收或者净化设施；固体废物、废水、废气处理系统产生的废气应当收集和处理；含有挥发性有机物的物</w:t>
                  </w:r>
                  <w:r>
                    <w:rPr>
                      <w:rFonts w:hint="eastAsia"/>
                      <w:color w:val="auto"/>
                      <w:szCs w:val="21"/>
                      <w:highlight w:val="none"/>
                    </w:rPr>
                    <w:t>料应</w:t>
                  </w:r>
                  <w:r>
                    <w:rPr>
                      <w:color w:val="auto"/>
                      <w:szCs w:val="21"/>
                      <w:highlight w:val="none"/>
                    </w:rPr>
                    <w:t>当密闭储存、运输、装卸，禁止敞口和露天放置。无法在密闭空间进行的生产经</w:t>
                  </w:r>
                  <w:r>
                    <w:rPr>
                      <w:color w:val="auto"/>
                      <w:szCs w:val="21"/>
                      <w:highlight w:val="none"/>
                    </w:rPr>
                    <w:cr/>
                  </w:r>
                  <w:r>
                    <w:rPr>
                      <w:color w:val="auto"/>
                      <w:szCs w:val="21"/>
                      <w:highlight w:val="none"/>
                    </w:rPr>
                    <w:t>活动应当采取有效措施，减少挥</w:t>
                  </w:r>
                  <w:r>
                    <w:rPr>
                      <w:rFonts w:hint="eastAsia"/>
                      <w:color w:val="auto"/>
                      <w:szCs w:val="21"/>
                      <w:highlight w:val="none"/>
                    </w:rPr>
                    <w:t>发</w:t>
                  </w:r>
                  <w:r>
                    <w:rPr>
                      <w:color w:val="auto"/>
                      <w:szCs w:val="21"/>
                      <w:highlight w:val="none"/>
                    </w:rPr>
                    <w:t>性有机物</w:t>
                  </w:r>
                  <w:r>
                    <w:rPr>
                      <w:rFonts w:hint="eastAsia"/>
                      <w:color w:val="auto"/>
                      <w:szCs w:val="21"/>
                      <w:highlight w:val="none"/>
                    </w:rPr>
                    <w:t>排</w:t>
                  </w:r>
                  <w:r>
                    <w:rPr>
                      <w:color w:val="auto"/>
                      <w:szCs w:val="21"/>
                      <w:highlight w:val="none"/>
                    </w:rPr>
                    <w:t>放量。</w:t>
                  </w:r>
                </w:p>
              </w:tc>
              <w:tc>
                <w:tcPr>
                  <w:tcW w:w="1207" w:type="pct"/>
                  <w:vAlign w:val="center"/>
                </w:tcPr>
                <w:p>
                  <w:pPr>
                    <w:rPr>
                      <w:color w:val="auto"/>
                      <w:szCs w:val="21"/>
                      <w:highlight w:val="none"/>
                    </w:rPr>
                  </w:pPr>
                  <w:r>
                    <w:rPr>
                      <w:color w:val="auto"/>
                      <w:szCs w:val="21"/>
                      <w:highlight w:val="none"/>
                    </w:rPr>
                    <w:t>本项目零部件清洗使用丙酮和无水乙醇密闭储存</w:t>
                  </w:r>
                  <w:r>
                    <w:rPr>
                      <w:rFonts w:hint="eastAsia"/>
                      <w:color w:val="auto"/>
                      <w:szCs w:val="21"/>
                      <w:highlight w:val="none"/>
                    </w:rPr>
                    <w:t>，产生的废气经有效处理后排放</w:t>
                  </w:r>
                  <w:r>
                    <w:rPr>
                      <w:color w:val="auto"/>
                      <w:szCs w:val="21"/>
                      <w:highlight w:val="none"/>
                    </w:rPr>
                    <w:t>。与文件要求相符。</w:t>
                  </w:r>
                </w:p>
              </w:tc>
            </w:tr>
          </w:tbl>
          <w:p>
            <w:pPr>
              <w:autoSpaceDE w:val="0"/>
              <w:autoSpaceDN w:val="0"/>
              <w:spacing w:beforeLines="50" w:line="360" w:lineRule="auto"/>
              <w:ind w:firstLine="482" w:firstLineChars="200"/>
              <w:rPr>
                <w:b/>
                <w:color w:val="auto"/>
                <w:sz w:val="24"/>
                <w:highlight w:val="none"/>
              </w:rPr>
            </w:pPr>
            <w:r>
              <w:rPr>
                <w:b/>
                <w:color w:val="auto"/>
                <w:sz w:val="24"/>
                <w:highlight w:val="none"/>
              </w:rPr>
              <w:t>（</w:t>
            </w:r>
            <w:r>
              <w:rPr>
                <w:rFonts w:hint="eastAsia"/>
                <w:b/>
                <w:color w:val="auto"/>
                <w:sz w:val="24"/>
                <w:highlight w:val="none"/>
              </w:rPr>
              <w:t>5</w:t>
            </w:r>
            <w:r>
              <w:rPr>
                <w:b/>
                <w:color w:val="auto"/>
                <w:sz w:val="24"/>
                <w:highlight w:val="none"/>
              </w:rPr>
              <w:t>）与《挥发性有机物无组织排放控制标准》（GB37822-2019）相符性分析</w:t>
            </w:r>
          </w:p>
          <w:p>
            <w:pPr>
              <w:pStyle w:val="3"/>
              <w:spacing w:line="360" w:lineRule="auto"/>
              <w:rPr>
                <w:b/>
                <w:color w:val="auto"/>
                <w:sz w:val="24"/>
                <w:szCs w:val="24"/>
                <w:highlight w:val="none"/>
              </w:rPr>
            </w:pPr>
            <w:r>
              <w:rPr>
                <w:b/>
                <w:color w:val="auto"/>
                <w:sz w:val="24"/>
                <w:szCs w:val="24"/>
                <w:highlight w:val="none"/>
              </w:rPr>
              <w:t>表1-</w:t>
            </w:r>
            <w:r>
              <w:rPr>
                <w:rFonts w:hint="eastAsia"/>
                <w:b/>
                <w:color w:val="auto"/>
                <w:sz w:val="24"/>
                <w:szCs w:val="24"/>
                <w:highlight w:val="none"/>
              </w:rPr>
              <w:t>9</w:t>
            </w:r>
            <w:r>
              <w:rPr>
                <w:b/>
                <w:color w:val="auto"/>
                <w:sz w:val="24"/>
                <w:szCs w:val="24"/>
                <w:highlight w:val="none"/>
              </w:rPr>
              <w:t xml:space="preserve">  与《挥发性有机物无组织排放控制标准》相符性分析对照表</w:t>
            </w:r>
          </w:p>
          <w:tbl>
            <w:tblPr>
              <w:tblStyle w:val="34"/>
              <w:tblW w:w="5000" w:type="pct"/>
              <w:jc w:val="center"/>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Layout w:type="autofit"/>
              <w:tblCellMar>
                <w:top w:w="0" w:type="dxa"/>
                <w:left w:w="0" w:type="dxa"/>
                <w:bottom w:w="0" w:type="dxa"/>
                <w:right w:w="0" w:type="dxa"/>
              </w:tblCellMar>
            </w:tblPr>
            <w:tblGrid>
              <w:gridCol w:w="955"/>
              <w:gridCol w:w="528"/>
              <w:gridCol w:w="3455"/>
              <w:gridCol w:w="2460"/>
              <w:gridCol w:w="630"/>
            </w:tblGrid>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PrEx>
              <w:trPr>
                <w:jc w:val="center"/>
              </w:trPr>
              <w:tc>
                <w:tcPr>
                  <w:tcW w:w="595" w:type="pct"/>
                  <w:vAlign w:val="center"/>
                </w:tcPr>
                <w:p>
                  <w:pPr>
                    <w:jc w:val="center"/>
                    <w:rPr>
                      <w:color w:val="auto"/>
                      <w:szCs w:val="21"/>
                      <w:highlight w:val="none"/>
                    </w:rPr>
                  </w:pPr>
                  <w:r>
                    <w:rPr>
                      <w:color w:val="auto"/>
                      <w:szCs w:val="21"/>
                      <w:highlight w:val="none"/>
                    </w:rPr>
                    <w:t>内容</w:t>
                  </w:r>
                </w:p>
              </w:tc>
              <w:tc>
                <w:tcPr>
                  <w:tcW w:w="329" w:type="pct"/>
                  <w:vAlign w:val="center"/>
                </w:tcPr>
                <w:p>
                  <w:pPr>
                    <w:jc w:val="center"/>
                    <w:rPr>
                      <w:color w:val="auto"/>
                      <w:szCs w:val="21"/>
                      <w:highlight w:val="none"/>
                    </w:rPr>
                  </w:pPr>
                  <w:r>
                    <w:rPr>
                      <w:color w:val="auto"/>
                      <w:szCs w:val="21"/>
                      <w:highlight w:val="none"/>
                    </w:rPr>
                    <w:t>序号</w:t>
                  </w:r>
                </w:p>
              </w:tc>
              <w:tc>
                <w:tcPr>
                  <w:tcW w:w="2152" w:type="pct"/>
                  <w:vAlign w:val="center"/>
                </w:tcPr>
                <w:p>
                  <w:pPr>
                    <w:jc w:val="center"/>
                    <w:rPr>
                      <w:color w:val="auto"/>
                      <w:szCs w:val="21"/>
                      <w:highlight w:val="none"/>
                    </w:rPr>
                  </w:pPr>
                  <w:r>
                    <w:rPr>
                      <w:color w:val="auto"/>
                      <w:szCs w:val="21"/>
                      <w:highlight w:val="none"/>
                    </w:rPr>
                    <w:t>相关要求</w:t>
                  </w:r>
                </w:p>
              </w:tc>
              <w:tc>
                <w:tcPr>
                  <w:tcW w:w="1532" w:type="pct"/>
                  <w:vAlign w:val="center"/>
                </w:tcPr>
                <w:p>
                  <w:pPr>
                    <w:jc w:val="center"/>
                    <w:rPr>
                      <w:color w:val="auto"/>
                      <w:szCs w:val="21"/>
                      <w:highlight w:val="none"/>
                    </w:rPr>
                  </w:pPr>
                  <w:r>
                    <w:rPr>
                      <w:color w:val="auto"/>
                      <w:szCs w:val="21"/>
                      <w:highlight w:val="none"/>
                    </w:rPr>
                    <w:t>项</w:t>
                  </w:r>
                  <w:r>
                    <w:rPr>
                      <w:color w:val="auto"/>
                      <w:szCs w:val="21"/>
                      <w:highlight w:val="none"/>
                    </w:rPr>
                    <w:cr/>
                  </w:r>
                  <w:r>
                    <w:rPr>
                      <w:color w:val="auto"/>
                      <w:szCs w:val="21"/>
                      <w:highlight w:val="none"/>
                    </w:rPr>
                    <w:t>情况</w:t>
                  </w:r>
                </w:p>
              </w:tc>
              <w:tc>
                <w:tcPr>
                  <w:tcW w:w="393" w:type="pct"/>
                  <w:vAlign w:val="center"/>
                </w:tcPr>
                <w:p>
                  <w:pPr>
                    <w:jc w:val="center"/>
                    <w:rPr>
                      <w:color w:val="auto"/>
                      <w:szCs w:val="21"/>
                      <w:highlight w:val="none"/>
                    </w:rPr>
                  </w:pPr>
                  <w:r>
                    <w:rPr>
                      <w:color w:val="auto"/>
                      <w:szCs w:val="21"/>
                      <w:highlight w:val="none"/>
                    </w:rPr>
                    <w:t>相符性</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PrEx>
              <w:trPr>
                <w:jc w:val="center"/>
              </w:trPr>
              <w:tc>
                <w:tcPr>
                  <w:tcW w:w="595" w:type="pct"/>
                  <w:vMerge w:val="restart"/>
                  <w:vAlign w:val="center"/>
                </w:tcPr>
                <w:p>
                  <w:pPr>
                    <w:jc w:val="center"/>
                    <w:rPr>
                      <w:color w:val="auto"/>
                      <w:szCs w:val="21"/>
                      <w:highlight w:val="none"/>
                    </w:rPr>
                  </w:pPr>
                  <w:r>
                    <w:rPr>
                      <w:color w:val="auto"/>
                      <w:szCs w:val="21"/>
                      <w:highlight w:val="none"/>
                    </w:rPr>
                    <w:t>VOCs物料储存无组织排放</w:t>
                  </w:r>
                  <w:r>
                    <w:rPr>
                      <w:rFonts w:hint="eastAsia"/>
                      <w:color w:val="auto"/>
                      <w:szCs w:val="21"/>
                      <w:highlight w:val="none"/>
                    </w:rPr>
                    <w:t>控</w:t>
                  </w:r>
                  <w:r>
                    <w:rPr>
                      <w:color w:val="auto"/>
                      <w:szCs w:val="21"/>
                      <w:highlight w:val="none"/>
                    </w:rPr>
                    <w:t>制要求</w:t>
                  </w:r>
                </w:p>
              </w:tc>
              <w:tc>
                <w:tcPr>
                  <w:tcW w:w="329" w:type="pct"/>
                  <w:vAlign w:val="center"/>
                </w:tcPr>
                <w:p>
                  <w:pPr>
                    <w:jc w:val="center"/>
                    <w:rPr>
                      <w:color w:val="auto"/>
                      <w:szCs w:val="21"/>
                      <w:highlight w:val="none"/>
                    </w:rPr>
                  </w:pPr>
                  <w:r>
                    <w:rPr>
                      <w:color w:val="auto"/>
                      <w:szCs w:val="21"/>
                      <w:highlight w:val="none"/>
                    </w:rPr>
                    <w:t>1</w:t>
                  </w:r>
                </w:p>
              </w:tc>
              <w:tc>
                <w:tcPr>
                  <w:tcW w:w="2152" w:type="pct"/>
                  <w:vAlign w:val="center"/>
                </w:tcPr>
                <w:p>
                  <w:pPr>
                    <w:jc w:val="center"/>
                    <w:rPr>
                      <w:color w:val="auto"/>
                      <w:szCs w:val="21"/>
                      <w:highlight w:val="none"/>
                    </w:rPr>
                  </w:pPr>
                  <w:r>
                    <w:rPr>
                      <w:color w:val="auto"/>
                      <w:szCs w:val="21"/>
                      <w:highlight w:val="none"/>
                    </w:rPr>
                    <w:t>VOCs物料应储存于密闭的容器、包装袋、储罐、储库、料仓中。</w:t>
                  </w:r>
                </w:p>
              </w:tc>
              <w:tc>
                <w:tcPr>
                  <w:tcW w:w="1532" w:type="pct"/>
                  <w:vAlign w:val="center"/>
                </w:tcPr>
                <w:p>
                  <w:pPr>
                    <w:widowControl/>
                    <w:shd w:val="clear" w:color="auto" w:fill="FFFFFF"/>
                    <w:adjustRightInd w:val="0"/>
                    <w:snapToGrid w:val="0"/>
                    <w:rPr>
                      <w:color w:val="auto"/>
                      <w:szCs w:val="21"/>
                      <w:highlight w:val="none"/>
                    </w:rPr>
                  </w:pPr>
                  <w:r>
                    <w:rPr>
                      <w:color w:val="auto"/>
                      <w:szCs w:val="21"/>
                      <w:highlight w:val="none"/>
                    </w:rPr>
                    <w:t>零部件清洗使用无水乙醇和丙酮密闭储存。</w:t>
                  </w:r>
                </w:p>
              </w:tc>
              <w:tc>
                <w:tcPr>
                  <w:tcW w:w="393" w:type="pct"/>
                  <w:vAlign w:val="center"/>
                </w:tcPr>
                <w:p>
                  <w:pPr>
                    <w:jc w:val="center"/>
                    <w:rPr>
                      <w:color w:val="auto"/>
                      <w:szCs w:val="21"/>
                      <w:highlight w:val="none"/>
                    </w:rPr>
                  </w:pPr>
                  <w:r>
                    <w:rPr>
                      <w:color w:val="auto"/>
                      <w:szCs w:val="21"/>
                      <w:highlight w:val="none"/>
                    </w:rPr>
                    <w:t>相符</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PrEx>
              <w:trPr>
                <w:jc w:val="center"/>
              </w:trPr>
              <w:tc>
                <w:tcPr>
                  <w:tcW w:w="595" w:type="pct"/>
                  <w:vMerge w:val="continue"/>
                  <w:vAlign w:val="center"/>
                </w:tcPr>
                <w:p>
                  <w:pPr>
                    <w:jc w:val="center"/>
                    <w:rPr>
                      <w:color w:val="auto"/>
                      <w:szCs w:val="21"/>
                      <w:highlight w:val="none"/>
                    </w:rPr>
                  </w:pPr>
                </w:p>
              </w:tc>
              <w:tc>
                <w:tcPr>
                  <w:tcW w:w="329" w:type="pct"/>
                  <w:vAlign w:val="center"/>
                </w:tcPr>
                <w:p>
                  <w:pPr>
                    <w:jc w:val="center"/>
                    <w:rPr>
                      <w:color w:val="auto"/>
                      <w:szCs w:val="21"/>
                      <w:highlight w:val="none"/>
                    </w:rPr>
                  </w:pPr>
                  <w:r>
                    <w:rPr>
                      <w:color w:val="auto"/>
                      <w:szCs w:val="21"/>
                      <w:highlight w:val="none"/>
                    </w:rPr>
                    <w:t>2</w:t>
                  </w:r>
                </w:p>
              </w:tc>
              <w:tc>
                <w:tcPr>
                  <w:tcW w:w="2152" w:type="pct"/>
                  <w:vAlign w:val="center"/>
                </w:tcPr>
                <w:p>
                  <w:pPr>
                    <w:jc w:val="center"/>
                    <w:rPr>
                      <w:color w:val="auto"/>
                      <w:szCs w:val="21"/>
                      <w:highlight w:val="none"/>
                    </w:rPr>
                  </w:pPr>
                  <w:r>
                    <w:rPr>
                      <w:color w:val="auto"/>
                      <w:szCs w:val="21"/>
                      <w:highlight w:val="none"/>
                    </w:rPr>
                    <w:t>盛装VOCs物料的</w:t>
                  </w:r>
                  <w:r>
                    <w:rPr>
                      <w:rFonts w:hint="eastAsia"/>
                      <w:color w:val="auto"/>
                      <w:szCs w:val="21"/>
                      <w:highlight w:val="none"/>
                    </w:rPr>
                    <w:t>容</w:t>
                  </w:r>
                  <w:r>
                    <w:rPr>
                      <w:color w:val="auto"/>
                      <w:szCs w:val="21"/>
                      <w:highlight w:val="none"/>
                    </w:rPr>
                    <w:t>器或包装袋应存放于室内，或存放于设置有雨棚、遮阳和防渗设施的专用场地。盛装VOCs物料的容器或包装袋在非取用状态时应加盖</w:t>
                  </w:r>
                  <w:r>
                    <w:rPr>
                      <w:rFonts w:hint="eastAsia"/>
                      <w:color w:val="auto"/>
                      <w:szCs w:val="21"/>
                      <w:highlight w:val="none"/>
                    </w:rPr>
                    <w:t>密</w:t>
                  </w:r>
                  <w:r>
                    <w:rPr>
                      <w:color w:val="auto"/>
                      <w:szCs w:val="21"/>
                      <w:highlight w:val="none"/>
                    </w:rPr>
                    <w:t>封口，保持密闭。</w:t>
                  </w:r>
                </w:p>
              </w:tc>
              <w:tc>
                <w:tcPr>
                  <w:tcW w:w="1532" w:type="pct"/>
                  <w:vAlign w:val="center"/>
                </w:tcPr>
                <w:p>
                  <w:pPr>
                    <w:jc w:val="center"/>
                    <w:rPr>
                      <w:color w:val="auto"/>
                      <w:szCs w:val="21"/>
                      <w:highlight w:val="none"/>
                    </w:rPr>
                  </w:pPr>
                  <w:r>
                    <w:rPr>
                      <w:color w:val="auto"/>
                      <w:szCs w:val="21"/>
                      <w:highlight w:val="none"/>
                    </w:rPr>
                    <w:t>零部件清洗使用无水乙醇和丙酮密闭储存。</w:t>
                  </w:r>
                </w:p>
              </w:tc>
              <w:tc>
                <w:tcPr>
                  <w:tcW w:w="393" w:type="pct"/>
                  <w:vAlign w:val="center"/>
                </w:tcPr>
                <w:p>
                  <w:pPr>
                    <w:jc w:val="center"/>
                    <w:rPr>
                      <w:color w:val="auto"/>
                      <w:szCs w:val="21"/>
                      <w:highlight w:val="none"/>
                    </w:rPr>
                  </w:pPr>
                  <w:r>
                    <w:rPr>
                      <w:color w:val="auto"/>
                      <w:szCs w:val="21"/>
                      <w:highlight w:val="none"/>
                    </w:rPr>
                    <w:t>相符</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PrEx>
              <w:trPr>
                <w:trHeight w:val="405" w:hRule="atLeast"/>
                <w:jc w:val="center"/>
              </w:trPr>
              <w:tc>
                <w:tcPr>
                  <w:tcW w:w="595" w:type="pct"/>
                  <w:vAlign w:val="center"/>
                </w:tcPr>
                <w:p>
                  <w:pPr>
                    <w:jc w:val="center"/>
                    <w:rPr>
                      <w:color w:val="auto"/>
                      <w:szCs w:val="21"/>
                      <w:highlight w:val="none"/>
                    </w:rPr>
                  </w:pPr>
                  <w:r>
                    <w:rPr>
                      <w:color w:val="auto"/>
                      <w:szCs w:val="21"/>
                      <w:highlight w:val="none"/>
                    </w:rPr>
                    <w:t>工艺过程</w:t>
                  </w:r>
                  <w:r>
                    <w:rPr>
                      <w:color w:val="auto"/>
                      <w:szCs w:val="21"/>
                      <w:highlight w:val="none"/>
                    </w:rPr>
                    <w:cr/>
                  </w:r>
                  <w:r>
                    <w:rPr>
                      <w:color w:val="auto"/>
                      <w:szCs w:val="21"/>
                      <w:highlight w:val="none"/>
                    </w:rPr>
                    <w:t>VOCs无组织排放控制要求</w:t>
                  </w:r>
                </w:p>
              </w:tc>
              <w:tc>
                <w:tcPr>
                  <w:tcW w:w="329" w:type="pct"/>
                  <w:vAlign w:val="center"/>
                </w:tcPr>
                <w:p>
                  <w:pPr>
                    <w:jc w:val="center"/>
                    <w:rPr>
                      <w:color w:val="auto"/>
                      <w:szCs w:val="21"/>
                      <w:highlight w:val="none"/>
                    </w:rPr>
                  </w:pPr>
                  <w:r>
                    <w:rPr>
                      <w:color w:val="auto"/>
                      <w:szCs w:val="21"/>
                      <w:highlight w:val="none"/>
                    </w:rPr>
                    <w:t>1</w:t>
                  </w:r>
                </w:p>
              </w:tc>
              <w:tc>
                <w:tcPr>
                  <w:tcW w:w="2152" w:type="pct"/>
                  <w:vAlign w:val="center"/>
                </w:tcPr>
                <w:p>
                  <w:pPr>
                    <w:jc w:val="center"/>
                    <w:rPr>
                      <w:color w:val="auto"/>
                      <w:szCs w:val="21"/>
                      <w:highlight w:val="none"/>
                    </w:rPr>
                  </w:pPr>
                  <w:r>
                    <w:rPr>
                      <w:color w:val="auto"/>
                      <w:szCs w:val="21"/>
                      <w:highlight w:val="none"/>
                    </w:rPr>
                    <w:t>VOCs质量占比大于等于10％的含VOCs产品，其使用过程应采用密闭设备或在密闭空间内操作，废气应排至</w:t>
                  </w:r>
                  <w:r>
                    <w:rPr>
                      <w:rFonts w:hint="eastAsia"/>
                      <w:color w:val="auto"/>
                      <w:szCs w:val="21"/>
                      <w:highlight w:val="none"/>
                    </w:rPr>
                    <w:t>V</w:t>
                  </w:r>
                  <w:r>
                    <w:rPr>
                      <w:color w:val="auto"/>
                      <w:szCs w:val="21"/>
                      <w:highlight w:val="none"/>
                    </w:rPr>
                    <w:t>OCs废气收集处理系统；无法密闭的，应采取局部气体收集措施，废气应排至VOCs废气收集处理系统。</w:t>
                  </w:r>
                </w:p>
              </w:tc>
              <w:tc>
                <w:tcPr>
                  <w:tcW w:w="1532" w:type="pct"/>
                  <w:vAlign w:val="center"/>
                </w:tcPr>
                <w:p>
                  <w:pPr>
                    <w:pStyle w:val="69"/>
                    <w:snapToGrid w:val="0"/>
                    <w:spacing w:line="240" w:lineRule="auto"/>
                    <w:ind w:firstLine="0" w:firstLineChars="0"/>
                    <w:jc w:val="center"/>
                    <w:rPr>
                      <w:rFonts w:cs="Times New Roman"/>
                      <w:color w:val="auto"/>
                      <w:sz w:val="21"/>
                      <w:szCs w:val="21"/>
                      <w:highlight w:val="none"/>
                    </w:rPr>
                  </w:pPr>
                  <w:r>
                    <w:rPr>
                      <w:rFonts w:cs="Times New Roman"/>
                      <w:color w:val="auto"/>
                      <w:sz w:val="21"/>
                      <w:szCs w:val="21"/>
                      <w:highlight w:val="none"/>
                    </w:rPr>
                    <w:t>零部件使用无水乙醇和丙酮清洗</w:t>
                  </w:r>
                  <w:r>
                    <w:rPr>
                      <w:rFonts w:hint="eastAsia" w:cs="Times New Roman"/>
                      <w:color w:val="auto"/>
                      <w:sz w:val="21"/>
                      <w:szCs w:val="21"/>
                      <w:highlight w:val="none"/>
                    </w:rPr>
                    <w:t>废气收集处理</w:t>
                  </w:r>
                  <w:r>
                    <w:rPr>
                      <w:rFonts w:cs="Times New Roman"/>
                      <w:color w:val="auto"/>
                      <w:sz w:val="21"/>
                      <w:szCs w:val="21"/>
                      <w:highlight w:val="none"/>
                    </w:rPr>
                    <w:t>达标排放。</w:t>
                  </w:r>
                </w:p>
              </w:tc>
              <w:tc>
                <w:tcPr>
                  <w:tcW w:w="393" w:type="pct"/>
                  <w:vAlign w:val="center"/>
                </w:tcPr>
                <w:p>
                  <w:pPr>
                    <w:jc w:val="center"/>
                    <w:rPr>
                      <w:color w:val="auto"/>
                      <w:szCs w:val="21"/>
                      <w:highlight w:val="none"/>
                    </w:rPr>
                  </w:pPr>
                  <w:r>
                    <w:rPr>
                      <w:color w:val="auto"/>
                      <w:szCs w:val="21"/>
                      <w:highlight w:val="none"/>
                    </w:rPr>
                    <w:t>相符</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PrEx>
              <w:trPr>
                <w:jc w:val="center"/>
              </w:trPr>
              <w:tc>
                <w:tcPr>
                  <w:tcW w:w="595" w:type="pct"/>
                  <w:vMerge w:val="restart"/>
                  <w:vAlign w:val="center"/>
                </w:tcPr>
                <w:p>
                  <w:pPr>
                    <w:jc w:val="center"/>
                    <w:rPr>
                      <w:color w:val="auto"/>
                      <w:szCs w:val="21"/>
                      <w:highlight w:val="none"/>
                    </w:rPr>
                  </w:pPr>
                  <w:r>
                    <w:rPr>
                      <w:color w:val="auto"/>
                      <w:szCs w:val="21"/>
                      <w:highlight w:val="none"/>
                    </w:rPr>
                    <w:t>VOCs无组织排放废气收集</w:t>
                  </w:r>
                  <w:r>
                    <w:rPr>
                      <w:color w:val="auto"/>
                      <w:szCs w:val="21"/>
                      <w:highlight w:val="none"/>
                    </w:rPr>
                    <w:cr/>
                  </w:r>
                  <w:r>
                    <w:rPr>
                      <w:color w:val="auto"/>
                      <w:szCs w:val="21"/>
                      <w:highlight w:val="none"/>
                    </w:rPr>
                    <w:t>理系统要求</w:t>
                  </w:r>
                </w:p>
              </w:tc>
              <w:tc>
                <w:tcPr>
                  <w:tcW w:w="329" w:type="pct"/>
                  <w:vAlign w:val="center"/>
                </w:tcPr>
                <w:p>
                  <w:pPr>
                    <w:jc w:val="center"/>
                    <w:rPr>
                      <w:color w:val="auto"/>
                      <w:szCs w:val="21"/>
                      <w:highlight w:val="none"/>
                    </w:rPr>
                  </w:pPr>
                  <w:r>
                    <w:rPr>
                      <w:color w:val="auto"/>
                      <w:szCs w:val="21"/>
                      <w:highlight w:val="none"/>
                    </w:rPr>
                    <w:t>1</w:t>
                  </w:r>
                </w:p>
              </w:tc>
              <w:tc>
                <w:tcPr>
                  <w:tcW w:w="2152" w:type="pct"/>
                  <w:vAlign w:val="center"/>
                </w:tcPr>
                <w:p>
                  <w:pPr>
                    <w:jc w:val="center"/>
                    <w:rPr>
                      <w:color w:val="auto"/>
                      <w:szCs w:val="21"/>
                      <w:highlight w:val="none"/>
                    </w:rPr>
                  </w:pPr>
                  <w:r>
                    <w:rPr>
                      <w:color w:val="auto"/>
                      <w:szCs w:val="21"/>
                      <w:highlight w:val="none"/>
                    </w:rPr>
                    <w:t>VOCs废气收集处理系</w:t>
                  </w:r>
                  <w:r>
                    <w:rPr>
                      <w:rFonts w:hint="eastAsia"/>
                      <w:color w:val="auto"/>
                      <w:szCs w:val="21"/>
                      <w:highlight w:val="none"/>
                    </w:rPr>
                    <w:t>统</w:t>
                  </w:r>
                  <w:r>
                    <w:rPr>
                      <w:color w:val="auto"/>
                      <w:szCs w:val="21"/>
                      <w:highlight w:val="none"/>
                    </w:rPr>
                    <w:cr/>
                  </w:r>
                  <w:r>
                    <w:rPr>
                      <w:color w:val="auto"/>
                      <w:szCs w:val="21"/>
                      <w:highlight w:val="none"/>
                    </w:rPr>
                    <w:t>应与生产工艺设备同步运行。VOCs废气收集</w:t>
                  </w:r>
                  <w:r>
                    <w:rPr>
                      <w:color w:val="auto"/>
                      <w:szCs w:val="21"/>
                      <w:highlight w:val="none"/>
                    </w:rPr>
                    <w:cr/>
                  </w:r>
                  <w:r>
                    <w:rPr>
                      <w:rStyle w:val="43"/>
                      <w:rFonts w:hint="eastAsia"/>
                      <w:color w:val="auto"/>
                      <w:kern w:val="0"/>
                      <w:szCs w:val="20"/>
                      <w:highlight w:val="none"/>
                    </w:rPr>
                    <w:t>处</w:t>
                  </w:r>
                  <w:r>
                    <w:rPr>
                      <w:color w:val="auto"/>
                      <w:szCs w:val="21"/>
                      <w:highlight w:val="none"/>
                    </w:rPr>
                    <w:t>理系统发生故障或检修时，对应的生产工艺设备应发生故障</w:t>
                  </w:r>
                  <w:r>
                    <w:rPr>
                      <w:color w:val="auto"/>
                      <w:szCs w:val="21"/>
                      <w:highlight w:val="none"/>
                    </w:rPr>
                    <w:cr/>
                  </w:r>
                  <w:r>
                    <w:rPr>
                      <w:color w:val="auto"/>
                      <w:szCs w:val="21"/>
                      <w:highlight w:val="none"/>
                    </w:rPr>
                    <w:t>检修时，对应的生产工艺设备应停止运行，待检修完毕后同步投入使用；生产工艺设备不能及时停止运行的，应设置废气应急处理设施或采取其他替代措施。</w:t>
                  </w:r>
                </w:p>
              </w:tc>
              <w:tc>
                <w:tcPr>
                  <w:tcW w:w="1532" w:type="pct"/>
                  <w:vAlign w:val="center"/>
                </w:tcPr>
                <w:p>
                  <w:pPr>
                    <w:tabs>
                      <w:tab w:val="left" w:pos="2160"/>
                    </w:tabs>
                    <w:snapToGrid w:val="0"/>
                    <w:jc w:val="center"/>
                    <w:rPr>
                      <w:color w:val="auto"/>
                      <w:szCs w:val="21"/>
                      <w:highlight w:val="none"/>
                    </w:rPr>
                  </w:pPr>
                  <w:r>
                    <w:rPr>
                      <w:color w:val="auto"/>
                      <w:szCs w:val="21"/>
                      <w:highlight w:val="none"/>
                    </w:rPr>
                    <w:t>VOCs废气收集处理系统与生产工艺设备同步运行，VOCs废气收集</w:t>
                  </w:r>
                  <w:r>
                    <w:rPr>
                      <w:color w:val="auto"/>
                      <w:szCs w:val="21"/>
                      <w:highlight w:val="none"/>
                    </w:rPr>
                    <w:cr/>
                  </w:r>
                  <w:r>
                    <w:rPr>
                      <w:color w:val="auto"/>
                      <w:szCs w:val="21"/>
                      <w:highlight w:val="none"/>
                    </w:rPr>
                    <w:t>理系统发生故障或检修时，对应的生产工艺设备停止运行，待检修完毕后同步投入使用。</w:t>
                  </w:r>
                </w:p>
              </w:tc>
              <w:tc>
                <w:tcPr>
                  <w:tcW w:w="393" w:type="pct"/>
                  <w:vAlign w:val="center"/>
                </w:tcPr>
                <w:p>
                  <w:pPr>
                    <w:jc w:val="center"/>
                    <w:rPr>
                      <w:color w:val="auto"/>
                      <w:szCs w:val="21"/>
                      <w:highlight w:val="none"/>
                    </w:rPr>
                  </w:pPr>
                  <w:r>
                    <w:rPr>
                      <w:color w:val="auto"/>
                      <w:szCs w:val="21"/>
                      <w:highlight w:val="none"/>
                    </w:rPr>
                    <w:t>相符</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PrEx>
              <w:trPr>
                <w:jc w:val="center"/>
              </w:trPr>
              <w:tc>
                <w:tcPr>
                  <w:tcW w:w="595" w:type="pct"/>
                  <w:vMerge w:val="continue"/>
                  <w:vAlign w:val="center"/>
                </w:tcPr>
                <w:p>
                  <w:pPr>
                    <w:jc w:val="center"/>
                    <w:rPr>
                      <w:color w:val="auto"/>
                      <w:szCs w:val="21"/>
                      <w:highlight w:val="none"/>
                    </w:rPr>
                  </w:pPr>
                </w:p>
              </w:tc>
              <w:tc>
                <w:tcPr>
                  <w:tcW w:w="329" w:type="pct"/>
                  <w:vAlign w:val="center"/>
                </w:tcPr>
                <w:p>
                  <w:pPr>
                    <w:jc w:val="center"/>
                    <w:rPr>
                      <w:color w:val="auto"/>
                      <w:szCs w:val="21"/>
                      <w:highlight w:val="none"/>
                    </w:rPr>
                  </w:pPr>
                  <w:r>
                    <w:rPr>
                      <w:color w:val="auto"/>
                      <w:szCs w:val="21"/>
                      <w:highlight w:val="none"/>
                    </w:rPr>
                    <w:t>2</w:t>
                  </w:r>
                </w:p>
              </w:tc>
              <w:tc>
                <w:tcPr>
                  <w:tcW w:w="2152" w:type="pct"/>
                  <w:vAlign w:val="center"/>
                </w:tcPr>
                <w:p>
                  <w:pPr>
                    <w:jc w:val="center"/>
                    <w:rPr>
                      <w:color w:val="auto"/>
                      <w:szCs w:val="21"/>
                      <w:highlight w:val="none"/>
                    </w:rPr>
                  </w:pPr>
                  <w:r>
                    <w:rPr>
                      <w:color w:val="auto"/>
                      <w:szCs w:val="21"/>
                      <w:highlight w:val="none"/>
                    </w:rPr>
                    <w:t>废气收集系统排风罩（集</w:t>
                  </w:r>
                  <w:r>
                    <w:rPr>
                      <w:rFonts w:hint="eastAsia"/>
                      <w:color w:val="auto"/>
                      <w:szCs w:val="21"/>
                      <w:highlight w:val="none"/>
                    </w:rPr>
                    <w:t>气</w:t>
                  </w:r>
                  <w:r>
                    <w:rPr>
                      <w:color w:val="auto"/>
                      <w:szCs w:val="21"/>
                      <w:highlight w:val="none"/>
                    </w:rPr>
                    <w:t>罩）的设置应符合GB/</w:t>
                  </w:r>
                  <w:r>
                    <w:rPr>
                      <w:color w:val="auto"/>
                      <w:szCs w:val="21"/>
                      <w:highlight w:val="none"/>
                    </w:rPr>
                    <w:cr/>
                  </w:r>
                  <w:r>
                    <w:rPr>
                      <w:rStyle w:val="43"/>
                      <w:rFonts w:hint="eastAsia"/>
                      <w:color w:val="auto"/>
                      <w:kern w:val="0"/>
                      <w:szCs w:val="20"/>
                      <w:highlight w:val="none"/>
                    </w:rPr>
                    <w:t>T</w:t>
                  </w:r>
                  <w:r>
                    <w:rPr>
                      <w:color w:val="auto"/>
                      <w:szCs w:val="21"/>
                      <w:highlight w:val="none"/>
                    </w:rPr>
                    <w:t>16758的规定。</w:t>
                  </w:r>
                </w:p>
              </w:tc>
              <w:tc>
                <w:tcPr>
                  <w:tcW w:w="1532" w:type="pct"/>
                  <w:vAlign w:val="center"/>
                </w:tcPr>
                <w:p>
                  <w:pPr>
                    <w:jc w:val="center"/>
                    <w:rPr>
                      <w:color w:val="auto"/>
                      <w:szCs w:val="21"/>
                      <w:highlight w:val="none"/>
                    </w:rPr>
                  </w:pPr>
                  <w:r>
                    <w:rPr>
                      <w:color w:val="auto"/>
                      <w:szCs w:val="21"/>
                      <w:highlight w:val="none"/>
                    </w:rPr>
                    <w:t>废气收集系统集气罩风量、风速符合GB/T16758的规定</w:t>
                  </w:r>
                </w:p>
              </w:tc>
              <w:tc>
                <w:tcPr>
                  <w:tcW w:w="393" w:type="pct"/>
                  <w:vAlign w:val="center"/>
                </w:tcPr>
                <w:p>
                  <w:pPr>
                    <w:jc w:val="center"/>
                    <w:rPr>
                      <w:color w:val="auto"/>
                      <w:szCs w:val="21"/>
                      <w:highlight w:val="none"/>
                    </w:rPr>
                  </w:pPr>
                  <w:r>
                    <w:rPr>
                      <w:color w:val="auto"/>
                      <w:szCs w:val="21"/>
                      <w:highlight w:val="none"/>
                    </w:rPr>
                    <w:t>相符</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PrEx>
              <w:trPr>
                <w:jc w:val="center"/>
              </w:trPr>
              <w:tc>
                <w:tcPr>
                  <w:tcW w:w="595" w:type="pct"/>
                  <w:vMerge w:val="continue"/>
                  <w:vAlign w:val="center"/>
                </w:tcPr>
                <w:p>
                  <w:pPr>
                    <w:jc w:val="center"/>
                    <w:rPr>
                      <w:color w:val="auto"/>
                      <w:szCs w:val="21"/>
                      <w:highlight w:val="none"/>
                    </w:rPr>
                  </w:pPr>
                </w:p>
              </w:tc>
              <w:tc>
                <w:tcPr>
                  <w:tcW w:w="329" w:type="pct"/>
                  <w:vAlign w:val="center"/>
                </w:tcPr>
                <w:p>
                  <w:pPr>
                    <w:jc w:val="center"/>
                    <w:rPr>
                      <w:color w:val="auto"/>
                      <w:szCs w:val="21"/>
                      <w:highlight w:val="none"/>
                    </w:rPr>
                  </w:pPr>
                  <w:r>
                    <w:rPr>
                      <w:color w:val="auto"/>
                      <w:szCs w:val="21"/>
                      <w:highlight w:val="none"/>
                    </w:rPr>
                    <w:t>3</w:t>
                  </w:r>
                </w:p>
              </w:tc>
              <w:tc>
                <w:tcPr>
                  <w:tcW w:w="2152" w:type="pct"/>
                  <w:vAlign w:val="center"/>
                </w:tcPr>
                <w:p>
                  <w:pPr>
                    <w:jc w:val="center"/>
                    <w:rPr>
                      <w:color w:val="auto"/>
                      <w:szCs w:val="21"/>
                      <w:highlight w:val="none"/>
                    </w:rPr>
                  </w:pPr>
                  <w:r>
                    <w:rPr>
                      <w:color w:val="auto"/>
                      <w:szCs w:val="21"/>
                      <w:highlight w:val="none"/>
                    </w:rPr>
                    <w:t>废气收集系统的</w:t>
                  </w:r>
                  <w:r>
                    <w:rPr>
                      <w:rFonts w:hint="eastAsia"/>
                      <w:color w:val="auto"/>
                      <w:szCs w:val="21"/>
                      <w:highlight w:val="none"/>
                    </w:rPr>
                    <w:t>输</w:t>
                  </w:r>
                  <w:r>
                    <w:rPr>
                      <w:color w:val="auto"/>
                      <w:szCs w:val="21"/>
                      <w:highlight w:val="none"/>
                    </w:rPr>
                    <w:t>送管道应密闭。</w:t>
                  </w:r>
                </w:p>
              </w:tc>
              <w:tc>
                <w:tcPr>
                  <w:tcW w:w="1532" w:type="pct"/>
                  <w:vAlign w:val="center"/>
                </w:tcPr>
                <w:p>
                  <w:pPr>
                    <w:jc w:val="center"/>
                    <w:rPr>
                      <w:color w:val="auto"/>
                      <w:szCs w:val="21"/>
                      <w:highlight w:val="none"/>
                    </w:rPr>
                  </w:pPr>
                  <w:r>
                    <w:rPr>
                      <w:color w:val="auto"/>
                      <w:szCs w:val="21"/>
                      <w:highlight w:val="none"/>
                    </w:rPr>
                    <w:t>零部件清洗产生的非甲烷总烃经收集处理后经密闭管道送15m高排气筒排放，与文件要求相符。</w:t>
                  </w:r>
                </w:p>
              </w:tc>
              <w:tc>
                <w:tcPr>
                  <w:tcW w:w="393" w:type="pct"/>
                  <w:vAlign w:val="center"/>
                </w:tcPr>
                <w:p>
                  <w:pPr>
                    <w:jc w:val="center"/>
                    <w:rPr>
                      <w:color w:val="auto"/>
                      <w:szCs w:val="21"/>
                      <w:highlight w:val="none"/>
                    </w:rPr>
                  </w:pPr>
                  <w:r>
                    <w:rPr>
                      <w:color w:val="auto"/>
                      <w:szCs w:val="21"/>
                      <w:highlight w:val="none"/>
                    </w:rPr>
                    <w:t>相符</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PrEx>
              <w:trPr>
                <w:jc w:val="center"/>
              </w:trPr>
              <w:tc>
                <w:tcPr>
                  <w:tcW w:w="595" w:type="pct"/>
                  <w:vMerge w:val="continue"/>
                  <w:vAlign w:val="center"/>
                </w:tcPr>
                <w:p>
                  <w:pPr>
                    <w:jc w:val="center"/>
                    <w:rPr>
                      <w:color w:val="auto"/>
                      <w:szCs w:val="21"/>
                      <w:highlight w:val="none"/>
                    </w:rPr>
                  </w:pPr>
                </w:p>
              </w:tc>
              <w:tc>
                <w:tcPr>
                  <w:tcW w:w="329" w:type="pct"/>
                  <w:vAlign w:val="center"/>
                </w:tcPr>
                <w:p>
                  <w:pPr>
                    <w:jc w:val="center"/>
                    <w:rPr>
                      <w:color w:val="auto"/>
                      <w:szCs w:val="21"/>
                      <w:highlight w:val="none"/>
                    </w:rPr>
                  </w:pPr>
                  <w:r>
                    <w:rPr>
                      <w:color w:val="auto"/>
                      <w:szCs w:val="21"/>
                      <w:highlight w:val="none"/>
                    </w:rPr>
                    <w:t>4</w:t>
                  </w:r>
                </w:p>
              </w:tc>
              <w:tc>
                <w:tcPr>
                  <w:tcW w:w="2152" w:type="pct"/>
                  <w:vAlign w:val="center"/>
                </w:tcPr>
                <w:p>
                  <w:pPr>
                    <w:jc w:val="center"/>
                    <w:rPr>
                      <w:color w:val="auto"/>
                      <w:szCs w:val="21"/>
                      <w:highlight w:val="none"/>
                    </w:rPr>
                  </w:pPr>
                  <w:r>
                    <w:rPr>
                      <w:color w:val="auto"/>
                      <w:szCs w:val="21"/>
                      <w:highlight w:val="none"/>
                    </w:rPr>
                    <w:t>VOCs废气收集处理系统污染物排放应符合GB16297或相关行业排放标准</w:t>
                  </w:r>
                  <w:r>
                    <w:rPr>
                      <w:rFonts w:hint="eastAsia"/>
                      <w:color w:val="auto"/>
                      <w:szCs w:val="21"/>
                      <w:highlight w:val="none"/>
                    </w:rPr>
                    <w:t>的</w:t>
                  </w:r>
                  <w:r>
                    <w:rPr>
                      <w:color w:val="auto"/>
                      <w:szCs w:val="21"/>
                      <w:highlight w:val="none"/>
                    </w:rPr>
                    <w:t>规定。</w:t>
                  </w:r>
                </w:p>
              </w:tc>
              <w:tc>
                <w:tcPr>
                  <w:tcW w:w="1532" w:type="pct"/>
                  <w:vAlign w:val="center"/>
                </w:tcPr>
                <w:p>
                  <w:pPr>
                    <w:autoSpaceDE w:val="0"/>
                    <w:autoSpaceDN w:val="0"/>
                    <w:adjustRightInd w:val="0"/>
                    <w:jc w:val="left"/>
                    <w:rPr>
                      <w:color w:val="auto"/>
                      <w:szCs w:val="21"/>
                      <w:highlight w:val="none"/>
                    </w:rPr>
                  </w:pPr>
                  <w:r>
                    <w:rPr>
                      <w:color w:val="auto"/>
                      <w:szCs w:val="21"/>
                      <w:highlight w:val="none"/>
                    </w:rPr>
                    <w:t>本项目清洗产生的非甲烷总烃排放符合江苏省《大气污染物综合排放标准（DB32/4041-2021）</w:t>
                  </w:r>
                  <w:r>
                    <w:rPr>
                      <w:rFonts w:hint="eastAsia"/>
                      <w:color w:val="auto"/>
                      <w:szCs w:val="21"/>
                      <w:highlight w:val="none"/>
                    </w:rPr>
                    <w:t>。</w:t>
                  </w:r>
                </w:p>
              </w:tc>
              <w:tc>
                <w:tcPr>
                  <w:tcW w:w="393" w:type="pct"/>
                  <w:vAlign w:val="center"/>
                </w:tcPr>
                <w:p>
                  <w:pPr>
                    <w:jc w:val="center"/>
                    <w:rPr>
                      <w:color w:val="auto"/>
                      <w:szCs w:val="21"/>
                      <w:highlight w:val="none"/>
                    </w:rPr>
                  </w:pPr>
                  <w:r>
                    <w:rPr>
                      <w:color w:val="auto"/>
                      <w:szCs w:val="21"/>
                      <w:highlight w:val="none"/>
                    </w:rPr>
                    <w:t>相符</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PrEx>
              <w:trPr>
                <w:jc w:val="center"/>
              </w:trPr>
              <w:tc>
                <w:tcPr>
                  <w:tcW w:w="595" w:type="pct"/>
                  <w:vMerge w:val="continue"/>
                  <w:vAlign w:val="center"/>
                </w:tcPr>
                <w:p>
                  <w:pPr>
                    <w:jc w:val="center"/>
                    <w:rPr>
                      <w:color w:val="auto"/>
                      <w:szCs w:val="21"/>
                      <w:highlight w:val="none"/>
                    </w:rPr>
                  </w:pPr>
                </w:p>
              </w:tc>
              <w:tc>
                <w:tcPr>
                  <w:tcW w:w="329" w:type="pct"/>
                  <w:vAlign w:val="center"/>
                </w:tcPr>
                <w:p>
                  <w:pPr>
                    <w:jc w:val="center"/>
                    <w:rPr>
                      <w:color w:val="auto"/>
                      <w:szCs w:val="21"/>
                      <w:highlight w:val="none"/>
                    </w:rPr>
                  </w:pPr>
                  <w:r>
                    <w:rPr>
                      <w:color w:val="auto"/>
                      <w:szCs w:val="21"/>
                      <w:highlight w:val="none"/>
                    </w:rPr>
                    <w:t>5</w:t>
                  </w:r>
                </w:p>
              </w:tc>
              <w:tc>
                <w:tcPr>
                  <w:tcW w:w="2152" w:type="pct"/>
                  <w:vAlign w:val="center"/>
                </w:tcPr>
                <w:p>
                  <w:pPr>
                    <w:jc w:val="center"/>
                    <w:rPr>
                      <w:color w:val="auto"/>
                      <w:szCs w:val="21"/>
                      <w:highlight w:val="none"/>
                    </w:rPr>
                  </w:pPr>
                  <w:r>
                    <w:rPr>
                      <w:color w:val="auto"/>
                      <w:szCs w:val="21"/>
                      <w:highlight w:val="none"/>
                    </w:rPr>
                    <w:t>收集的废气中NMHC初始排放速率≥3kg/h时，应设置VOCs处置设施，处理效率不应低于80%；对于重点地</w:t>
                  </w:r>
                  <w:r>
                    <w:rPr>
                      <w:rFonts w:hint="eastAsia"/>
                      <w:color w:val="auto"/>
                      <w:szCs w:val="21"/>
                      <w:highlight w:val="none"/>
                    </w:rPr>
                    <w:t>区</w:t>
                  </w:r>
                  <w:r>
                    <w:rPr>
                      <w:color w:val="auto"/>
                      <w:szCs w:val="21"/>
                      <w:highlight w:val="none"/>
                    </w:rPr>
                    <w:t>，收集的废气中NMHC初始排放速率≥2kg/h，应配置VOCs处理设施，处理效率不应低于80%；采用的原辅材料符合国家有关低VO</w:t>
                  </w:r>
                  <w:r>
                    <w:rPr>
                      <w:rFonts w:hint="eastAsia"/>
                      <w:color w:val="auto"/>
                      <w:szCs w:val="21"/>
                      <w:highlight w:val="none"/>
                    </w:rPr>
                    <w:t>C</w:t>
                  </w:r>
                  <w:r>
                    <w:rPr>
                      <w:color w:val="auto"/>
                      <w:szCs w:val="21"/>
                      <w:highlight w:val="none"/>
                    </w:rPr>
                    <w:t>s含量产品规定的除外。</w:t>
                  </w:r>
                </w:p>
              </w:tc>
              <w:tc>
                <w:tcPr>
                  <w:tcW w:w="1532" w:type="pct"/>
                  <w:vAlign w:val="center"/>
                </w:tcPr>
                <w:p>
                  <w:pPr>
                    <w:autoSpaceDE w:val="0"/>
                    <w:autoSpaceDN w:val="0"/>
                    <w:adjustRightInd w:val="0"/>
                    <w:jc w:val="center"/>
                    <w:rPr>
                      <w:color w:val="auto"/>
                      <w:szCs w:val="21"/>
                      <w:highlight w:val="none"/>
                    </w:rPr>
                  </w:pPr>
                  <w:r>
                    <w:rPr>
                      <w:color w:val="auto"/>
                      <w:szCs w:val="21"/>
                      <w:highlight w:val="none"/>
                    </w:rPr>
                    <w:t>零部件清洗产生的非甲烷总烃经收集处理后经密闭管道送15m高排气筒排放，未收集部分无组织排放。初始排放速率</w:t>
                  </w:r>
                  <w:r>
                    <w:rPr>
                      <w:rFonts w:hint="eastAsia"/>
                      <w:color w:val="auto"/>
                      <w:szCs w:val="21"/>
                      <w:highlight w:val="none"/>
                    </w:rPr>
                    <w:t>0.23</w:t>
                  </w:r>
                  <w:r>
                    <w:rPr>
                      <w:color w:val="auto"/>
                      <w:szCs w:val="21"/>
                      <w:highlight w:val="none"/>
                    </w:rPr>
                    <w:t>kg/h</w:t>
                  </w:r>
                  <w:r>
                    <w:rPr>
                      <w:rFonts w:hint="eastAsia"/>
                      <w:color w:val="auto"/>
                      <w:szCs w:val="21"/>
                      <w:highlight w:val="none"/>
                    </w:rPr>
                    <w:t>，因源强较小，处理效率为75%。</w:t>
                  </w:r>
                </w:p>
              </w:tc>
              <w:tc>
                <w:tcPr>
                  <w:tcW w:w="393" w:type="pct"/>
                  <w:vAlign w:val="center"/>
                </w:tcPr>
                <w:p>
                  <w:pPr>
                    <w:jc w:val="center"/>
                    <w:rPr>
                      <w:color w:val="auto"/>
                      <w:szCs w:val="21"/>
                      <w:highlight w:val="none"/>
                    </w:rPr>
                  </w:pPr>
                  <w:r>
                    <w:rPr>
                      <w:color w:val="auto"/>
                      <w:szCs w:val="21"/>
                      <w:highlight w:val="none"/>
                    </w:rPr>
                    <w:t>相符</w:t>
                  </w:r>
                </w:p>
              </w:tc>
            </w:tr>
          </w:tbl>
          <w:p>
            <w:pPr>
              <w:autoSpaceDE w:val="0"/>
              <w:autoSpaceDN w:val="0"/>
              <w:spacing w:beforeLines="50" w:line="360" w:lineRule="auto"/>
              <w:ind w:firstLine="482" w:firstLineChars="200"/>
              <w:rPr>
                <w:b/>
                <w:color w:val="auto"/>
                <w:sz w:val="24"/>
                <w:highlight w:val="none"/>
              </w:rPr>
            </w:pPr>
            <w:r>
              <w:rPr>
                <w:b/>
                <w:color w:val="auto"/>
                <w:sz w:val="24"/>
                <w:highlight w:val="none"/>
              </w:rPr>
              <w:t>（</w:t>
            </w:r>
            <w:r>
              <w:rPr>
                <w:rFonts w:hint="eastAsia"/>
                <w:b/>
                <w:color w:val="auto"/>
                <w:sz w:val="24"/>
                <w:highlight w:val="none"/>
              </w:rPr>
              <w:t>6</w:t>
            </w:r>
            <w:r>
              <w:rPr>
                <w:b/>
                <w:color w:val="auto"/>
                <w:sz w:val="24"/>
                <w:highlight w:val="none"/>
              </w:rPr>
              <w:t>）安全风险识别内容</w:t>
            </w:r>
          </w:p>
          <w:p>
            <w:pPr>
              <w:spacing w:line="360" w:lineRule="auto"/>
              <w:ind w:firstLine="480" w:firstLineChars="200"/>
              <w:rPr>
                <w:color w:val="auto"/>
                <w:sz w:val="24"/>
                <w:highlight w:val="none"/>
              </w:rPr>
            </w:pPr>
            <w:r>
              <w:rPr>
                <w:color w:val="auto"/>
                <w:sz w:val="24"/>
                <w:highlight w:val="none"/>
              </w:rPr>
              <w:t>根据《关于做好生态环境和应急管理部门联动工作的意见》（苏环办[2020]101号）的要求：企业要切实履行好从危险废物产生、收集、贮存、运输、利用、处置等环节各项环保和安全职责；要制定危险废物管理计划并报属地生态环境部门备案。申请备案时，对废弃危险化学品、物理危险性尚不确定、根据相关文件无法认定达到稳定化要求的，要提供有资质单位出具的化学品物理危险性报告及其他证明材料，认定达到稳定化要求。企业要对脱硫脱硝、煤改气、挥发性有机物回收、污水处理、粉尘治理、RTO焚烧炉等六类环境治理设施开展安全风险辨识管控，要健全内部污染防治设施稳定运行和管理责任制度，严格依据标准规范建设环境治理设施，确保环境治理设施安全、稳定、有效运行。</w:t>
            </w:r>
          </w:p>
          <w:p>
            <w:pPr>
              <w:spacing w:line="360" w:lineRule="auto"/>
              <w:ind w:firstLine="480" w:firstLineChars="200"/>
              <w:rPr>
                <w:color w:val="auto"/>
                <w:sz w:val="24"/>
                <w:highlight w:val="none"/>
              </w:rPr>
            </w:pPr>
            <w:r>
              <w:rPr>
                <w:color w:val="auto"/>
                <w:sz w:val="24"/>
                <w:highlight w:val="none"/>
              </w:rPr>
              <w:t>本项目涉及酸碱废水中和处理装置安全风险辨识管控，企业要在</w:t>
            </w:r>
            <w:r>
              <w:rPr>
                <w:color w:val="auto"/>
                <w:kern w:val="0"/>
                <w:sz w:val="24"/>
                <w:highlight w:val="none"/>
              </w:rPr>
              <w:t>运营过程中切实履行好自身主体责任，</w:t>
            </w:r>
            <w:r>
              <w:rPr>
                <w:rFonts w:hint="eastAsia"/>
                <w:color w:val="auto"/>
                <w:kern w:val="0"/>
                <w:sz w:val="24"/>
                <w:highlight w:val="none"/>
              </w:rPr>
              <w:t>确保废水处理设施不泄漏，稳定达标排放，</w:t>
            </w:r>
            <w:r>
              <w:rPr>
                <w:color w:val="auto"/>
                <w:kern w:val="0"/>
                <w:sz w:val="24"/>
                <w:highlight w:val="none"/>
              </w:rPr>
              <w:t>配合相关部门积极有效开展环境保护和应急管理工作，</w:t>
            </w:r>
            <w:r>
              <w:rPr>
                <w:color w:val="auto"/>
                <w:sz w:val="24"/>
                <w:highlight w:val="none"/>
              </w:rPr>
              <w:t>健全内部污染防治设施稳定运行和管理责任制度，严格依据标准规范建设环境治理设施，确保环境治理设施安全、稳定、有效运行。</w:t>
            </w:r>
          </w:p>
          <w:p>
            <w:pPr>
              <w:spacing w:line="360" w:lineRule="auto"/>
              <w:ind w:firstLine="480" w:firstLineChars="200"/>
              <w:rPr>
                <w:color w:val="auto"/>
                <w:highlight w:val="none"/>
              </w:rPr>
            </w:pPr>
            <w:r>
              <w:rPr>
                <w:color w:val="auto"/>
                <w:kern w:val="0"/>
                <w:sz w:val="24"/>
                <w:highlight w:val="none"/>
              </w:rPr>
              <w:t>企业切实履行好危险废物在产生、收集、贮存、运输、利用、处置等环节各项环保和安全职责；要制定危险废物管理计划并报属地生态环境部门备案。申请备案时，对废弃危险化学品、物理危险性尚不确定、根据相关文件无法认定达到稳定化要求的，要提供有资质单位出具的化学品物理危险性报告及其他证明材料，认定达到稳定化要求。</w:t>
            </w:r>
          </w:p>
        </w:tc>
      </w:tr>
    </w:tbl>
    <w:p>
      <w:pPr>
        <w:spacing w:line="360" w:lineRule="auto"/>
        <w:outlineLvl w:val="0"/>
        <w:rPr>
          <w:rFonts w:eastAsia="黑体"/>
          <w:sz w:val="30"/>
        </w:rPr>
        <w:sectPr>
          <w:pgSz w:w="11906" w:h="16838"/>
          <w:pgMar w:top="1474" w:right="1474" w:bottom="1474" w:left="1474" w:header="851" w:footer="850" w:gutter="0"/>
          <w:pgNumType w:start="1"/>
          <w:cols w:space="720" w:num="1"/>
          <w:docGrid w:linePitch="312" w:charSpace="0"/>
        </w:sectPr>
      </w:pPr>
    </w:p>
    <w:p>
      <w:pPr>
        <w:pStyle w:val="30"/>
        <w:snapToGrid w:val="0"/>
        <w:spacing w:before="0" w:beforeAutospacing="0" w:after="0" w:afterAutospacing="0"/>
        <w:jc w:val="center"/>
        <w:outlineLvl w:val="0"/>
        <w:rPr>
          <w:rFonts w:ascii="Times New Roman" w:hAnsi="Times New Roman" w:eastAsia="黑体"/>
          <w:snapToGrid w:val="0"/>
          <w:sz w:val="30"/>
          <w:szCs w:val="30"/>
        </w:rPr>
        <w:sectPr>
          <w:type w:val="continuous"/>
          <w:pgSz w:w="11906" w:h="16838"/>
          <w:pgMar w:top="1474" w:right="1474" w:bottom="1474" w:left="1474" w:header="851" w:footer="851" w:gutter="0"/>
          <w:pgNumType w:fmt="numberInDash"/>
          <w:cols w:space="720" w:num="1"/>
          <w:docGrid w:linePitch="312" w:charSpace="0"/>
        </w:sectPr>
      </w:pPr>
    </w:p>
    <w:p>
      <w:pPr>
        <w:pStyle w:val="30"/>
        <w:snapToGrid w:val="0"/>
        <w:spacing w:before="0" w:beforeAutospacing="0" w:after="0" w:afterAutospacing="0"/>
        <w:jc w:val="center"/>
        <w:outlineLvl w:val="0"/>
        <w:rPr>
          <w:rFonts w:ascii="Times New Roman" w:hAnsi="Times New Roman" w:eastAsia="黑体"/>
          <w:snapToGrid w:val="0"/>
          <w:sz w:val="30"/>
          <w:szCs w:val="30"/>
        </w:rPr>
      </w:pPr>
      <w:bookmarkStart w:id="1" w:name="_Toc88945580"/>
      <w:r>
        <w:rPr>
          <w:rFonts w:ascii="Times New Roman" w:hAnsi="Times New Roman" w:eastAsia="黑体"/>
          <w:snapToGrid w:val="0"/>
          <w:sz w:val="30"/>
          <w:szCs w:val="30"/>
        </w:rPr>
        <w:t>二、建设项目工程分析</w:t>
      </w:r>
      <w:bookmarkEnd w:id="1"/>
    </w:p>
    <w:tbl>
      <w:tblPr>
        <w:tblStyle w:val="34"/>
        <w:tblW w:w="5016"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0" w:type="dxa"/>
          <w:bottom w:w="0" w:type="dxa"/>
          <w:right w:w="0" w:type="dxa"/>
        </w:tblCellMar>
      </w:tblPr>
      <w:tblGrid>
        <w:gridCol w:w="370"/>
        <w:gridCol w:w="864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205" w:type="pct"/>
            <w:vAlign w:val="center"/>
          </w:tcPr>
          <w:p>
            <w:pPr>
              <w:pStyle w:val="30"/>
              <w:adjustRightInd w:val="0"/>
              <w:snapToGrid w:val="0"/>
              <w:spacing w:before="0" w:beforeAutospacing="0" w:after="0" w:afterAutospacing="0"/>
              <w:jc w:val="center"/>
              <w:rPr>
                <w:rFonts w:ascii="Times New Roman" w:hAnsi="Times New Roman"/>
                <w:color w:val="auto"/>
                <w:szCs w:val="24"/>
              </w:rPr>
            </w:pPr>
            <w:r>
              <w:rPr>
                <w:rFonts w:ascii="Times New Roman" w:hAnsi="Times New Roman"/>
                <w:color w:val="auto"/>
                <w:szCs w:val="24"/>
              </w:rPr>
              <w:t>建</w:t>
            </w:r>
          </w:p>
          <w:p>
            <w:pPr>
              <w:pStyle w:val="30"/>
              <w:adjustRightInd w:val="0"/>
              <w:snapToGrid w:val="0"/>
              <w:spacing w:before="0" w:beforeAutospacing="0" w:after="0" w:afterAutospacing="0"/>
              <w:jc w:val="center"/>
              <w:rPr>
                <w:rFonts w:ascii="Times New Roman" w:hAnsi="Times New Roman"/>
                <w:color w:val="auto"/>
                <w:szCs w:val="24"/>
              </w:rPr>
            </w:pPr>
          </w:p>
          <w:p>
            <w:pPr>
              <w:pStyle w:val="30"/>
              <w:adjustRightInd w:val="0"/>
              <w:snapToGrid w:val="0"/>
              <w:spacing w:before="0" w:beforeAutospacing="0" w:after="0" w:afterAutospacing="0"/>
              <w:jc w:val="center"/>
              <w:rPr>
                <w:rFonts w:ascii="Times New Roman" w:hAnsi="Times New Roman"/>
                <w:color w:val="auto"/>
                <w:szCs w:val="24"/>
              </w:rPr>
            </w:pPr>
            <w:r>
              <w:rPr>
                <w:rFonts w:ascii="Times New Roman" w:hAnsi="Times New Roman"/>
                <w:color w:val="auto"/>
                <w:szCs w:val="24"/>
              </w:rPr>
              <w:t>设</w:t>
            </w:r>
          </w:p>
          <w:p>
            <w:pPr>
              <w:pStyle w:val="30"/>
              <w:adjustRightInd w:val="0"/>
              <w:snapToGrid w:val="0"/>
              <w:spacing w:before="0" w:beforeAutospacing="0" w:after="0" w:afterAutospacing="0"/>
              <w:jc w:val="center"/>
              <w:rPr>
                <w:rFonts w:ascii="Times New Roman" w:hAnsi="Times New Roman"/>
                <w:color w:val="auto"/>
                <w:szCs w:val="24"/>
              </w:rPr>
            </w:pPr>
          </w:p>
          <w:p>
            <w:pPr>
              <w:pStyle w:val="30"/>
              <w:adjustRightInd w:val="0"/>
              <w:snapToGrid w:val="0"/>
              <w:spacing w:before="0" w:beforeAutospacing="0" w:after="0" w:afterAutospacing="0"/>
              <w:jc w:val="center"/>
              <w:rPr>
                <w:rFonts w:ascii="Times New Roman" w:hAnsi="Times New Roman"/>
                <w:color w:val="auto"/>
                <w:szCs w:val="24"/>
              </w:rPr>
            </w:pPr>
            <w:r>
              <w:rPr>
                <w:rFonts w:ascii="Times New Roman" w:hAnsi="Times New Roman"/>
                <w:color w:val="auto"/>
                <w:szCs w:val="24"/>
              </w:rPr>
              <w:t>内</w:t>
            </w:r>
          </w:p>
          <w:p>
            <w:pPr>
              <w:pStyle w:val="30"/>
              <w:adjustRightInd w:val="0"/>
              <w:snapToGrid w:val="0"/>
              <w:spacing w:before="0" w:beforeAutospacing="0" w:after="0" w:afterAutospacing="0"/>
              <w:jc w:val="center"/>
              <w:rPr>
                <w:rFonts w:ascii="Times New Roman" w:hAnsi="Times New Roman"/>
                <w:color w:val="auto"/>
                <w:szCs w:val="24"/>
              </w:rPr>
            </w:pPr>
          </w:p>
          <w:p>
            <w:pPr>
              <w:pStyle w:val="30"/>
              <w:adjustRightInd w:val="0"/>
              <w:snapToGrid w:val="0"/>
              <w:spacing w:before="0" w:beforeAutospacing="0" w:after="0" w:afterAutospacing="0"/>
              <w:jc w:val="center"/>
              <w:rPr>
                <w:rFonts w:ascii="Times New Roman" w:hAnsi="Times New Roman"/>
                <w:color w:val="auto"/>
                <w:sz w:val="21"/>
                <w:szCs w:val="21"/>
              </w:rPr>
            </w:pPr>
            <w:r>
              <w:rPr>
                <w:rFonts w:ascii="Times New Roman" w:hAnsi="Times New Roman"/>
                <w:color w:val="auto"/>
                <w:szCs w:val="24"/>
              </w:rPr>
              <w:t>容</w:t>
            </w:r>
          </w:p>
        </w:tc>
        <w:tc>
          <w:tcPr>
            <w:tcW w:w="4794" w:type="pct"/>
          </w:tcPr>
          <w:p>
            <w:pPr>
              <w:numPr>
                <w:ilvl w:val="0"/>
                <w:numId w:val="2"/>
              </w:numPr>
              <w:tabs>
                <w:tab w:val="left" w:pos="3556"/>
              </w:tabs>
              <w:spacing w:beforeLines="50" w:line="360" w:lineRule="auto"/>
              <w:rPr>
                <w:b/>
                <w:bCs/>
                <w:color w:val="auto"/>
                <w:sz w:val="24"/>
                <w:shd w:val="clear" w:color="auto" w:fill="FFFFFF"/>
              </w:rPr>
            </w:pPr>
            <w:r>
              <w:rPr>
                <w:b/>
                <w:bCs/>
                <w:color w:val="auto"/>
                <w:sz w:val="24"/>
                <w:shd w:val="clear" w:color="auto" w:fill="FFFFFF"/>
              </w:rPr>
              <w:t>项目由来</w:t>
            </w:r>
          </w:p>
          <w:p>
            <w:pPr>
              <w:spacing w:line="360" w:lineRule="auto"/>
              <w:ind w:firstLine="480" w:firstLineChars="200"/>
              <w:rPr>
                <w:color w:val="auto"/>
                <w:sz w:val="24"/>
              </w:rPr>
            </w:pPr>
            <w:r>
              <w:rPr>
                <w:color w:val="auto"/>
                <w:sz w:val="24"/>
              </w:rPr>
              <w:t>北方夜视技术股份有限公司（以下简称北方夜视）是中国兵器工业集团有限公司子集团北方夜视科技集团有限公司的全资子公司，于2000年6月2日成立，公司致力于微光夜视器件、光电倍增管等其他光电器件和整机系统科研、生产，公司现有员工总数400余人。</w:t>
            </w:r>
          </w:p>
          <w:p>
            <w:pPr>
              <w:spacing w:line="360" w:lineRule="auto"/>
              <w:ind w:firstLine="480" w:firstLineChars="200"/>
              <w:rPr>
                <w:color w:val="auto"/>
                <w:sz w:val="24"/>
              </w:rPr>
            </w:pPr>
            <w:r>
              <w:rPr>
                <w:color w:val="auto"/>
                <w:sz w:val="24"/>
              </w:rPr>
              <w:t>北方夜视于2003年3月20日取得了《</w:t>
            </w:r>
            <w:r>
              <w:rPr>
                <w:rFonts w:hint="eastAsia"/>
                <w:color w:val="auto"/>
                <w:sz w:val="24"/>
                <w:lang w:eastAsia="zh-CN"/>
              </w:rPr>
              <w:t>关于</w:t>
            </w:r>
            <w:r>
              <w:rPr>
                <w:color w:val="auto"/>
                <w:sz w:val="24"/>
              </w:rPr>
              <w:t>微通道板生产线技术改造项目》</w:t>
            </w:r>
            <w:r>
              <w:rPr>
                <w:rFonts w:hint="eastAsia"/>
                <w:color w:val="auto"/>
                <w:sz w:val="24"/>
              </w:rPr>
              <w:t>批复</w:t>
            </w:r>
            <w:r>
              <w:rPr>
                <w:color w:val="auto"/>
                <w:sz w:val="24"/>
              </w:rPr>
              <w:t>（苏环便管[2003]46号），并于2006年9月11日通过了环保验收（环监字[2006]第153号）。</w:t>
            </w:r>
          </w:p>
          <w:p>
            <w:pPr>
              <w:spacing w:line="360" w:lineRule="auto"/>
              <w:ind w:firstLine="480" w:firstLineChars="200"/>
              <w:rPr>
                <w:color w:val="auto"/>
                <w:sz w:val="24"/>
              </w:rPr>
            </w:pPr>
            <w:r>
              <w:rPr>
                <w:color w:val="auto"/>
                <w:sz w:val="24"/>
              </w:rPr>
              <w:t>北方夜视于2004年12月25日取得了《</w:t>
            </w:r>
            <w:r>
              <w:rPr>
                <w:rFonts w:hint="eastAsia"/>
                <w:color w:val="auto"/>
                <w:sz w:val="24"/>
                <w:lang w:eastAsia="zh-CN"/>
              </w:rPr>
              <w:t>关于</w:t>
            </w:r>
            <w:r>
              <w:rPr>
                <w:color w:val="auto"/>
                <w:sz w:val="24"/>
              </w:rPr>
              <w:t>微光夜视元件科研基础建设项目》</w:t>
            </w:r>
            <w:r>
              <w:rPr>
                <w:rFonts w:hint="eastAsia"/>
                <w:color w:val="auto"/>
                <w:sz w:val="24"/>
              </w:rPr>
              <w:t>批复</w:t>
            </w:r>
            <w:r>
              <w:rPr>
                <w:color w:val="auto"/>
                <w:sz w:val="24"/>
              </w:rPr>
              <w:t>（苏环便管[2004]251号），并于2008年9月11日通过了环保验收（环监字[2008]第271号）。</w:t>
            </w:r>
          </w:p>
          <w:p>
            <w:pPr>
              <w:spacing w:line="360" w:lineRule="auto"/>
              <w:ind w:firstLine="480" w:firstLineChars="200"/>
              <w:rPr>
                <w:color w:val="auto"/>
                <w:sz w:val="24"/>
              </w:rPr>
            </w:pPr>
            <w:r>
              <w:rPr>
                <w:color w:val="auto"/>
                <w:sz w:val="24"/>
              </w:rPr>
              <w:t>北方夜视于2016年4月12日取得了《</w:t>
            </w:r>
            <w:r>
              <w:rPr>
                <w:rFonts w:hint="eastAsia"/>
                <w:color w:val="auto"/>
                <w:sz w:val="24"/>
                <w:lang w:eastAsia="zh-CN"/>
              </w:rPr>
              <w:t>关于</w:t>
            </w:r>
            <w:r>
              <w:rPr>
                <w:color w:val="auto"/>
                <w:sz w:val="24"/>
              </w:rPr>
              <w:t>20英寸光电倍增管生产线技术改造</w:t>
            </w:r>
            <w:r>
              <w:rPr>
                <w:rFonts w:hint="eastAsia"/>
                <w:color w:val="auto"/>
                <w:sz w:val="24"/>
              </w:rPr>
              <w:t>项目</w:t>
            </w:r>
            <w:r>
              <w:rPr>
                <w:color w:val="auto"/>
                <w:sz w:val="24"/>
              </w:rPr>
              <w:t>》</w:t>
            </w:r>
            <w:r>
              <w:rPr>
                <w:rFonts w:hint="eastAsia"/>
                <w:color w:val="auto"/>
                <w:sz w:val="24"/>
              </w:rPr>
              <w:t>批复</w:t>
            </w:r>
            <w:r>
              <w:rPr>
                <w:color w:val="auto"/>
                <w:sz w:val="24"/>
              </w:rPr>
              <w:t>（宁环表复（2016）12号），并于2019年3月20日通过了环保验收（宁环验（2019）9号）。</w:t>
            </w:r>
          </w:p>
          <w:p>
            <w:pPr>
              <w:pStyle w:val="3"/>
              <w:spacing w:line="360" w:lineRule="auto"/>
              <w:ind w:firstLine="480" w:firstLineChars="200"/>
              <w:jc w:val="both"/>
              <w:rPr>
                <w:color w:val="auto"/>
                <w:sz w:val="24"/>
                <w:szCs w:val="24"/>
              </w:rPr>
            </w:pPr>
            <w:r>
              <w:rPr>
                <w:color w:val="auto"/>
                <w:sz w:val="24"/>
              </w:rPr>
              <w:t>北</w:t>
            </w:r>
            <w:r>
              <w:rPr>
                <w:color w:val="auto"/>
                <w:sz w:val="24"/>
                <w:szCs w:val="24"/>
              </w:rPr>
              <w:t>方夜视根据发展需要，在现有8号厂房内改造光电倍增管生产线，购置折弯机、封口车床等国产设备43台套，项目完成后形成光电倍增5万只生产能力。</w:t>
            </w:r>
          </w:p>
          <w:p>
            <w:pPr>
              <w:pStyle w:val="12"/>
              <w:spacing w:line="360" w:lineRule="auto"/>
              <w:ind w:firstLine="480" w:firstLineChars="200"/>
              <w:rPr>
                <w:color w:val="auto"/>
              </w:rPr>
            </w:pPr>
            <w:r>
              <w:rPr>
                <w:color w:val="auto"/>
              </w:rPr>
              <w:t>本项目为光电倍增管生产线改造，属于《国民经济行业分类》（GB/T4754—2017）中C3971电子真空器件制造</w:t>
            </w:r>
            <w:r>
              <w:rPr>
                <w:color w:val="auto"/>
                <w:lang w:val="zh-CN"/>
              </w:rPr>
              <w:t>，属于《建设项目环境影响评价分类管理名录》（2021年版）</w:t>
            </w:r>
            <w:r>
              <w:rPr>
                <w:rFonts w:hint="eastAsia"/>
                <w:color w:val="auto"/>
              </w:rPr>
              <w:t>80.</w:t>
            </w:r>
            <w:r>
              <w:rPr>
                <w:color w:val="auto"/>
              </w:rPr>
              <w:t>电子器件制造397。</w:t>
            </w:r>
            <w:r>
              <w:rPr>
                <w:color w:val="auto"/>
                <w:lang w:val="zh-CN"/>
              </w:rPr>
              <w:t>需要编制建设项目环境影响报告表。</w:t>
            </w:r>
            <w:r>
              <w:rPr>
                <w:color w:val="auto"/>
                <w:szCs w:val="24"/>
              </w:rPr>
              <w:t>为此，建设单位委托我公司（江苏国恒安全评价咨询服务有限公司）编制本项目环境影响评价报告表。接受委托后（委托书见</w:t>
            </w:r>
            <w:r>
              <w:rPr>
                <w:b/>
                <w:bCs/>
                <w:color w:val="auto"/>
                <w:szCs w:val="24"/>
              </w:rPr>
              <w:t>附件1</w:t>
            </w:r>
            <w:r>
              <w:rPr>
                <w:color w:val="auto"/>
                <w:szCs w:val="24"/>
              </w:rPr>
              <w:t>），我公司立即组织技术人员进行现场踏勘，收集相关资料，通过对相关资料的分析和研究，依照《关于印发&lt;建设项目环境影响报告表&gt;内容、格式及编制技术指南的通知》（环办环评〔2020〕33号）和</w:t>
            </w:r>
            <w:r>
              <w:rPr>
                <w:rFonts w:hint="eastAsia"/>
                <w:color w:val="auto"/>
              </w:rPr>
              <w:t>相关环境影响评价技术</w:t>
            </w:r>
            <w:r>
              <w:rPr>
                <w:color w:val="auto"/>
                <w:szCs w:val="24"/>
              </w:rPr>
              <w:t>导则的要求，编制完成了《</w:t>
            </w:r>
            <w:r>
              <w:rPr>
                <w:rFonts w:hint="eastAsia"/>
                <w:color w:val="auto"/>
                <w:szCs w:val="24"/>
              </w:rPr>
              <w:t>光电倍增管生产线改造项目</w:t>
            </w:r>
            <w:r>
              <w:rPr>
                <w:color w:val="auto"/>
                <w:szCs w:val="24"/>
              </w:rPr>
              <w:t>环境影响报告表》，经建设单位核实确认后（声明见</w:t>
            </w:r>
            <w:r>
              <w:rPr>
                <w:b/>
                <w:bCs/>
                <w:color w:val="auto"/>
                <w:szCs w:val="24"/>
              </w:rPr>
              <w:t>附件2</w:t>
            </w:r>
            <w:r>
              <w:rPr>
                <w:color w:val="auto"/>
                <w:szCs w:val="24"/>
              </w:rPr>
              <w:t>），提请</w:t>
            </w:r>
            <w:r>
              <w:rPr>
                <w:color w:val="auto"/>
              </w:rPr>
              <w:t>南京江宁经济技术开发区管理委员会行政审批局</w:t>
            </w:r>
            <w:r>
              <w:rPr>
                <w:color w:val="auto"/>
                <w:szCs w:val="24"/>
              </w:rPr>
              <w:t>审查。</w:t>
            </w:r>
          </w:p>
          <w:p>
            <w:pPr>
              <w:spacing w:line="360" w:lineRule="auto"/>
              <w:ind w:firstLine="482" w:firstLineChars="200"/>
              <w:rPr>
                <w:b/>
                <w:bCs/>
                <w:color w:val="auto"/>
                <w:sz w:val="24"/>
              </w:rPr>
            </w:pPr>
            <w:r>
              <w:rPr>
                <w:b/>
                <w:bCs/>
                <w:color w:val="auto"/>
                <w:sz w:val="24"/>
              </w:rPr>
              <w:t>2、项目概况</w:t>
            </w:r>
          </w:p>
          <w:p>
            <w:pPr>
              <w:spacing w:line="360" w:lineRule="auto"/>
              <w:ind w:firstLine="480" w:firstLineChars="200"/>
              <w:rPr>
                <w:color w:val="auto"/>
                <w:sz w:val="24"/>
              </w:rPr>
            </w:pPr>
            <w:r>
              <w:rPr>
                <w:color w:val="auto"/>
                <w:sz w:val="24"/>
              </w:rPr>
              <w:t>项目名称：光电倍增管生产线改造项目</w:t>
            </w:r>
          </w:p>
          <w:p>
            <w:pPr>
              <w:spacing w:line="360" w:lineRule="auto"/>
              <w:ind w:firstLine="480" w:firstLineChars="200"/>
              <w:rPr>
                <w:color w:val="auto"/>
                <w:sz w:val="24"/>
              </w:rPr>
            </w:pPr>
            <w:r>
              <w:rPr>
                <w:color w:val="auto"/>
                <w:sz w:val="24"/>
              </w:rPr>
              <w:t>建设单位：北方夜视技术股份有限公司</w:t>
            </w:r>
          </w:p>
          <w:p>
            <w:pPr>
              <w:spacing w:line="360" w:lineRule="auto"/>
              <w:ind w:firstLine="480" w:firstLineChars="200"/>
              <w:rPr>
                <w:color w:val="auto"/>
                <w:sz w:val="24"/>
              </w:rPr>
            </w:pPr>
            <w:r>
              <w:rPr>
                <w:color w:val="auto"/>
                <w:sz w:val="24"/>
              </w:rPr>
              <w:t>项目性质：</w:t>
            </w:r>
            <w:r>
              <w:rPr>
                <w:rFonts w:hint="eastAsia"/>
                <w:color w:val="auto"/>
                <w:sz w:val="24"/>
                <w:lang w:eastAsia="zh-CN"/>
              </w:rPr>
              <w:t>扩</w:t>
            </w:r>
            <w:r>
              <w:rPr>
                <w:color w:val="auto"/>
                <w:sz w:val="24"/>
              </w:rPr>
              <w:t>建</w:t>
            </w:r>
          </w:p>
          <w:p>
            <w:pPr>
              <w:spacing w:line="360" w:lineRule="auto"/>
              <w:ind w:firstLine="480" w:firstLineChars="200"/>
              <w:rPr>
                <w:color w:val="auto"/>
                <w:sz w:val="24"/>
              </w:rPr>
            </w:pPr>
            <w:r>
              <w:rPr>
                <w:color w:val="auto"/>
                <w:sz w:val="24"/>
              </w:rPr>
              <w:t>建设地点：南京江宁经济技术开发区秣陵街道康平街2号，北方夜视技术股份有限公司现有</w:t>
            </w:r>
            <w:r>
              <w:rPr>
                <w:rFonts w:hint="eastAsia"/>
                <w:color w:val="auto"/>
                <w:sz w:val="24"/>
              </w:rPr>
              <w:t>8号</w:t>
            </w:r>
            <w:r>
              <w:rPr>
                <w:color w:val="auto"/>
                <w:sz w:val="24"/>
              </w:rPr>
              <w:t>厂房内</w:t>
            </w:r>
          </w:p>
          <w:p>
            <w:pPr>
              <w:spacing w:line="360" w:lineRule="auto"/>
              <w:ind w:firstLine="480" w:firstLineChars="200"/>
              <w:rPr>
                <w:color w:val="auto"/>
                <w:sz w:val="24"/>
              </w:rPr>
            </w:pPr>
            <w:r>
              <w:rPr>
                <w:color w:val="auto"/>
                <w:sz w:val="24"/>
              </w:rPr>
              <w:t>投资总额：2054.6万元</w:t>
            </w:r>
          </w:p>
          <w:p>
            <w:pPr>
              <w:spacing w:line="360" w:lineRule="auto"/>
              <w:ind w:firstLine="480" w:firstLineChars="200"/>
              <w:rPr>
                <w:color w:val="auto"/>
                <w:sz w:val="24"/>
              </w:rPr>
            </w:pPr>
            <w:r>
              <w:rPr>
                <w:color w:val="auto"/>
                <w:sz w:val="24"/>
              </w:rPr>
              <w:t>劳动定员：本项目定员100人，公司内部调剂，不新增员工，公司</w:t>
            </w:r>
            <w:r>
              <w:rPr>
                <w:rFonts w:hint="eastAsia"/>
                <w:color w:val="auto"/>
                <w:sz w:val="24"/>
              </w:rPr>
              <w:t>不设</w:t>
            </w:r>
            <w:r>
              <w:rPr>
                <w:color w:val="auto"/>
                <w:sz w:val="24"/>
              </w:rPr>
              <w:t>食堂。</w:t>
            </w:r>
          </w:p>
          <w:p>
            <w:pPr>
              <w:spacing w:line="360" w:lineRule="auto"/>
              <w:ind w:firstLine="480" w:firstLineChars="200"/>
              <w:rPr>
                <w:color w:val="auto"/>
                <w:sz w:val="24"/>
              </w:rPr>
            </w:pPr>
            <w:r>
              <w:rPr>
                <w:color w:val="auto"/>
                <w:sz w:val="24"/>
              </w:rPr>
              <w:t>工作制度：年生产天数300天，一班制，每班8小时，年工作时间2400小时。</w:t>
            </w:r>
          </w:p>
          <w:p>
            <w:pPr>
              <w:spacing w:line="360" w:lineRule="auto"/>
              <w:ind w:firstLine="480" w:firstLineChars="200"/>
              <w:rPr>
                <w:color w:val="auto"/>
                <w:sz w:val="24"/>
              </w:rPr>
            </w:pPr>
            <w:r>
              <w:rPr>
                <w:color w:val="auto"/>
                <w:sz w:val="24"/>
              </w:rPr>
              <w:t>建设内容及规模：购置折弯机、封口车床等国产设备43台套，改造光电倍增管生产线</w:t>
            </w:r>
            <w:r>
              <w:rPr>
                <w:rFonts w:hint="eastAsia"/>
                <w:color w:val="auto"/>
                <w:sz w:val="24"/>
              </w:rPr>
              <w:t>（改造</w:t>
            </w:r>
            <w:r>
              <w:rPr>
                <w:color w:val="auto"/>
                <w:sz w:val="24"/>
              </w:rPr>
              <w:t>现有20英寸光电倍增管生产</w:t>
            </w:r>
            <w:r>
              <w:rPr>
                <w:rFonts w:hint="eastAsia"/>
                <w:color w:val="auto"/>
                <w:sz w:val="24"/>
              </w:rPr>
              <w:t>线）</w:t>
            </w:r>
            <w:r>
              <w:rPr>
                <w:color w:val="auto"/>
                <w:sz w:val="24"/>
              </w:rPr>
              <w:t>，项目完成后形成光电倍增管5万只生产能力。</w:t>
            </w:r>
          </w:p>
          <w:p>
            <w:pPr>
              <w:pStyle w:val="2"/>
              <w:spacing w:line="360" w:lineRule="auto"/>
              <w:ind w:firstLine="480" w:firstLineChars="200"/>
              <w:rPr>
                <w:color w:val="auto"/>
                <w:sz w:val="24"/>
              </w:rPr>
            </w:pPr>
          </w:p>
          <w:p>
            <w:pPr>
              <w:pStyle w:val="2"/>
              <w:spacing w:line="360" w:lineRule="auto"/>
              <w:ind w:firstLine="482" w:firstLineChars="200"/>
              <w:rPr>
                <w:b/>
                <w:color w:val="auto"/>
                <w:sz w:val="24"/>
                <w:szCs w:val="24"/>
              </w:rPr>
            </w:pPr>
            <w:r>
              <w:rPr>
                <w:b/>
                <w:color w:val="auto"/>
                <w:sz w:val="24"/>
                <w:szCs w:val="24"/>
              </w:rPr>
              <w:t>3、建设项目组成情况</w:t>
            </w:r>
          </w:p>
          <w:p>
            <w:pPr>
              <w:pStyle w:val="2"/>
              <w:spacing w:line="360" w:lineRule="auto"/>
              <w:ind w:firstLine="480" w:firstLineChars="200"/>
              <w:rPr>
                <w:color w:val="auto"/>
                <w:sz w:val="24"/>
                <w:szCs w:val="24"/>
              </w:rPr>
            </w:pPr>
            <w:r>
              <w:rPr>
                <w:color w:val="auto"/>
                <w:sz w:val="24"/>
                <w:szCs w:val="24"/>
              </w:rPr>
              <w:t>建设项目组成情况详见表2-1。</w:t>
            </w:r>
          </w:p>
          <w:p>
            <w:pPr>
              <w:pStyle w:val="3"/>
              <w:spacing w:line="360" w:lineRule="auto"/>
              <w:rPr>
                <w:b/>
                <w:bCs/>
                <w:color w:val="auto"/>
                <w:sz w:val="24"/>
                <w:szCs w:val="24"/>
              </w:rPr>
            </w:pPr>
            <w:r>
              <w:rPr>
                <w:b/>
                <w:bCs/>
                <w:color w:val="auto"/>
                <w:sz w:val="24"/>
                <w:szCs w:val="24"/>
              </w:rPr>
              <w:t>表2-1  建设项目组成表</w:t>
            </w:r>
          </w:p>
          <w:tbl>
            <w:tblPr>
              <w:tblStyle w:val="3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99"/>
              <w:gridCol w:w="462"/>
              <w:gridCol w:w="643"/>
              <w:gridCol w:w="2944"/>
              <w:gridCol w:w="2944"/>
              <w:gridCol w:w="10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348" w:type="pct"/>
                  <w:tcBorders>
                    <w:top w:val="single" w:color="auto" w:sz="4" w:space="0"/>
                    <w:left w:val="single" w:color="auto" w:sz="4" w:space="0"/>
                    <w:bottom w:val="single" w:color="auto" w:sz="4" w:space="0"/>
                    <w:right w:val="single" w:color="auto" w:sz="4" w:space="0"/>
                  </w:tcBorders>
                  <w:vAlign w:val="center"/>
                </w:tcPr>
                <w:p>
                  <w:pPr>
                    <w:adjustRightInd w:val="0"/>
                    <w:snapToGrid w:val="0"/>
                    <w:ind w:left="-105" w:leftChars="-50" w:right="-105" w:rightChars="-50"/>
                    <w:jc w:val="center"/>
                    <w:rPr>
                      <w:color w:val="auto"/>
                      <w:szCs w:val="21"/>
                    </w:rPr>
                  </w:pPr>
                  <w:r>
                    <w:rPr>
                      <w:color w:val="auto"/>
                      <w:szCs w:val="21"/>
                    </w:rPr>
                    <w:t>类别</w:t>
                  </w:r>
                </w:p>
              </w:tc>
              <w:tc>
                <w:tcPr>
                  <w:tcW w:w="641" w:type="pct"/>
                  <w:gridSpan w:val="2"/>
                  <w:tcBorders>
                    <w:top w:val="single" w:color="auto" w:sz="4" w:space="0"/>
                    <w:left w:val="single" w:color="auto" w:sz="4" w:space="0"/>
                    <w:bottom w:val="single" w:color="auto" w:sz="4" w:space="0"/>
                    <w:right w:val="single" w:color="auto" w:sz="4" w:space="0"/>
                  </w:tcBorders>
                  <w:vAlign w:val="center"/>
                </w:tcPr>
                <w:p>
                  <w:pPr>
                    <w:adjustRightInd w:val="0"/>
                    <w:snapToGrid w:val="0"/>
                    <w:ind w:left="-105" w:leftChars="-50" w:right="-105" w:rightChars="-50"/>
                    <w:jc w:val="center"/>
                    <w:rPr>
                      <w:color w:val="auto"/>
                      <w:szCs w:val="21"/>
                    </w:rPr>
                  </w:pPr>
                  <w:r>
                    <w:rPr>
                      <w:color w:val="auto"/>
                      <w:szCs w:val="21"/>
                    </w:rPr>
                    <w:t>建设名</w:t>
                  </w:r>
                </w:p>
              </w:tc>
              <w:tc>
                <w:tcPr>
                  <w:tcW w:w="1708" w:type="pct"/>
                  <w:tcBorders>
                    <w:top w:val="single" w:color="auto" w:sz="4" w:space="0"/>
                    <w:left w:val="single" w:color="auto" w:sz="4" w:space="0"/>
                    <w:bottom w:val="single" w:color="auto" w:sz="4" w:space="0"/>
                    <w:right w:val="single" w:color="auto" w:sz="4" w:space="0"/>
                  </w:tcBorders>
                  <w:vAlign w:val="center"/>
                </w:tcPr>
                <w:p>
                  <w:pPr>
                    <w:adjustRightInd w:val="0"/>
                    <w:snapToGrid w:val="0"/>
                    <w:ind w:left="-105" w:leftChars="-50" w:right="-105" w:rightChars="-50"/>
                    <w:jc w:val="center"/>
                    <w:rPr>
                      <w:color w:val="auto"/>
                      <w:szCs w:val="21"/>
                    </w:rPr>
                  </w:pPr>
                  <w:r>
                    <w:rPr>
                      <w:color w:val="auto"/>
                      <w:szCs w:val="21"/>
                    </w:rPr>
                    <w:t>改建前</w:t>
                  </w:r>
                </w:p>
              </w:tc>
              <w:tc>
                <w:tcPr>
                  <w:tcW w:w="1708" w:type="pct"/>
                  <w:tcBorders>
                    <w:top w:val="single" w:color="auto" w:sz="4" w:space="0"/>
                    <w:left w:val="single" w:color="auto" w:sz="4" w:space="0"/>
                    <w:bottom w:val="single" w:color="auto" w:sz="4" w:space="0"/>
                    <w:right w:val="single" w:color="auto" w:sz="4" w:space="0"/>
                  </w:tcBorders>
                  <w:vAlign w:val="center"/>
                </w:tcPr>
                <w:p>
                  <w:pPr>
                    <w:adjustRightInd w:val="0"/>
                    <w:snapToGrid w:val="0"/>
                    <w:ind w:left="-105" w:leftChars="-50" w:right="-105" w:rightChars="-50"/>
                    <w:jc w:val="center"/>
                    <w:rPr>
                      <w:color w:val="auto"/>
                      <w:szCs w:val="21"/>
                    </w:rPr>
                  </w:pPr>
                  <w:r>
                    <w:rPr>
                      <w:color w:val="auto"/>
                      <w:szCs w:val="21"/>
                    </w:rPr>
                    <w:t>改建项目</w:t>
                  </w:r>
                </w:p>
              </w:tc>
              <w:tc>
                <w:tcPr>
                  <w:tcW w:w="593" w:type="pct"/>
                  <w:tcBorders>
                    <w:top w:val="single" w:color="auto" w:sz="4" w:space="0"/>
                    <w:left w:val="single" w:color="auto" w:sz="4" w:space="0"/>
                    <w:bottom w:val="single" w:color="auto" w:sz="4" w:space="0"/>
                    <w:right w:val="single" w:color="auto" w:sz="4" w:space="0"/>
                  </w:tcBorders>
                  <w:vAlign w:val="center"/>
                </w:tcPr>
                <w:p>
                  <w:pPr>
                    <w:adjustRightInd w:val="0"/>
                    <w:snapToGrid w:val="0"/>
                    <w:ind w:left="-105" w:leftChars="-50" w:right="-105" w:rightChars="-50"/>
                    <w:jc w:val="center"/>
                    <w:rPr>
                      <w:color w:val="auto"/>
                      <w:szCs w:val="21"/>
                    </w:rPr>
                  </w:pPr>
                  <w:r>
                    <w:rPr>
                      <w:rFonts w:hint="eastAsia"/>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48" w:type="pct"/>
                  <w:tcBorders>
                    <w:top w:val="nil"/>
                    <w:left w:val="single" w:color="auto" w:sz="4" w:space="0"/>
                    <w:bottom w:val="single" w:color="auto" w:sz="4" w:space="0"/>
                    <w:right w:val="single" w:color="auto" w:sz="4" w:space="0"/>
                  </w:tcBorders>
                  <w:vAlign w:val="center"/>
                </w:tcPr>
                <w:p>
                  <w:pPr>
                    <w:adjustRightInd w:val="0"/>
                    <w:snapToGrid w:val="0"/>
                    <w:ind w:left="-105" w:leftChars="-50" w:right="-105" w:rightChars="-50"/>
                    <w:jc w:val="center"/>
                    <w:rPr>
                      <w:color w:val="auto"/>
                      <w:szCs w:val="21"/>
                    </w:rPr>
                  </w:pPr>
                  <w:r>
                    <w:rPr>
                      <w:color w:val="auto"/>
                      <w:szCs w:val="21"/>
                    </w:rPr>
                    <w:t>主体工程</w:t>
                  </w:r>
                </w:p>
              </w:tc>
              <w:tc>
                <w:tcPr>
                  <w:tcW w:w="641" w:type="pct"/>
                  <w:gridSpan w:val="2"/>
                  <w:tcBorders>
                    <w:top w:val="single" w:color="auto" w:sz="4" w:space="0"/>
                    <w:left w:val="single" w:color="auto" w:sz="4" w:space="0"/>
                    <w:right w:val="single" w:color="auto" w:sz="4" w:space="0"/>
                  </w:tcBorders>
                  <w:vAlign w:val="center"/>
                </w:tcPr>
                <w:p>
                  <w:pPr>
                    <w:adjustRightInd w:val="0"/>
                    <w:snapToGrid w:val="0"/>
                    <w:ind w:left="-105" w:leftChars="-50" w:right="-105" w:rightChars="-50"/>
                    <w:jc w:val="center"/>
                    <w:rPr>
                      <w:color w:val="auto"/>
                      <w:szCs w:val="21"/>
                    </w:rPr>
                  </w:pPr>
                  <w:r>
                    <w:rPr>
                      <w:color w:val="auto"/>
                      <w:szCs w:val="21"/>
                    </w:rPr>
                    <w:t>8#厂房</w:t>
                  </w:r>
                </w:p>
              </w:tc>
              <w:tc>
                <w:tcPr>
                  <w:tcW w:w="1708" w:type="pct"/>
                  <w:tcBorders>
                    <w:top w:val="single" w:color="auto" w:sz="4" w:space="0"/>
                    <w:left w:val="single" w:color="auto" w:sz="4" w:space="0"/>
                    <w:right w:val="single" w:color="auto" w:sz="4" w:space="0"/>
                  </w:tcBorders>
                  <w:vAlign w:val="center"/>
                </w:tcPr>
                <w:p>
                  <w:pPr>
                    <w:adjustRightInd w:val="0"/>
                    <w:snapToGrid w:val="0"/>
                    <w:ind w:left="-105" w:leftChars="-50" w:right="-105" w:rightChars="-50"/>
                    <w:rPr>
                      <w:color w:val="auto"/>
                      <w:szCs w:val="21"/>
                    </w:rPr>
                  </w:pPr>
                  <w:r>
                    <w:rPr>
                      <w:color w:val="auto"/>
                      <w:szCs w:val="21"/>
                    </w:rPr>
                    <w:t>建筑面积4933㎡，占地面积4086㎡，局部2层，为生产科研工房。</w:t>
                  </w:r>
                </w:p>
              </w:tc>
              <w:tc>
                <w:tcPr>
                  <w:tcW w:w="1708" w:type="pct"/>
                  <w:tcBorders>
                    <w:top w:val="single" w:color="auto" w:sz="4" w:space="0"/>
                    <w:left w:val="single" w:color="auto" w:sz="4" w:space="0"/>
                    <w:right w:val="single" w:color="auto" w:sz="4" w:space="0"/>
                  </w:tcBorders>
                  <w:vAlign w:val="center"/>
                </w:tcPr>
                <w:p>
                  <w:pPr>
                    <w:adjustRightInd w:val="0"/>
                    <w:snapToGrid w:val="0"/>
                    <w:ind w:left="-105" w:leftChars="-50" w:right="-105" w:rightChars="-50"/>
                    <w:rPr>
                      <w:color w:val="auto"/>
                      <w:szCs w:val="21"/>
                    </w:rPr>
                  </w:pPr>
                  <w:r>
                    <w:rPr>
                      <w:color w:val="auto"/>
                      <w:szCs w:val="21"/>
                    </w:rPr>
                    <w:t>本项目位于8#厂房，对现有光电倍增管生产线进行改造，用地1400㎡</w:t>
                  </w:r>
                </w:p>
              </w:tc>
              <w:tc>
                <w:tcPr>
                  <w:tcW w:w="593" w:type="pct"/>
                  <w:tcBorders>
                    <w:top w:val="single" w:color="auto" w:sz="4" w:space="0"/>
                    <w:left w:val="single" w:color="auto" w:sz="4" w:space="0"/>
                    <w:right w:val="single" w:color="auto" w:sz="4" w:space="0"/>
                  </w:tcBorders>
                  <w:vAlign w:val="center"/>
                </w:tcPr>
                <w:p>
                  <w:pPr>
                    <w:adjustRightInd w:val="0"/>
                    <w:snapToGrid w:val="0"/>
                    <w:ind w:left="-105" w:leftChars="-50" w:right="-105" w:rightChars="-50"/>
                    <w:jc w:val="center"/>
                    <w:rPr>
                      <w:color w:val="auto"/>
                      <w:szCs w:val="21"/>
                    </w:rPr>
                  </w:pPr>
                  <w:r>
                    <w:rPr>
                      <w:rFonts w:hint="eastAsia"/>
                      <w:color w:val="auto"/>
                      <w:szCs w:val="21"/>
                    </w:rPr>
                    <w:t>依托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48" w:type="pct"/>
                  <w:vMerge w:val="restart"/>
                  <w:tcBorders>
                    <w:top w:val="nil"/>
                    <w:left w:val="single" w:color="auto" w:sz="4" w:space="0"/>
                    <w:bottom w:val="single" w:color="auto" w:sz="4" w:space="0"/>
                    <w:right w:val="single" w:color="auto" w:sz="4" w:space="0"/>
                  </w:tcBorders>
                  <w:vAlign w:val="center"/>
                </w:tcPr>
                <w:p>
                  <w:pPr>
                    <w:adjustRightInd w:val="0"/>
                    <w:snapToGrid w:val="0"/>
                    <w:ind w:left="-105" w:leftChars="-50" w:right="-105" w:rightChars="-50"/>
                    <w:jc w:val="center"/>
                    <w:rPr>
                      <w:color w:val="auto"/>
                      <w:szCs w:val="21"/>
                    </w:rPr>
                  </w:pPr>
                  <w:r>
                    <w:rPr>
                      <w:color w:val="auto"/>
                      <w:szCs w:val="21"/>
                    </w:rPr>
                    <w:t>贮运工程</w:t>
                  </w:r>
                </w:p>
              </w:tc>
              <w:tc>
                <w:tcPr>
                  <w:tcW w:w="641" w:type="pct"/>
                  <w:gridSpan w:val="2"/>
                  <w:tcBorders>
                    <w:top w:val="single" w:color="auto" w:sz="4" w:space="0"/>
                    <w:left w:val="single" w:color="auto" w:sz="4" w:space="0"/>
                    <w:bottom w:val="single" w:color="auto" w:sz="4" w:space="0"/>
                    <w:right w:val="single" w:color="auto" w:sz="4" w:space="0"/>
                  </w:tcBorders>
                  <w:vAlign w:val="center"/>
                </w:tcPr>
                <w:p>
                  <w:pPr>
                    <w:adjustRightInd w:val="0"/>
                    <w:snapToGrid w:val="0"/>
                    <w:ind w:left="-105" w:leftChars="-50" w:right="-105" w:rightChars="-50"/>
                    <w:jc w:val="center"/>
                    <w:rPr>
                      <w:color w:val="auto"/>
                      <w:szCs w:val="21"/>
                    </w:rPr>
                  </w:pPr>
                  <w:r>
                    <w:rPr>
                      <w:color w:val="auto"/>
                      <w:szCs w:val="21"/>
                    </w:rPr>
                    <w:t>3#化学</w:t>
                  </w:r>
                </w:p>
                <w:p>
                  <w:pPr>
                    <w:adjustRightInd w:val="0"/>
                    <w:snapToGrid w:val="0"/>
                    <w:ind w:left="-105" w:leftChars="-50" w:right="-105" w:rightChars="-50"/>
                    <w:jc w:val="center"/>
                    <w:rPr>
                      <w:color w:val="auto"/>
                      <w:szCs w:val="21"/>
                    </w:rPr>
                  </w:pPr>
                  <w:r>
                    <w:rPr>
                      <w:color w:val="auto"/>
                      <w:szCs w:val="21"/>
                    </w:rPr>
                    <w:t>品库</w:t>
                  </w:r>
                </w:p>
              </w:tc>
              <w:tc>
                <w:tcPr>
                  <w:tcW w:w="1708" w:type="pct"/>
                  <w:tcBorders>
                    <w:top w:val="single" w:color="auto" w:sz="4" w:space="0"/>
                    <w:left w:val="single" w:color="auto" w:sz="4" w:space="0"/>
                    <w:bottom w:val="single" w:color="auto" w:sz="4" w:space="0"/>
                    <w:right w:val="single" w:color="auto" w:sz="4" w:space="0"/>
                  </w:tcBorders>
                  <w:vAlign w:val="center"/>
                </w:tcPr>
                <w:p>
                  <w:pPr>
                    <w:adjustRightInd w:val="0"/>
                    <w:snapToGrid w:val="0"/>
                    <w:ind w:left="-105" w:leftChars="-50" w:right="-105" w:rightChars="-50"/>
                    <w:rPr>
                      <w:color w:val="auto"/>
                      <w:szCs w:val="21"/>
                    </w:rPr>
                  </w:pPr>
                  <w:r>
                    <w:rPr>
                      <w:color w:val="auto"/>
                      <w:szCs w:val="21"/>
                    </w:rPr>
                    <w:t>占地面积47㎡、1层</w:t>
                  </w:r>
                </w:p>
              </w:tc>
              <w:tc>
                <w:tcPr>
                  <w:tcW w:w="1708" w:type="pct"/>
                  <w:tcBorders>
                    <w:top w:val="single" w:color="auto" w:sz="4" w:space="0"/>
                    <w:left w:val="single" w:color="auto" w:sz="4" w:space="0"/>
                    <w:bottom w:val="single" w:color="auto" w:sz="4" w:space="0"/>
                    <w:right w:val="single" w:color="auto" w:sz="4" w:space="0"/>
                  </w:tcBorders>
                  <w:vAlign w:val="center"/>
                </w:tcPr>
                <w:p>
                  <w:pPr>
                    <w:adjustRightInd w:val="0"/>
                    <w:snapToGrid w:val="0"/>
                    <w:ind w:left="-105" w:leftChars="-50" w:right="-105" w:rightChars="-50"/>
                    <w:rPr>
                      <w:color w:val="auto"/>
                      <w:szCs w:val="21"/>
                    </w:rPr>
                  </w:pPr>
                  <w:r>
                    <w:rPr>
                      <w:rFonts w:hint="eastAsia"/>
                      <w:color w:val="auto"/>
                      <w:szCs w:val="21"/>
                    </w:rPr>
                    <w:t>--</w:t>
                  </w:r>
                </w:p>
              </w:tc>
              <w:tc>
                <w:tcPr>
                  <w:tcW w:w="593" w:type="pct"/>
                  <w:tcBorders>
                    <w:top w:val="single" w:color="auto" w:sz="4" w:space="0"/>
                    <w:left w:val="single" w:color="auto" w:sz="4" w:space="0"/>
                    <w:bottom w:val="single" w:color="auto" w:sz="4" w:space="0"/>
                    <w:right w:val="single" w:color="auto" w:sz="4" w:space="0"/>
                  </w:tcBorders>
                  <w:vAlign w:val="center"/>
                </w:tcPr>
                <w:p>
                  <w:pPr>
                    <w:adjustRightInd w:val="0"/>
                    <w:snapToGrid w:val="0"/>
                    <w:ind w:left="-105" w:leftChars="-50" w:right="-105" w:rightChars="-50"/>
                    <w:jc w:val="center"/>
                    <w:rPr>
                      <w:color w:val="auto"/>
                      <w:szCs w:val="21"/>
                    </w:rPr>
                  </w:pPr>
                  <w:r>
                    <w:rPr>
                      <w:color w:val="auto"/>
                      <w:szCs w:val="21"/>
                    </w:rPr>
                    <w:t>依托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48" w:type="pct"/>
                  <w:vMerge w:val="continue"/>
                  <w:tcBorders>
                    <w:top w:val="nil"/>
                    <w:left w:val="single" w:color="auto" w:sz="4" w:space="0"/>
                    <w:bottom w:val="single" w:color="auto" w:sz="4" w:space="0"/>
                    <w:right w:val="single" w:color="auto" w:sz="4" w:space="0"/>
                  </w:tcBorders>
                  <w:vAlign w:val="center"/>
                </w:tcPr>
                <w:p>
                  <w:pPr>
                    <w:widowControl/>
                    <w:ind w:left="-105" w:leftChars="-50" w:right="-105" w:rightChars="-50"/>
                    <w:jc w:val="center"/>
                    <w:rPr>
                      <w:color w:val="auto"/>
                      <w:szCs w:val="21"/>
                    </w:rPr>
                  </w:pPr>
                </w:p>
              </w:tc>
              <w:tc>
                <w:tcPr>
                  <w:tcW w:w="641" w:type="pct"/>
                  <w:gridSpan w:val="2"/>
                  <w:tcBorders>
                    <w:top w:val="single" w:color="auto" w:sz="4" w:space="0"/>
                    <w:left w:val="single" w:color="auto" w:sz="4" w:space="0"/>
                    <w:bottom w:val="single" w:color="auto" w:sz="4" w:space="0"/>
                    <w:right w:val="single" w:color="auto" w:sz="4" w:space="0"/>
                  </w:tcBorders>
                  <w:vAlign w:val="center"/>
                </w:tcPr>
                <w:p>
                  <w:pPr>
                    <w:adjustRightInd w:val="0"/>
                    <w:snapToGrid w:val="0"/>
                    <w:ind w:left="-105" w:leftChars="-50" w:right="-105" w:rightChars="-50"/>
                    <w:jc w:val="center"/>
                    <w:rPr>
                      <w:color w:val="auto"/>
                      <w:szCs w:val="21"/>
                    </w:rPr>
                  </w:pPr>
                  <w:r>
                    <w:rPr>
                      <w:color w:val="auto"/>
                      <w:szCs w:val="21"/>
                    </w:rPr>
                    <w:t>4#气体供应站</w:t>
                  </w:r>
                </w:p>
              </w:tc>
              <w:tc>
                <w:tcPr>
                  <w:tcW w:w="1708" w:type="pct"/>
                  <w:tcBorders>
                    <w:top w:val="single" w:color="auto" w:sz="4" w:space="0"/>
                    <w:left w:val="single" w:color="auto" w:sz="4" w:space="0"/>
                    <w:bottom w:val="single" w:color="auto" w:sz="4" w:space="0"/>
                    <w:right w:val="single" w:color="auto" w:sz="4" w:space="0"/>
                  </w:tcBorders>
                  <w:vAlign w:val="center"/>
                </w:tcPr>
                <w:p>
                  <w:pPr>
                    <w:ind w:left="-105" w:leftChars="-50" w:right="-105" w:rightChars="-50"/>
                    <w:rPr>
                      <w:color w:val="auto"/>
                      <w:szCs w:val="21"/>
                    </w:rPr>
                  </w:pPr>
                  <w:r>
                    <w:rPr>
                      <w:color w:val="auto"/>
                      <w:szCs w:val="21"/>
                    </w:rPr>
                    <w:t>占地面积222㎡、供应压缩空气、氢气及氮气</w:t>
                  </w:r>
                </w:p>
              </w:tc>
              <w:tc>
                <w:tcPr>
                  <w:tcW w:w="1708" w:type="pct"/>
                  <w:tcBorders>
                    <w:top w:val="single" w:color="auto" w:sz="4" w:space="0"/>
                    <w:left w:val="single" w:color="auto" w:sz="4" w:space="0"/>
                    <w:bottom w:val="single" w:color="auto" w:sz="4" w:space="0"/>
                    <w:right w:val="single" w:color="auto" w:sz="4" w:space="0"/>
                  </w:tcBorders>
                  <w:vAlign w:val="center"/>
                </w:tcPr>
                <w:p>
                  <w:pPr>
                    <w:adjustRightInd w:val="0"/>
                    <w:snapToGrid w:val="0"/>
                    <w:ind w:left="-105" w:leftChars="-50" w:right="-105" w:rightChars="-50"/>
                    <w:rPr>
                      <w:color w:val="auto"/>
                      <w:szCs w:val="21"/>
                    </w:rPr>
                  </w:pPr>
                  <w:r>
                    <w:rPr>
                      <w:rFonts w:hint="eastAsia"/>
                      <w:color w:val="auto"/>
                      <w:szCs w:val="21"/>
                    </w:rPr>
                    <w:t>--</w:t>
                  </w:r>
                </w:p>
              </w:tc>
              <w:tc>
                <w:tcPr>
                  <w:tcW w:w="593" w:type="pct"/>
                  <w:tcBorders>
                    <w:top w:val="single" w:color="auto" w:sz="4" w:space="0"/>
                    <w:left w:val="single" w:color="auto" w:sz="4" w:space="0"/>
                    <w:bottom w:val="single" w:color="auto" w:sz="4" w:space="0"/>
                    <w:right w:val="single" w:color="auto" w:sz="4" w:space="0"/>
                  </w:tcBorders>
                  <w:vAlign w:val="center"/>
                </w:tcPr>
                <w:p>
                  <w:pPr>
                    <w:ind w:left="-105" w:leftChars="-50" w:right="-105" w:rightChars="-50"/>
                    <w:jc w:val="center"/>
                    <w:rPr>
                      <w:color w:val="auto"/>
                      <w:szCs w:val="21"/>
                    </w:rPr>
                  </w:pPr>
                  <w:r>
                    <w:rPr>
                      <w:color w:val="auto"/>
                      <w:szCs w:val="21"/>
                    </w:rPr>
                    <w:t>依托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48" w:type="pct"/>
                  <w:vMerge w:val="continue"/>
                  <w:tcBorders>
                    <w:top w:val="nil"/>
                    <w:left w:val="single" w:color="auto" w:sz="4" w:space="0"/>
                    <w:bottom w:val="single" w:color="auto" w:sz="4" w:space="0"/>
                    <w:right w:val="single" w:color="auto" w:sz="4" w:space="0"/>
                  </w:tcBorders>
                  <w:vAlign w:val="center"/>
                </w:tcPr>
                <w:p>
                  <w:pPr>
                    <w:widowControl/>
                    <w:ind w:left="-105" w:leftChars="-50" w:right="-105" w:rightChars="-50"/>
                    <w:jc w:val="center"/>
                    <w:rPr>
                      <w:color w:val="auto"/>
                      <w:szCs w:val="21"/>
                    </w:rPr>
                  </w:pPr>
                </w:p>
              </w:tc>
              <w:tc>
                <w:tcPr>
                  <w:tcW w:w="641" w:type="pct"/>
                  <w:gridSpan w:val="2"/>
                  <w:tcBorders>
                    <w:top w:val="single" w:color="auto" w:sz="4" w:space="0"/>
                    <w:left w:val="single" w:color="auto" w:sz="4" w:space="0"/>
                    <w:bottom w:val="single" w:color="auto" w:sz="4" w:space="0"/>
                    <w:right w:val="single" w:color="auto" w:sz="4" w:space="0"/>
                  </w:tcBorders>
                  <w:vAlign w:val="center"/>
                </w:tcPr>
                <w:p>
                  <w:pPr>
                    <w:ind w:left="-105" w:leftChars="-50" w:right="-105" w:rightChars="-50"/>
                    <w:jc w:val="center"/>
                    <w:rPr>
                      <w:color w:val="auto"/>
                      <w:szCs w:val="21"/>
                    </w:rPr>
                  </w:pPr>
                  <w:r>
                    <w:rPr>
                      <w:color w:val="auto"/>
                      <w:kern w:val="0"/>
                      <w:szCs w:val="21"/>
                    </w:rPr>
                    <w:t>氧气棚</w:t>
                  </w:r>
                </w:p>
              </w:tc>
              <w:tc>
                <w:tcPr>
                  <w:tcW w:w="1708" w:type="pct"/>
                  <w:tcBorders>
                    <w:top w:val="single" w:color="auto" w:sz="4" w:space="0"/>
                    <w:left w:val="single" w:color="auto" w:sz="4" w:space="0"/>
                    <w:bottom w:val="single" w:color="auto" w:sz="4" w:space="0"/>
                    <w:right w:val="single" w:color="auto" w:sz="4" w:space="0"/>
                  </w:tcBorders>
                  <w:vAlign w:val="center"/>
                </w:tcPr>
                <w:p>
                  <w:pPr>
                    <w:ind w:left="-105" w:leftChars="-50" w:right="-105" w:rightChars="-50"/>
                    <w:rPr>
                      <w:color w:val="auto"/>
                      <w:szCs w:val="21"/>
                    </w:rPr>
                  </w:pPr>
                  <w:r>
                    <w:rPr>
                      <w:color w:val="auto"/>
                      <w:szCs w:val="21"/>
                    </w:rPr>
                    <w:t>占地面积4.5㎡</w:t>
                  </w:r>
                </w:p>
              </w:tc>
              <w:tc>
                <w:tcPr>
                  <w:tcW w:w="1708" w:type="pct"/>
                  <w:tcBorders>
                    <w:top w:val="single" w:color="auto" w:sz="4" w:space="0"/>
                    <w:left w:val="single" w:color="auto" w:sz="4" w:space="0"/>
                    <w:bottom w:val="single" w:color="auto" w:sz="4" w:space="0"/>
                    <w:right w:val="single" w:color="auto" w:sz="4" w:space="0"/>
                  </w:tcBorders>
                  <w:vAlign w:val="center"/>
                </w:tcPr>
                <w:p>
                  <w:pPr>
                    <w:adjustRightInd w:val="0"/>
                    <w:snapToGrid w:val="0"/>
                    <w:ind w:left="-105" w:leftChars="-50" w:right="-105" w:rightChars="-50"/>
                    <w:rPr>
                      <w:color w:val="auto"/>
                      <w:szCs w:val="21"/>
                    </w:rPr>
                  </w:pPr>
                  <w:r>
                    <w:rPr>
                      <w:rFonts w:hint="eastAsia"/>
                      <w:color w:val="auto"/>
                      <w:szCs w:val="21"/>
                    </w:rPr>
                    <w:t>--</w:t>
                  </w:r>
                </w:p>
              </w:tc>
              <w:tc>
                <w:tcPr>
                  <w:tcW w:w="593" w:type="pct"/>
                  <w:tcBorders>
                    <w:top w:val="single" w:color="auto" w:sz="4" w:space="0"/>
                    <w:left w:val="single" w:color="auto" w:sz="4" w:space="0"/>
                    <w:bottom w:val="single" w:color="auto" w:sz="4" w:space="0"/>
                    <w:right w:val="single" w:color="auto" w:sz="4" w:space="0"/>
                  </w:tcBorders>
                  <w:vAlign w:val="center"/>
                </w:tcPr>
                <w:p>
                  <w:pPr>
                    <w:ind w:left="-105" w:leftChars="-50" w:right="-105" w:rightChars="-50"/>
                    <w:jc w:val="center"/>
                    <w:rPr>
                      <w:color w:val="auto"/>
                      <w:szCs w:val="21"/>
                    </w:rPr>
                  </w:pPr>
                  <w:r>
                    <w:rPr>
                      <w:color w:val="auto"/>
                      <w:szCs w:val="21"/>
                    </w:rPr>
                    <w:t>依托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48" w:type="pct"/>
                  <w:vMerge w:val="continue"/>
                  <w:tcBorders>
                    <w:top w:val="nil"/>
                    <w:left w:val="single" w:color="auto" w:sz="4" w:space="0"/>
                    <w:bottom w:val="single" w:color="auto" w:sz="4" w:space="0"/>
                    <w:right w:val="single" w:color="auto" w:sz="4" w:space="0"/>
                  </w:tcBorders>
                  <w:vAlign w:val="center"/>
                </w:tcPr>
                <w:p>
                  <w:pPr>
                    <w:widowControl/>
                    <w:ind w:left="-105" w:leftChars="-50" w:right="-105" w:rightChars="-50"/>
                    <w:jc w:val="center"/>
                    <w:rPr>
                      <w:color w:val="auto"/>
                      <w:szCs w:val="21"/>
                    </w:rPr>
                  </w:pPr>
                </w:p>
              </w:tc>
              <w:tc>
                <w:tcPr>
                  <w:tcW w:w="641" w:type="pct"/>
                  <w:gridSpan w:val="2"/>
                  <w:tcBorders>
                    <w:top w:val="single" w:color="auto" w:sz="4" w:space="0"/>
                    <w:left w:val="single" w:color="auto" w:sz="4" w:space="0"/>
                    <w:bottom w:val="single" w:color="auto" w:sz="4" w:space="0"/>
                    <w:right w:val="single" w:color="auto" w:sz="4" w:space="0"/>
                  </w:tcBorders>
                  <w:vAlign w:val="center"/>
                </w:tcPr>
                <w:p>
                  <w:pPr>
                    <w:ind w:left="-105" w:leftChars="-50" w:right="-105" w:rightChars="-50"/>
                    <w:jc w:val="center"/>
                    <w:rPr>
                      <w:color w:val="auto"/>
                      <w:szCs w:val="21"/>
                    </w:rPr>
                  </w:pPr>
                  <w:r>
                    <w:rPr>
                      <w:color w:val="auto"/>
                      <w:kern w:val="0"/>
                      <w:szCs w:val="21"/>
                    </w:rPr>
                    <w:t>氢气站</w:t>
                  </w:r>
                </w:p>
              </w:tc>
              <w:tc>
                <w:tcPr>
                  <w:tcW w:w="1708" w:type="pct"/>
                  <w:tcBorders>
                    <w:top w:val="single" w:color="auto" w:sz="4" w:space="0"/>
                    <w:left w:val="single" w:color="auto" w:sz="4" w:space="0"/>
                    <w:bottom w:val="single" w:color="auto" w:sz="4" w:space="0"/>
                    <w:right w:val="single" w:color="auto" w:sz="4" w:space="0"/>
                  </w:tcBorders>
                  <w:vAlign w:val="center"/>
                </w:tcPr>
                <w:p>
                  <w:pPr>
                    <w:ind w:left="-105" w:leftChars="-50" w:right="-105" w:rightChars="-50"/>
                    <w:rPr>
                      <w:color w:val="auto"/>
                      <w:szCs w:val="21"/>
                    </w:rPr>
                  </w:pPr>
                  <w:r>
                    <w:rPr>
                      <w:color w:val="auto"/>
                      <w:szCs w:val="21"/>
                    </w:rPr>
                    <w:t>占地面积53㎡</w:t>
                  </w:r>
                </w:p>
              </w:tc>
              <w:tc>
                <w:tcPr>
                  <w:tcW w:w="1708" w:type="pct"/>
                  <w:tcBorders>
                    <w:top w:val="single" w:color="auto" w:sz="4" w:space="0"/>
                    <w:left w:val="single" w:color="auto" w:sz="4" w:space="0"/>
                    <w:bottom w:val="single" w:color="auto" w:sz="4" w:space="0"/>
                    <w:right w:val="single" w:color="auto" w:sz="4" w:space="0"/>
                  </w:tcBorders>
                  <w:vAlign w:val="center"/>
                </w:tcPr>
                <w:p>
                  <w:pPr>
                    <w:adjustRightInd w:val="0"/>
                    <w:snapToGrid w:val="0"/>
                    <w:ind w:left="-105" w:leftChars="-50" w:right="-105" w:rightChars="-50"/>
                    <w:rPr>
                      <w:color w:val="auto"/>
                      <w:szCs w:val="21"/>
                    </w:rPr>
                  </w:pPr>
                  <w:r>
                    <w:rPr>
                      <w:rFonts w:hint="eastAsia"/>
                      <w:color w:val="auto"/>
                      <w:szCs w:val="21"/>
                    </w:rPr>
                    <w:t>--</w:t>
                  </w:r>
                </w:p>
              </w:tc>
              <w:tc>
                <w:tcPr>
                  <w:tcW w:w="593" w:type="pct"/>
                  <w:tcBorders>
                    <w:top w:val="single" w:color="auto" w:sz="4" w:space="0"/>
                    <w:left w:val="single" w:color="auto" w:sz="4" w:space="0"/>
                    <w:bottom w:val="single" w:color="auto" w:sz="4" w:space="0"/>
                    <w:right w:val="single" w:color="auto" w:sz="4" w:space="0"/>
                  </w:tcBorders>
                  <w:vAlign w:val="center"/>
                </w:tcPr>
                <w:p>
                  <w:pPr>
                    <w:ind w:left="-105" w:leftChars="-50" w:right="-105" w:rightChars="-50"/>
                    <w:jc w:val="center"/>
                    <w:rPr>
                      <w:color w:val="auto"/>
                      <w:szCs w:val="21"/>
                    </w:rPr>
                  </w:pPr>
                  <w:r>
                    <w:rPr>
                      <w:rFonts w:hint="eastAsia"/>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48" w:type="pct"/>
                  <w:vMerge w:val="continue"/>
                  <w:tcBorders>
                    <w:top w:val="nil"/>
                    <w:left w:val="single" w:color="auto" w:sz="4" w:space="0"/>
                    <w:bottom w:val="single" w:color="auto" w:sz="4" w:space="0"/>
                    <w:right w:val="single" w:color="auto" w:sz="4" w:space="0"/>
                  </w:tcBorders>
                  <w:vAlign w:val="center"/>
                </w:tcPr>
                <w:p>
                  <w:pPr>
                    <w:widowControl/>
                    <w:ind w:left="-105" w:leftChars="-50" w:right="-105" w:rightChars="-50"/>
                    <w:jc w:val="center"/>
                    <w:rPr>
                      <w:color w:val="auto"/>
                      <w:szCs w:val="21"/>
                    </w:rPr>
                  </w:pPr>
                </w:p>
              </w:tc>
              <w:tc>
                <w:tcPr>
                  <w:tcW w:w="641" w:type="pct"/>
                  <w:gridSpan w:val="2"/>
                  <w:tcBorders>
                    <w:top w:val="single" w:color="auto" w:sz="4" w:space="0"/>
                    <w:left w:val="single" w:color="auto" w:sz="4" w:space="0"/>
                    <w:bottom w:val="single" w:color="auto" w:sz="4" w:space="0"/>
                    <w:right w:val="single" w:color="auto" w:sz="4" w:space="0"/>
                  </w:tcBorders>
                  <w:vAlign w:val="center"/>
                </w:tcPr>
                <w:p>
                  <w:pPr>
                    <w:ind w:left="-105" w:leftChars="-50" w:right="-105" w:rightChars="-50"/>
                    <w:jc w:val="center"/>
                    <w:rPr>
                      <w:color w:val="auto"/>
                      <w:szCs w:val="21"/>
                    </w:rPr>
                  </w:pPr>
                  <w:r>
                    <w:rPr>
                      <w:color w:val="auto"/>
                      <w:kern w:val="0"/>
                      <w:szCs w:val="21"/>
                    </w:rPr>
                    <w:t>液化气棚</w:t>
                  </w:r>
                </w:p>
              </w:tc>
              <w:tc>
                <w:tcPr>
                  <w:tcW w:w="1708" w:type="pct"/>
                  <w:tcBorders>
                    <w:top w:val="single" w:color="auto" w:sz="4" w:space="0"/>
                    <w:left w:val="single" w:color="auto" w:sz="4" w:space="0"/>
                    <w:bottom w:val="single" w:color="auto" w:sz="4" w:space="0"/>
                    <w:right w:val="single" w:color="auto" w:sz="4" w:space="0"/>
                  </w:tcBorders>
                  <w:vAlign w:val="center"/>
                </w:tcPr>
                <w:p>
                  <w:pPr>
                    <w:ind w:left="-105" w:leftChars="-50" w:right="-105" w:rightChars="-50"/>
                    <w:rPr>
                      <w:color w:val="auto"/>
                      <w:szCs w:val="21"/>
                    </w:rPr>
                  </w:pPr>
                  <w:r>
                    <w:rPr>
                      <w:color w:val="auto"/>
                      <w:szCs w:val="21"/>
                    </w:rPr>
                    <w:t>占地面积4.5㎡</w:t>
                  </w:r>
                </w:p>
              </w:tc>
              <w:tc>
                <w:tcPr>
                  <w:tcW w:w="1708" w:type="pct"/>
                  <w:tcBorders>
                    <w:top w:val="single" w:color="auto" w:sz="4" w:space="0"/>
                    <w:left w:val="single" w:color="auto" w:sz="4" w:space="0"/>
                    <w:bottom w:val="single" w:color="auto" w:sz="4" w:space="0"/>
                    <w:right w:val="single" w:color="auto" w:sz="4" w:space="0"/>
                  </w:tcBorders>
                  <w:vAlign w:val="center"/>
                </w:tcPr>
                <w:p>
                  <w:pPr>
                    <w:adjustRightInd w:val="0"/>
                    <w:snapToGrid w:val="0"/>
                    <w:ind w:left="-105" w:leftChars="-50" w:right="-105" w:rightChars="-50"/>
                    <w:rPr>
                      <w:color w:val="auto"/>
                      <w:szCs w:val="21"/>
                    </w:rPr>
                  </w:pPr>
                  <w:r>
                    <w:rPr>
                      <w:rFonts w:hint="eastAsia"/>
                      <w:color w:val="auto"/>
                      <w:szCs w:val="21"/>
                    </w:rPr>
                    <w:t>--</w:t>
                  </w:r>
                </w:p>
              </w:tc>
              <w:tc>
                <w:tcPr>
                  <w:tcW w:w="593" w:type="pct"/>
                  <w:tcBorders>
                    <w:top w:val="single" w:color="auto" w:sz="4" w:space="0"/>
                    <w:left w:val="single" w:color="auto" w:sz="4" w:space="0"/>
                    <w:bottom w:val="single" w:color="auto" w:sz="4" w:space="0"/>
                    <w:right w:val="single" w:color="auto" w:sz="4" w:space="0"/>
                  </w:tcBorders>
                  <w:vAlign w:val="center"/>
                </w:tcPr>
                <w:p>
                  <w:pPr>
                    <w:ind w:left="-105" w:leftChars="-50" w:right="-105" w:rightChars="-50"/>
                    <w:jc w:val="center"/>
                    <w:rPr>
                      <w:color w:val="auto"/>
                      <w:szCs w:val="21"/>
                    </w:rPr>
                  </w:pPr>
                  <w:r>
                    <w:rPr>
                      <w:color w:val="auto"/>
                      <w:szCs w:val="21"/>
                    </w:rPr>
                    <w:t>依托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48" w:type="pct"/>
                  <w:vMerge w:val="restart"/>
                  <w:tcBorders>
                    <w:top w:val="nil"/>
                    <w:left w:val="single" w:color="auto" w:sz="4" w:space="0"/>
                    <w:bottom w:val="single" w:color="auto" w:sz="4" w:space="0"/>
                    <w:right w:val="single" w:color="auto" w:sz="4" w:space="0"/>
                  </w:tcBorders>
                  <w:vAlign w:val="center"/>
                </w:tcPr>
                <w:p>
                  <w:pPr>
                    <w:adjustRightInd w:val="0"/>
                    <w:snapToGrid w:val="0"/>
                    <w:ind w:left="-105" w:leftChars="-50" w:right="-105" w:rightChars="-50"/>
                    <w:jc w:val="center"/>
                    <w:rPr>
                      <w:color w:val="auto"/>
                      <w:szCs w:val="21"/>
                    </w:rPr>
                  </w:pPr>
                  <w:r>
                    <w:rPr>
                      <w:color w:val="auto"/>
                      <w:szCs w:val="21"/>
                    </w:rPr>
                    <w:t>公用工程</w:t>
                  </w:r>
                </w:p>
              </w:tc>
              <w:tc>
                <w:tcPr>
                  <w:tcW w:w="641" w:type="pct"/>
                  <w:gridSpan w:val="2"/>
                  <w:tcBorders>
                    <w:top w:val="single" w:color="auto" w:sz="4" w:space="0"/>
                    <w:left w:val="single" w:color="auto" w:sz="4" w:space="0"/>
                    <w:bottom w:val="single" w:color="auto" w:sz="4" w:space="0"/>
                    <w:right w:val="single" w:color="auto" w:sz="4" w:space="0"/>
                  </w:tcBorders>
                  <w:vAlign w:val="center"/>
                </w:tcPr>
                <w:p>
                  <w:pPr>
                    <w:adjustRightInd w:val="0"/>
                    <w:snapToGrid w:val="0"/>
                    <w:ind w:left="-105" w:leftChars="-50" w:right="-105" w:rightChars="-50"/>
                    <w:jc w:val="center"/>
                    <w:rPr>
                      <w:color w:val="auto"/>
                      <w:szCs w:val="21"/>
                    </w:rPr>
                  </w:pPr>
                  <w:r>
                    <w:rPr>
                      <w:color w:val="auto"/>
                      <w:szCs w:val="21"/>
                    </w:rPr>
                    <w:t>3#动力站</w:t>
                  </w:r>
                </w:p>
              </w:tc>
              <w:tc>
                <w:tcPr>
                  <w:tcW w:w="1708" w:type="pct"/>
                  <w:tcBorders>
                    <w:top w:val="single" w:color="auto" w:sz="4" w:space="0"/>
                    <w:left w:val="single" w:color="auto" w:sz="4" w:space="0"/>
                    <w:bottom w:val="single" w:color="auto" w:sz="4" w:space="0"/>
                    <w:right w:val="single" w:color="auto" w:sz="4" w:space="0"/>
                  </w:tcBorders>
                  <w:vAlign w:val="center"/>
                </w:tcPr>
                <w:p>
                  <w:pPr>
                    <w:adjustRightInd w:val="0"/>
                    <w:snapToGrid w:val="0"/>
                    <w:ind w:left="-105" w:leftChars="-50" w:right="-105" w:rightChars="-50"/>
                    <w:rPr>
                      <w:color w:val="auto"/>
                      <w:szCs w:val="21"/>
                    </w:rPr>
                  </w:pPr>
                  <w:r>
                    <w:rPr>
                      <w:color w:val="auto"/>
                      <w:szCs w:val="21"/>
                    </w:rPr>
                    <w:t>建筑面积168㎡、</w:t>
                  </w:r>
                  <w:r>
                    <w:rPr>
                      <w:rFonts w:hint="eastAsia"/>
                      <w:color w:val="auto"/>
                      <w:szCs w:val="21"/>
                    </w:rPr>
                    <w:t>1</w:t>
                  </w:r>
                  <w:r>
                    <w:rPr>
                      <w:color w:val="auto"/>
                      <w:szCs w:val="21"/>
                    </w:rPr>
                    <w:t>层、功能（配电房）</w:t>
                  </w:r>
                </w:p>
              </w:tc>
              <w:tc>
                <w:tcPr>
                  <w:tcW w:w="1708" w:type="pct"/>
                  <w:tcBorders>
                    <w:top w:val="single" w:color="auto" w:sz="4" w:space="0"/>
                    <w:left w:val="single" w:color="auto" w:sz="4" w:space="0"/>
                    <w:bottom w:val="single" w:color="auto" w:sz="4" w:space="0"/>
                    <w:right w:val="single" w:color="auto" w:sz="4" w:space="0"/>
                  </w:tcBorders>
                  <w:vAlign w:val="center"/>
                </w:tcPr>
                <w:p>
                  <w:pPr>
                    <w:adjustRightInd w:val="0"/>
                    <w:snapToGrid w:val="0"/>
                    <w:ind w:left="-105" w:leftChars="-50" w:right="-105" w:rightChars="-50"/>
                    <w:rPr>
                      <w:color w:val="auto"/>
                      <w:szCs w:val="21"/>
                    </w:rPr>
                  </w:pPr>
                  <w:r>
                    <w:rPr>
                      <w:rFonts w:hint="eastAsia"/>
                      <w:color w:val="auto"/>
                      <w:szCs w:val="21"/>
                    </w:rPr>
                    <w:t>--</w:t>
                  </w:r>
                </w:p>
              </w:tc>
              <w:tc>
                <w:tcPr>
                  <w:tcW w:w="593" w:type="pct"/>
                  <w:tcBorders>
                    <w:top w:val="single" w:color="auto" w:sz="4" w:space="0"/>
                    <w:left w:val="single" w:color="auto" w:sz="4" w:space="0"/>
                    <w:bottom w:val="single" w:color="auto" w:sz="4" w:space="0"/>
                    <w:right w:val="single" w:color="auto" w:sz="4" w:space="0"/>
                  </w:tcBorders>
                  <w:vAlign w:val="center"/>
                </w:tcPr>
                <w:p>
                  <w:pPr>
                    <w:adjustRightInd w:val="0"/>
                    <w:snapToGrid w:val="0"/>
                    <w:ind w:left="-105" w:leftChars="-50" w:right="-105" w:rightChars="-50"/>
                    <w:jc w:val="center"/>
                    <w:rPr>
                      <w:color w:val="auto"/>
                      <w:szCs w:val="21"/>
                    </w:rPr>
                  </w:pPr>
                  <w:r>
                    <w:rPr>
                      <w:color w:val="auto"/>
                      <w:szCs w:val="21"/>
                    </w:rPr>
                    <w:t>依托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48" w:type="pct"/>
                  <w:vMerge w:val="continue"/>
                  <w:tcBorders>
                    <w:top w:val="nil"/>
                    <w:left w:val="single" w:color="auto" w:sz="4" w:space="0"/>
                    <w:bottom w:val="single" w:color="auto" w:sz="4" w:space="0"/>
                    <w:right w:val="single" w:color="auto" w:sz="4" w:space="0"/>
                  </w:tcBorders>
                  <w:vAlign w:val="center"/>
                </w:tcPr>
                <w:p>
                  <w:pPr>
                    <w:widowControl/>
                    <w:ind w:left="-105" w:leftChars="-50" w:right="-105" w:rightChars="-50"/>
                    <w:jc w:val="center"/>
                    <w:rPr>
                      <w:color w:val="auto"/>
                      <w:szCs w:val="21"/>
                    </w:rPr>
                  </w:pPr>
                </w:p>
              </w:tc>
              <w:tc>
                <w:tcPr>
                  <w:tcW w:w="641" w:type="pct"/>
                  <w:gridSpan w:val="2"/>
                  <w:tcBorders>
                    <w:top w:val="single" w:color="auto" w:sz="4" w:space="0"/>
                    <w:left w:val="single" w:color="auto" w:sz="4" w:space="0"/>
                    <w:bottom w:val="single" w:color="auto" w:sz="4" w:space="0"/>
                    <w:right w:val="single" w:color="auto" w:sz="4" w:space="0"/>
                  </w:tcBorders>
                  <w:vAlign w:val="center"/>
                </w:tcPr>
                <w:p>
                  <w:pPr>
                    <w:adjustRightInd w:val="0"/>
                    <w:snapToGrid w:val="0"/>
                    <w:ind w:left="-105" w:leftChars="-50" w:right="-105" w:rightChars="-50"/>
                    <w:jc w:val="center"/>
                    <w:rPr>
                      <w:color w:val="auto"/>
                      <w:szCs w:val="21"/>
                    </w:rPr>
                  </w:pPr>
                  <w:r>
                    <w:rPr>
                      <w:color w:val="auto"/>
                      <w:szCs w:val="21"/>
                    </w:rPr>
                    <w:t>供</w:t>
                  </w:r>
                  <w:r>
                    <w:rPr>
                      <w:color w:val="auto"/>
                      <w:szCs w:val="21"/>
                    </w:rPr>
                    <w:cr/>
                  </w:r>
                  <w:r>
                    <w:rPr>
                      <w:color w:val="auto"/>
                      <w:szCs w:val="21"/>
                    </w:rPr>
                    <w:t>电</w:t>
                  </w:r>
                </w:p>
              </w:tc>
              <w:tc>
                <w:tcPr>
                  <w:tcW w:w="1708" w:type="pct"/>
                  <w:tcBorders>
                    <w:top w:val="single" w:color="auto" w:sz="4" w:space="0"/>
                    <w:left w:val="single" w:color="auto" w:sz="4" w:space="0"/>
                    <w:bottom w:val="single" w:color="auto" w:sz="4" w:space="0"/>
                    <w:right w:val="single" w:color="auto" w:sz="4" w:space="0"/>
                  </w:tcBorders>
                  <w:vAlign w:val="center"/>
                </w:tcPr>
                <w:p>
                  <w:pPr>
                    <w:adjustRightInd w:val="0"/>
                    <w:snapToGrid w:val="0"/>
                    <w:ind w:left="-105" w:leftChars="-50" w:right="-105" w:rightChars="-50"/>
                    <w:rPr>
                      <w:color w:val="auto"/>
                      <w:szCs w:val="21"/>
                    </w:rPr>
                  </w:pPr>
                  <w:r>
                    <w:rPr>
                      <w:color w:val="auto"/>
                      <w:szCs w:val="21"/>
                    </w:rPr>
                    <w:t>现有项目用电量约8927000k</w:t>
                  </w:r>
                  <w:r>
                    <w:rPr>
                      <w:rFonts w:hint="eastAsia"/>
                      <w:color w:val="auto"/>
                      <w:szCs w:val="21"/>
                    </w:rPr>
                    <w:t>W</w:t>
                  </w:r>
                  <w:r>
                    <w:rPr>
                      <w:color w:val="auto"/>
                      <w:szCs w:val="21"/>
                    </w:rPr>
                    <w:t>h/a</w:t>
                  </w:r>
                </w:p>
              </w:tc>
              <w:tc>
                <w:tcPr>
                  <w:tcW w:w="1708" w:type="pct"/>
                  <w:tcBorders>
                    <w:top w:val="single" w:color="auto" w:sz="4" w:space="0"/>
                    <w:left w:val="single" w:color="auto" w:sz="4" w:space="0"/>
                    <w:bottom w:val="single" w:color="auto" w:sz="4" w:space="0"/>
                    <w:right w:val="single" w:color="auto" w:sz="4" w:space="0"/>
                  </w:tcBorders>
                  <w:vAlign w:val="center"/>
                </w:tcPr>
                <w:p>
                  <w:pPr>
                    <w:adjustRightInd w:val="0"/>
                    <w:snapToGrid w:val="0"/>
                    <w:ind w:left="-105" w:leftChars="-50" w:right="-105" w:rightChars="-50"/>
                    <w:rPr>
                      <w:color w:val="auto"/>
                      <w:szCs w:val="21"/>
                    </w:rPr>
                  </w:pPr>
                  <w:r>
                    <w:rPr>
                      <w:rFonts w:hint="eastAsia"/>
                      <w:color w:val="auto"/>
                      <w:szCs w:val="21"/>
                    </w:rPr>
                    <w:t>依托现有变配电，</w:t>
                  </w:r>
                  <w:r>
                    <w:rPr>
                      <w:color w:val="auto"/>
                      <w:szCs w:val="21"/>
                    </w:rPr>
                    <w:t>本项目用电量673000k</w:t>
                  </w:r>
                  <w:r>
                    <w:rPr>
                      <w:rFonts w:hint="eastAsia"/>
                      <w:color w:val="auto"/>
                      <w:szCs w:val="21"/>
                    </w:rPr>
                    <w:t>W</w:t>
                  </w:r>
                  <w:r>
                    <w:rPr>
                      <w:color w:val="auto"/>
                      <w:szCs w:val="21"/>
                    </w:rPr>
                    <w:t>h/a</w:t>
                  </w:r>
                </w:p>
              </w:tc>
              <w:tc>
                <w:tcPr>
                  <w:tcW w:w="593" w:type="pct"/>
                  <w:tcBorders>
                    <w:top w:val="single" w:color="auto" w:sz="4" w:space="0"/>
                    <w:left w:val="single" w:color="auto" w:sz="4" w:space="0"/>
                    <w:bottom w:val="single" w:color="auto" w:sz="4" w:space="0"/>
                    <w:right w:val="single" w:color="auto" w:sz="4" w:space="0"/>
                  </w:tcBorders>
                  <w:vAlign w:val="center"/>
                </w:tcPr>
                <w:p>
                  <w:pPr>
                    <w:adjustRightInd w:val="0"/>
                    <w:snapToGrid w:val="0"/>
                    <w:ind w:left="-105" w:leftChars="-50" w:right="-105" w:rightChars="-50"/>
                    <w:jc w:val="center"/>
                    <w:rPr>
                      <w:color w:val="auto"/>
                      <w:szCs w:val="21"/>
                    </w:rPr>
                  </w:pPr>
                  <w:r>
                    <w:rPr>
                      <w:color w:val="auto"/>
                      <w:szCs w:val="21"/>
                    </w:rPr>
                    <w:t>依托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48" w:type="pct"/>
                  <w:vMerge w:val="continue"/>
                  <w:tcBorders>
                    <w:top w:val="nil"/>
                    <w:left w:val="single" w:color="auto" w:sz="4" w:space="0"/>
                    <w:bottom w:val="single" w:color="auto" w:sz="4" w:space="0"/>
                    <w:right w:val="single" w:color="auto" w:sz="4" w:space="0"/>
                  </w:tcBorders>
                  <w:vAlign w:val="center"/>
                </w:tcPr>
                <w:p>
                  <w:pPr>
                    <w:widowControl/>
                    <w:ind w:left="-105" w:leftChars="-50" w:right="-105" w:rightChars="-50"/>
                    <w:jc w:val="center"/>
                    <w:rPr>
                      <w:color w:val="auto"/>
                      <w:szCs w:val="21"/>
                    </w:rPr>
                  </w:pPr>
                </w:p>
              </w:tc>
              <w:tc>
                <w:tcPr>
                  <w:tcW w:w="268" w:type="pct"/>
                  <w:vMerge w:val="restart"/>
                  <w:tcBorders>
                    <w:top w:val="nil"/>
                    <w:left w:val="single" w:color="auto" w:sz="4" w:space="0"/>
                    <w:bottom w:val="single" w:color="auto" w:sz="4" w:space="0"/>
                    <w:right w:val="single" w:color="auto" w:sz="4" w:space="0"/>
                  </w:tcBorders>
                  <w:vAlign w:val="center"/>
                </w:tcPr>
                <w:p>
                  <w:pPr>
                    <w:adjustRightInd w:val="0"/>
                    <w:snapToGrid w:val="0"/>
                    <w:ind w:left="-105" w:leftChars="-50" w:right="-105" w:rightChars="-50"/>
                    <w:jc w:val="center"/>
                    <w:rPr>
                      <w:color w:val="auto"/>
                      <w:szCs w:val="21"/>
                    </w:rPr>
                  </w:pPr>
                  <w:r>
                    <w:rPr>
                      <w:color w:val="auto"/>
                      <w:szCs w:val="21"/>
                    </w:rPr>
                    <w:t>给水</w:t>
                  </w:r>
                </w:p>
              </w:tc>
              <w:tc>
                <w:tcPr>
                  <w:tcW w:w="373" w:type="pct"/>
                  <w:tcBorders>
                    <w:top w:val="single" w:color="auto" w:sz="4" w:space="0"/>
                    <w:left w:val="single" w:color="auto" w:sz="4" w:space="0"/>
                    <w:bottom w:val="single" w:color="auto" w:sz="4" w:space="0"/>
                    <w:right w:val="single" w:color="auto" w:sz="4" w:space="0"/>
                  </w:tcBorders>
                  <w:vAlign w:val="center"/>
                </w:tcPr>
                <w:p>
                  <w:pPr>
                    <w:adjustRightInd w:val="0"/>
                    <w:snapToGrid w:val="0"/>
                    <w:ind w:left="-105" w:leftChars="-50" w:right="-105" w:rightChars="-50"/>
                    <w:jc w:val="center"/>
                    <w:rPr>
                      <w:color w:val="auto"/>
                      <w:szCs w:val="21"/>
                    </w:rPr>
                  </w:pPr>
                  <w:r>
                    <w:rPr>
                      <w:color w:val="auto"/>
                      <w:szCs w:val="21"/>
                    </w:rPr>
                    <w:t>自来水</w:t>
                  </w:r>
                </w:p>
              </w:tc>
              <w:tc>
                <w:tcPr>
                  <w:tcW w:w="1708" w:type="pct"/>
                  <w:tcBorders>
                    <w:top w:val="single" w:color="auto" w:sz="4" w:space="0"/>
                    <w:left w:val="single" w:color="auto" w:sz="4" w:space="0"/>
                    <w:bottom w:val="single" w:color="auto" w:sz="4" w:space="0"/>
                    <w:right w:val="single" w:color="auto" w:sz="4" w:space="0"/>
                  </w:tcBorders>
                  <w:vAlign w:val="center"/>
                </w:tcPr>
                <w:p>
                  <w:pPr>
                    <w:adjustRightInd w:val="0"/>
                    <w:snapToGrid w:val="0"/>
                    <w:ind w:left="-105" w:leftChars="-50" w:right="-105" w:rightChars="-50"/>
                    <w:rPr>
                      <w:color w:val="auto"/>
                      <w:szCs w:val="21"/>
                    </w:rPr>
                  </w:pPr>
                  <w:r>
                    <w:rPr>
                      <w:color w:val="auto"/>
                      <w:szCs w:val="21"/>
                    </w:rPr>
                    <w:t>现有项目用水量120000t/a</w:t>
                  </w:r>
                </w:p>
              </w:tc>
              <w:tc>
                <w:tcPr>
                  <w:tcW w:w="1708" w:type="pct"/>
                  <w:tcBorders>
                    <w:top w:val="single" w:color="auto" w:sz="4" w:space="0"/>
                    <w:left w:val="single" w:color="auto" w:sz="4" w:space="0"/>
                    <w:bottom w:val="single" w:color="auto" w:sz="4" w:space="0"/>
                    <w:right w:val="single" w:color="auto" w:sz="4" w:space="0"/>
                  </w:tcBorders>
                  <w:vAlign w:val="center"/>
                </w:tcPr>
                <w:p>
                  <w:pPr>
                    <w:adjustRightInd w:val="0"/>
                    <w:snapToGrid w:val="0"/>
                    <w:ind w:left="-105" w:leftChars="-50" w:right="-105" w:rightChars="-50"/>
                    <w:rPr>
                      <w:color w:val="auto"/>
                      <w:szCs w:val="21"/>
                    </w:rPr>
                  </w:pPr>
                  <w:r>
                    <w:rPr>
                      <w:rFonts w:hint="eastAsia"/>
                      <w:color w:val="auto"/>
                      <w:szCs w:val="21"/>
                    </w:rPr>
                    <w:t>依托现有供水管线，本项目用水4146</w:t>
                  </w:r>
                  <w:r>
                    <w:rPr>
                      <w:color w:val="auto"/>
                      <w:szCs w:val="21"/>
                    </w:rPr>
                    <w:t>t/a</w:t>
                  </w:r>
                </w:p>
              </w:tc>
              <w:tc>
                <w:tcPr>
                  <w:tcW w:w="593" w:type="pct"/>
                  <w:tcBorders>
                    <w:top w:val="single" w:color="auto" w:sz="4" w:space="0"/>
                    <w:left w:val="single" w:color="auto" w:sz="4" w:space="0"/>
                    <w:bottom w:val="single" w:color="auto" w:sz="4" w:space="0"/>
                    <w:right w:val="single" w:color="auto" w:sz="4" w:space="0"/>
                  </w:tcBorders>
                  <w:vAlign w:val="center"/>
                </w:tcPr>
                <w:p>
                  <w:pPr>
                    <w:adjustRightInd w:val="0"/>
                    <w:snapToGrid w:val="0"/>
                    <w:ind w:left="-105" w:leftChars="-50" w:right="-105" w:rightChars="-50"/>
                    <w:jc w:val="center"/>
                    <w:rPr>
                      <w:color w:val="auto"/>
                      <w:szCs w:val="21"/>
                    </w:rPr>
                  </w:pPr>
                  <w:r>
                    <w:rPr>
                      <w:rFonts w:hint="eastAsia"/>
                      <w:color w:val="auto"/>
                      <w:szCs w:val="21"/>
                    </w:rPr>
                    <w:t>依托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48" w:type="pct"/>
                  <w:vMerge w:val="continue"/>
                  <w:tcBorders>
                    <w:top w:val="nil"/>
                    <w:left w:val="single" w:color="auto" w:sz="4" w:space="0"/>
                    <w:bottom w:val="single" w:color="auto" w:sz="4" w:space="0"/>
                    <w:right w:val="single" w:color="auto" w:sz="4" w:space="0"/>
                  </w:tcBorders>
                  <w:vAlign w:val="center"/>
                </w:tcPr>
                <w:p>
                  <w:pPr>
                    <w:widowControl/>
                    <w:ind w:left="-105" w:leftChars="-50" w:right="-105" w:rightChars="-50"/>
                    <w:jc w:val="center"/>
                    <w:rPr>
                      <w:color w:val="auto"/>
                      <w:szCs w:val="21"/>
                    </w:rPr>
                  </w:pPr>
                </w:p>
              </w:tc>
              <w:tc>
                <w:tcPr>
                  <w:tcW w:w="268" w:type="pct"/>
                  <w:vMerge w:val="continue"/>
                  <w:tcBorders>
                    <w:top w:val="nil"/>
                    <w:left w:val="single" w:color="auto" w:sz="4" w:space="0"/>
                    <w:bottom w:val="single" w:color="auto" w:sz="4" w:space="0"/>
                    <w:right w:val="single" w:color="auto" w:sz="4" w:space="0"/>
                  </w:tcBorders>
                  <w:vAlign w:val="center"/>
                </w:tcPr>
                <w:p>
                  <w:pPr>
                    <w:widowControl/>
                    <w:ind w:left="-105" w:leftChars="-50" w:right="-105" w:rightChars="-50"/>
                    <w:jc w:val="center"/>
                    <w:rPr>
                      <w:color w:val="auto"/>
                      <w:szCs w:val="21"/>
                    </w:rPr>
                  </w:pPr>
                </w:p>
              </w:tc>
              <w:tc>
                <w:tcPr>
                  <w:tcW w:w="373" w:type="pct"/>
                  <w:tcBorders>
                    <w:top w:val="single" w:color="auto" w:sz="4" w:space="0"/>
                    <w:left w:val="single" w:color="auto" w:sz="4" w:space="0"/>
                    <w:bottom w:val="single" w:color="auto" w:sz="4" w:space="0"/>
                    <w:right w:val="single" w:color="auto" w:sz="4" w:space="0"/>
                  </w:tcBorders>
                  <w:vAlign w:val="center"/>
                </w:tcPr>
                <w:p>
                  <w:pPr>
                    <w:adjustRightInd w:val="0"/>
                    <w:snapToGrid w:val="0"/>
                    <w:ind w:left="-105" w:leftChars="-50" w:right="-105" w:rightChars="-50"/>
                    <w:jc w:val="center"/>
                    <w:rPr>
                      <w:color w:val="auto"/>
                      <w:szCs w:val="21"/>
                    </w:rPr>
                  </w:pPr>
                  <w:r>
                    <w:rPr>
                      <w:color w:val="auto"/>
                      <w:szCs w:val="21"/>
                    </w:rPr>
                    <w:t>纯水</w:t>
                  </w:r>
                </w:p>
              </w:tc>
              <w:tc>
                <w:tcPr>
                  <w:tcW w:w="1708" w:type="pct"/>
                  <w:tcBorders>
                    <w:top w:val="single" w:color="auto" w:sz="4" w:space="0"/>
                    <w:left w:val="single" w:color="auto" w:sz="4" w:space="0"/>
                    <w:bottom w:val="single" w:color="auto" w:sz="4" w:space="0"/>
                    <w:right w:val="single" w:color="auto" w:sz="4" w:space="0"/>
                  </w:tcBorders>
                  <w:vAlign w:val="center"/>
                </w:tcPr>
                <w:p>
                  <w:pPr>
                    <w:adjustRightInd w:val="0"/>
                    <w:snapToGrid w:val="0"/>
                    <w:ind w:left="-105" w:leftChars="-50" w:right="-105" w:rightChars="-50"/>
                    <w:rPr>
                      <w:color w:val="auto"/>
                      <w:szCs w:val="21"/>
                    </w:rPr>
                  </w:pPr>
                  <w:r>
                    <w:rPr>
                      <w:color w:val="auto"/>
                      <w:szCs w:val="21"/>
                    </w:rPr>
                    <w:t>纯水制备方式:反渗透加电子混床、规模6t/h，设备工作时间为7200h/a，纯水制备</w:t>
                  </w:r>
                  <w:r>
                    <w:rPr>
                      <w:rFonts w:hint="eastAsia"/>
                      <w:color w:val="auto"/>
                      <w:szCs w:val="21"/>
                    </w:rPr>
                    <w:t>能力</w:t>
                  </w:r>
                  <w:r>
                    <w:rPr>
                      <w:color w:val="auto"/>
                      <w:szCs w:val="21"/>
                    </w:rPr>
                    <w:t>43200t/a，现有项目纯水用量30000t/a。</w:t>
                  </w:r>
                </w:p>
              </w:tc>
              <w:tc>
                <w:tcPr>
                  <w:tcW w:w="1708" w:type="pct"/>
                  <w:tcBorders>
                    <w:top w:val="single" w:color="auto" w:sz="4" w:space="0"/>
                    <w:left w:val="single" w:color="auto" w:sz="4" w:space="0"/>
                    <w:bottom w:val="single" w:color="auto" w:sz="4" w:space="0"/>
                    <w:right w:val="single" w:color="auto" w:sz="4" w:space="0"/>
                  </w:tcBorders>
                  <w:vAlign w:val="center"/>
                </w:tcPr>
                <w:p>
                  <w:pPr>
                    <w:adjustRightInd w:val="0"/>
                    <w:snapToGrid w:val="0"/>
                    <w:ind w:left="-105" w:leftChars="-50" w:right="-105" w:rightChars="-50"/>
                    <w:rPr>
                      <w:color w:val="auto"/>
                      <w:szCs w:val="21"/>
                    </w:rPr>
                  </w:pPr>
                  <w:r>
                    <w:rPr>
                      <w:color w:val="auto"/>
                      <w:szCs w:val="21"/>
                    </w:rPr>
                    <w:t>依托现有纯水制备设备，本项目纯水用量1500t/a</w:t>
                  </w:r>
                </w:p>
              </w:tc>
              <w:tc>
                <w:tcPr>
                  <w:tcW w:w="593" w:type="pct"/>
                  <w:tcBorders>
                    <w:top w:val="single" w:color="auto" w:sz="4" w:space="0"/>
                    <w:left w:val="single" w:color="auto" w:sz="4" w:space="0"/>
                    <w:bottom w:val="single" w:color="auto" w:sz="4" w:space="0"/>
                    <w:right w:val="single" w:color="auto" w:sz="4" w:space="0"/>
                  </w:tcBorders>
                  <w:vAlign w:val="center"/>
                </w:tcPr>
                <w:p>
                  <w:pPr>
                    <w:adjustRightInd w:val="0"/>
                    <w:snapToGrid w:val="0"/>
                    <w:ind w:left="-105" w:leftChars="-50" w:right="-105" w:rightChars="-50"/>
                    <w:jc w:val="center"/>
                    <w:rPr>
                      <w:color w:val="auto"/>
                      <w:szCs w:val="21"/>
                    </w:rPr>
                  </w:pPr>
                  <w:r>
                    <w:rPr>
                      <w:rFonts w:hint="eastAsia"/>
                      <w:color w:val="auto"/>
                      <w:szCs w:val="21"/>
                    </w:rPr>
                    <w:t>依托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48" w:type="pct"/>
                  <w:vMerge w:val="continue"/>
                  <w:tcBorders>
                    <w:top w:val="nil"/>
                    <w:left w:val="single" w:color="auto" w:sz="4" w:space="0"/>
                    <w:bottom w:val="single" w:color="auto" w:sz="4" w:space="0"/>
                    <w:right w:val="single" w:color="auto" w:sz="4" w:space="0"/>
                  </w:tcBorders>
                  <w:vAlign w:val="center"/>
                </w:tcPr>
                <w:p>
                  <w:pPr>
                    <w:widowControl/>
                    <w:ind w:left="-105" w:leftChars="-50" w:right="-105" w:rightChars="-50"/>
                    <w:jc w:val="center"/>
                    <w:rPr>
                      <w:color w:val="auto"/>
                      <w:szCs w:val="21"/>
                    </w:rPr>
                  </w:pPr>
                </w:p>
              </w:tc>
              <w:tc>
                <w:tcPr>
                  <w:tcW w:w="641" w:type="pct"/>
                  <w:gridSpan w:val="2"/>
                  <w:tcBorders>
                    <w:top w:val="single" w:color="auto" w:sz="4" w:space="0"/>
                    <w:left w:val="single" w:color="auto" w:sz="4" w:space="0"/>
                    <w:bottom w:val="single" w:color="auto" w:sz="4" w:space="0"/>
                    <w:right w:val="single" w:color="auto" w:sz="4" w:space="0"/>
                  </w:tcBorders>
                  <w:vAlign w:val="center"/>
                </w:tcPr>
                <w:p>
                  <w:pPr>
                    <w:adjustRightInd w:val="0"/>
                    <w:snapToGrid w:val="0"/>
                    <w:ind w:left="-105" w:leftChars="-50" w:right="-105" w:rightChars="-50"/>
                    <w:jc w:val="center"/>
                    <w:rPr>
                      <w:color w:val="auto"/>
                      <w:szCs w:val="21"/>
                    </w:rPr>
                  </w:pPr>
                  <w:r>
                    <w:rPr>
                      <w:color w:val="auto"/>
                      <w:szCs w:val="21"/>
                    </w:rPr>
                    <w:t>排水</w:t>
                  </w:r>
                </w:p>
              </w:tc>
              <w:tc>
                <w:tcPr>
                  <w:tcW w:w="1708" w:type="pct"/>
                  <w:tcBorders>
                    <w:top w:val="single" w:color="auto" w:sz="4" w:space="0"/>
                    <w:left w:val="single" w:color="auto" w:sz="4" w:space="0"/>
                    <w:bottom w:val="single" w:color="auto" w:sz="4" w:space="0"/>
                    <w:right w:val="single" w:color="auto" w:sz="4" w:space="0"/>
                  </w:tcBorders>
                  <w:vAlign w:val="center"/>
                </w:tcPr>
                <w:p>
                  <w:pPr>
                    <w:adjustRightInd w:val="0"/>
                    <w:snapToGrid w:val="0"/>
                    <w:ind w:left="-105" w:leftChars="-50" w:right="-105" w:rightChars="-50"/>
                    <w:rPr>
                      <w:color w:val="auto"/>
                      <w:szCs w:val="21"/>
                    </w:rPr>
                  </w:pPr>
                  <w:r>
                    <w:rPr>
                      <w:color w:val="auto"/>
                      <w:szCs w:val="21"/>
                    </w:rPr>
                    <w:t>现有项目排水系统实行“雨污分流”，设有雨水排口2个、污水总排口1个，污水、雨水排口位于厂区北侧。项目产生的酸碱废水和废气处理喷淋水经酸碱中和处理装置处理后同研磨废水、零部件冲洗水、纯水制备排放浓水、循环水排水同生活污水经化粪池处理后排入江宁经济技术开发区污水处理厂，尾水排入秦淮新河。</w:t>
                  </w:r>
                </w:p>
              </w:tc>
              <w:tc>
                <w:tcPr>
                  <w:tcW w:w="1708" w:type="pct"/>
                  <w:tcBorders>
                    <w:top w:val="single" w:color="auto" w:sz="4" w:space="0"/>
                    <w:left w:val="single" w:color="auto" w:sz="4" w:space="0"/>
                    <w:bottom w:val="single" w:color="auto" w:sz="4" w:space="0"/>
                    <w:right w:val="single" w:color="auto" w:sz="4" w:space="0"/>
                  </w:tcBorders>
                  <w:vAlign w:val="center"/>
                </w:tcPr>
                <w:p>
                  <w:pPr>
                    <w:adjustRightInd w:val="0"/>
                    <w:snapToGrid w:val="0"/>
                    <w:ind w:left="-105" w:leftChars="-50" w:right="-105" w:rightChars="-50"/>
                    <w:rPr>
                      <w:color w:val="auto"/>
                      <w:szCs w:val="21"/>
                    </w:rPr>
                  </w:pPr>
                  <w:r>
                    <w:rPr>
                      <w:rFonts w:hint="eastAsia"/>
                      <w:color w:val="auto"/>
                      <w:szCs w:val="21"/>
                    </w:rPr>
                    <w:t>依托现有项目雨、污排口。</w:t>
                  </w:r>
                  <w:r>
                    <w:rPr>
                      <w:color w:val="auto"/>
                      <w:szCs w:val="21"/>
                    </w:rPr>
                    <w:t>本项目酸碱清洗废水、废气处理喷淋排水依托现有项目酸碱废水处理装置处理后同零部件冲洗水、纯水制备排放浓水、循环水</w:t>
                  </w:r>
                  <w:r>
                    <w:rPr>
                      <w:rFonts w:hint="eastAsia"/>
                      <w:color w:val="auto"/>
                      <w:szCs w:val="21"/>
                    </w:rPr>
                    <w:t>定期</w:t>
                  </w:r>
                  <w:r>
                    <w:rPr>
                      <w:color w:val="auto"/>
                      <w:szCs w:val="21"/>
                    </w:rPr>
                    <w:t>排水排入江宁经济技术开发区污水处理厂，尾水排入秦淮新河。</w:t>
                  </w:r>
                </w:p>
              </w:tc>
              <w:tc>
                <w:tcPr>
                  <w:tcW w:w="593" w:type="pct"/>
                  <w:tcBorders>
                    <w:top w:val="single" w:color="auto" w:sz="4" w:space="0"/>
                    <w:left w:val="single" w:color="auto" w:sz="4" w:space="0"/>
                    <w:bottom w:val="single" w:color="auto" w:sz="4" w:space="0"/>
                    <w:right w:val="single" w:color="auto" w:sz="4" w:space="0"/>
                  </w:tcBorders>
                  <w:vAlign w:val="center"/>
                </w:tcPr>
                <w:p>
                  <w:pPr>
                    <w:adjustRightInd w:val="0"/>
                    <w:snapToGrid w:val="0"/>
                    <w:ind w:left="-105" w:leftChars="-50" w:right="-105" w:rightChars="-50"/>
                    <w:jc w:val="center"/>
                    <w:rPr>
                      <w:color w:val="auto"/>
                      <w:szCs w:val="21"/>
                    </w:rPr>
                  </w:pPr>
                  <w:r>
                    <w:rPr>
                      <w:rFonts w:hint="eastAsia"/>
                      <w:color w:val="auto"/>
                      <w:szCs w:val="21"/>
                    </w:rPr>
                    <w:t>依托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48" w:type="pct"/>
                  <w:vMerge w:val="continue"/>
                  <w:tcBorders>
                    <w:top w:val="nil"/>
                    <w:left w:val="single" w:color="auto" w:sz="4" w:space="0"/>
                    <w:bottom w:val="single" w:color="auto" w:sz="4" w:space="0"/>
                    <w:right w:val="single" w:color="auto" w:sz="4" w:space="0"/>
                  </w:tcBorders>
                  <w:vAlign w:val="center"/>
                </w:tcPr>
                <w:p>
                  <w:pPr>
                    <w:widowControl/>
                    <w:ind w:left="-105" w:leftChars="-50" w:right="-105" w:rightChars="-50"/>
                    <w:jc w:val="center"/>
                    <w:rPr>
                      <w:color w:val="auto"/>
                      <w:szCs w:val="21"/>
                    </w:rPr>
                  </w:pPr>
                </w:p>
              </w:tc>
              <w:tc>
                <w:tcPr>
                  <w:tcW w:w="641" w:type="pct"/>
                  <w:gridSpan w:val="2"/>
                  <w:tcBorders>
                    <w:top w:val="single" w:color="auto" w:sz="4" w:space="0"/>
                    <w:left w:val="single" w:color="auto" w:sz="4" w:space="0"/>
                    <w:bottom w:val="single" w:color="auto" w:sz="4" w:space="0"/>
                    <w:right w:val="single" w:color="auto" w:sz="4" w:space="0"/>
                  </w:tcBorders>
                  <w:vAlign w:val="center"/>
                </w:tcPr>
                <w:p>
                  <w:pPr>
                    <w:adjustRightInd w:val="0"/>
                    <w:snapToGrid w:val="0"/>
                    <w:ind w:left="-105" w:leftChars="-50" w:right="-105" w:rightChars="-50"/>
                    <w:jc w:val="center"/>
                    <w:rPr>
                      <w:color w:val="auto"/>
                      <w:szCs w:val="21"/>
                    </w:rPr>
                  </w:pPr>
                  <w:r>
                    <w:rPr>
                      <w:color w:val="auto"/>
                      <w:szCs w:val="21"/>
                    </w:rPr>
                    <w:t>循环水冷却系统</w:t>
                  </w:r>
                </w:p>
              </w:tc>
              <w:tc>
                <w:tcPr>
                  <w:tcW w:w="1708" w:type="pct"/>
                  <w:tcBorders>
                    <w:top w:val="single" w:color="auto" w:sz="4" w:space="0"/>
                    <w:left w:val="single" w:color="auto" w:sz="4" w:space="0"/>
                    <w:bottom w:val="single" w:color="auto" w:sz="4" w:space="0"/>
                    <w:right w:val="single" w:color="auto" w:sz="4" w:space="0"/>
                  </w:tcBorders>
                  <w:vAlign w:val="center"/>
                </w:tcPr>
                <w:p>
                  <w:pPr>
                    <w:adjustRightInd w:val="0"/>
                    <w:snapToGrid w:val="0"/>
                    <w:ind w:left="-105" w:leftChars="-50" w:right="-105" w:rightChars="-50"/>
                    <w:rPr>
                      <w:color w:val="auto"/>
                      <w:szCs w:val="21"/>
                    </w:rPr>
                  </w:pPr>
                  <w:r>
                    <w:rPr>
                      <w:color w:val="auto"/>
                      <w:szCs w:val="21"/>
                    </w:rPr>
                    <w:t>1套冷却水循环系统，冷却塔循环水量为30m</w:t>
                  </w:r>
                  <w:r>
                    <w:rPr>
                      <w:color w:val="auto"/>
                      <w:szCs w:val="21"/>
                      <w:vertAlign w:val="superscript"/>
                    </w:rPr>
                    <w:t>3</w:t>
                  </w:r>
                  <w:r>
                    <w:rPr>
                      <w:color w:val="auto"/>
                      <w:szCs w:val="21"/>
                    </w:rPr>
                    <w:t>/h，现有项目循环水量20m</w:t>
                  </w:r>
                  <w:r>
                    <w:rPr>
                      <w:color w:val="auto"/>
                      <w:szCs w:val="21"/>
                      <w:vertAlign w:val="superscript"/>
                    </w:rPr>
                    <w:t>3</w:t>
                  </w:r>
                  <w:r>
                    <w:rPr>
                      <w:color w:val="auto"/>
                      <w:szCs w:val="21"/>
                    </w:rPr>
                    <w:t>/h。</w:t>
                  </w:r>
                </w:p>
              </w:tc>
              <w:tc>
                <w:tcPr>
                  <w:tcW w:w="1708" w:type="pct"/>
                  <w:tcBorders>
                    <w:top w:val="single" w:color="auto" w:sz="4" w:space="0"/>
                    <w:left w:val="single" w:color="auto" w:sz="4" w:space="0"/>
                    <w:bottom w:val="single" w:color="auto" w:sz="4" w:space="0"/>
                    <w:right w:val="single" w:color="auto" w:sz="4" w:space="0"/>
                  </w:tcBorders>
                  <w:vAlign w:val="center"/>
                </w:tcPr>
                <w:p>
                  <w:pPr>
                    <w:adjustRightInd w:val="0"/>
                    <w:snapToGrid w:val="0"/>
                    <w:ind w:left="-105" w:leftChars="-50" w:right="-105" w:rightChars="-50"/>
                    <w:rPr>
                      <w:color w:val="auto"/>
                      <w:szCs w:val="21"/>
                    </w:rPr>
                  </w:pPr>
                  <w:r>
                    <w:rPr>
                      <w:rFonts w:hint="eastAsia"/>
                      <w:color w:val="auto"/>
                      <w:szCs w:val="21"/>
                    </w:rPr>
                    <w:t>依托现有冷却水循环系统，</w:t>
                  </w:r>
                  <w:r>
                    <w:rPr>
                      <w:color w:val="auto"/>
                      <w:szCs w:val="21"/>
                    </w:rPr>
                    <w:t>本项目循环水量</w:t>
                  </w:r>
                  <w:r>
                    <w:rPr>
                      <w:rFonts w:hint="eastAsia"/>
                      <w:color w:val="auto"/>
                      <w:szCs w:val="21"/>
                    </w:rPr>
                    <w:t>8</w:t>
                  </w:r>
                  <w:r>
                    <w:rPr>
                      <w:color w:val="auto"/>
                      <w:szCs w:val="21"/>
                    </w:rPr>
                    <w:t>m</w:t>
                  </w:r>
                  <w:r>
                    <w:rPr>
                      <w:color w:val="auto"/>
                      <w:szCs w:val="21"/>
                      <w:vertAlign w:val="superscript"/>
                    </w:rPr>
                    <w:t>3</w:t>
                  </w:r>
                  <w:r>
                    <w:rPr>
                      <w:color w:val="auto"/>
                      <w:szCs w:val="21"/>
                    </w:rPr>
                    <w:t>/h</w:t>
                  </w:r>
                </w:p>
              </w:tc>
              <w:tc>
                <w:tcPr>
                  <w:tcW w:w="593" w:type="pct"/>
                  <w:tcBorders>
                    <w:top w:val="single" w:color="auto" w:sz="4" w:space="0"/>
                    <w:left w:val="single" w:color="auto" w:sz="4" w:space="0"/>
                    <w:bottom w:val="single" w:color="auto" w:sz="4" w:space="0"/>
                    <w:right w:val="single" w:color="auto" w:sz="4" w:space="0"/>
                  </w:tcBorders>
                  <w:vAlign w:val="center"/>
                </w:tcPr>
                <w:p>
                  <w:pPr>
                    <w:adjustRightInd w:val="0"/>
                    <w:snapToGrid w:val="0"/>
                    <w:ind w:left="-105" w:leftChars="-50" w:right="-105" w:rightChars="-50"/>
                    <w:jc w:val="center"/>
                    <w:rPr>
                      <w:color w:val="auto"/>
                      <w:szCs w:val="21"/>
                    </w:rPr>
                  </w:pPr>
                  <w:r>
                    <w:rPr>
                      <w:rFonts w:hint="eastAsia"/>
                      <w:color w:val="auto"/>
                      <w:szCs w:val="21"/>
                    </w:rPr>
                    <w:t>依托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48" w:type="pct"/>
                  <w:vMerge w:val="continue"/>
                  <w:tcBorders>
                    <w:top w:val="nil"/>
                    <w:left w:val="single" w:color="auto" w:sz="4" w:space="0"/>
                    <w:bottom w:val="single" w:color="auto" w:sz="4" w:space="0"/>
                    <w:right w:val="single" w:color="auto" w:sz="4" w:space="0"/>
                  </w:tcBorders>
                  <w:vAlign w:val="center"/>
                </w:tcPr>
                <w:p>
                  <w:pPr>
                    <w:widowControl/>
                    <w:ind w:left="-105" w:leftChars="-50" w:right="-105" w:rightChars="-50"/>
                    <w:jc w:val="center"/>
                    <w:rPr>
                      <w:color w:val="auto"/>
                      <w:szCs w:val="21"/>
                    </w:rPr>
                  </w:pPr>
                </w:p>
              </w:tc>
              <w:tc>
                <w:tcPr>
                  <w:tcW w:w="641" w:type="pct"/>
                  <w:gridSpan w:val="2"/>
                  <w:tcBorders>
                    <w:top w:val="single" w:color="auto" w:sz="4" w:space="0"/>
                    <w:left w:val="single" w:color="auto" w:sz="4" w:space="0"/>
                    <w:bottom w:val="single" w:color="auto" w:sz="4" w:space="0"/>
                    <w:right w:val="single" w:color="auto" w:sz="4" w:space="0"/>
                  </w:tcBorders>
                  <w:vAlign w:val="center"/>
                </w:tcPr>
                <w:p>
                  <w:pPr>
                    <w:adjustRightInd w:val="0"/>
                    <w:snapToGrid w:val="0"/>
                    <w:ind w:left="-105" w:leftChars="-50" w:right="-105" w:rightChars="-50"/>
                    <w:jc w:val="center"/>
                    <w:rPr>
                      <w:color w:val="auto"/>
                      <w:szCs w:val="21"/>
                    </w:rPr>
                  </w:pPr>
                  <w:r>
                    <w:rPr>
                      <w:color w:val="auto"/>
                      <w:szCs w:val="21"/>
                    </w:rPr>
                    <w:t>压缩空气系统</w:t>
                  </w:r>
                </w:p>
              </w:tc>
              <w:tc>
                <w:tcPr>
                  <w:tcW w:w="1708" w:type="pct"/>
                  <w:tcBorders>
                    <w:top w:val="single" w:color="auto" w:sz="4" w:space="0"/>
                    <w:left w:val="single" w:color="auto" w:sz="4" w:space="0"/>
                    <w:bottom w:val="single" w:color="auto" w:sz="4" w:space="0"/>
                    <w:right w:val="single" w:color="auto" w:sz="4" w:space="0"/>
                  </w:tcBorders>
                  <w:vAlign w:val="center"/>
                </w:tcPr>
                <w:p>
                  <w:pPr>
                    <w:adjustRightInd w:val="0"/>
                    <w:snapToGrid w:val="0"/>
                    <w:ind w:left="-105" w:leftChars="-50" w:right="-105" w:rightChars="-50"/>
                    <w:rPr>
                      <w:color w:val="auto"/>
                      <w:szCs w:val="21"/>
                    </w:rPr>
                  </w:pPr>
                  <w:r>
                    <w:rPr>
                      <w:color w:val="auto"/>
                      <w:szCs w:val="21"/>
                    </w:rPr>
                    <w:t>现有项目3台螺杆空压机及配套设备，平均供气量为5m</w:t>
                  </w:r>
                  <w:r>
                    <w:rPr>
                      <w:color w:val="auto"/>
                      <w:szCs w:val="21"/>
                      <w:vertAlign w:val="superscript"/>
                    </w:rPr>
                    <w:t>3</w:t>
                  </w:r>
                  <w:r>
                    <w:rPr>
                      <w:color w:val="auto"/>
                      <w:szCs w:val="21"/>
                    </w:rPr>
                    <w:t>/min，现有项目用量为3.5m</w:t>
                  </w:r>
                  <w:r>
                    <w:rPr>
                      <w:color w:val="auto"/>
                      <w:szCs w:val="21"/>
                      <w:vertAlign w:val="superscript"/>
                    </w:rPr>
                    <w:t>3</w:t>
                  </w:r>
                  <w:r>
                    <w:rPr>
                      <w:color w:val="auto"/>
                      <w:szCs w:val="21"/>
                    </w:rPr>
                    <w:t>/min。</w:t>
                  </w:r>
                </w:p>
              </w:tc>
              <w:tc>
                <w:tcPr>
                  <w:tcW w:w="1708" w:type="pct"/>
                  <w:tcBorders>
                    <w:top w:val="single" w:color="auto" w:sz="4" w:space="0"/>
                    <w:left w:val="single" w:color="auto" w:sz="4" w:space="0"/>
                    <w:bottom w:val="single" w:color="auto" w:sz="4" w:space="0"/>
                    <w:right w:val="single" w:color="auto" w:sz="4" w:space="0"/>
                  </w:tcBorders>
                  <w:vAlign w:val="center"/>
                </w:tcPr>
                <w:p>
                  <w:pPr>
                    <w:adjustRightInd w:val="0"/>
                    <w:snapToGrid w:val="0"/>
                    <w:ind w:left="-105" w:leftChars="-50" w:right="-105" w:rightChars="-50"/>
                    <w:rPr>
                      <w:color w:val="auto"/>
                      <w:szCs w:val="21"/>
                    </w:rPr>
                  </w:pPr>
                  <w:r>
                    <w:rPr>
                      <w:rFonts w:hint="eastAsia"/>
                      <w:color w:val="auto"/>
                      <w:szCs w:val="21"/>
                    </w:rPr>
                    <w:t>依托现有压缩空气系统，</w:t>
                  </w:r>
                  <w:r>
                    <w:rPr>
                      <w:color w:val="auto"/>
                      <w:szCs w:val="21"/>
                    </w:rPr>
                    <w:t>本项目压缩空气用量1.5m</w:t>
                  </w:r>
                  <w:r>
                    <w:rPr>
                      <w:color w:val="auto"/>
                      <w:szCs w:val="21"/>
                      <w:vertAlign w:val="superscript"/>
                    </w:rPr>
                    <w:t>3</w:t>
                  </w:r>
                  <w:r>
                    <w:rPr>
                      <w:color w:val="auto"/>
                      <w:szCs w:val="21"/>
                    </w:rPr>
                    <w:t>/min。</w:t>
                  </w:r>
                </w:p>
              </w:tc>
              <w:tc>
                <w:tcPr>
                  <w:tcW w:w="593" w:type="pct"/>
                  <w:tcBorders>
                    <w:top w:val="single" w:color="auto" w:sz="4" w:space="0"/>
                    <w:left w:val="single" w:color="auto" w:sz="4" w:space="0"/>
                    <w:bottom w:val="single" w:color="auto" w:sz="4" w:space="0"/>
                    <w:right w:val="single" w:color="auto" w:sz="4" w:space="0"/>
                  </w:tcBorders>
                  <w:vAlign w:val="center"/>
                </w:tcPr>
                <w:p>
                  <w:pPr>
                    <w:adjustRightInd w:val="0"/>
                    <w:snapToGrid w:val="0"/>
                    <w:ind w:left="-105" w:leftChars="-50" w:right="-105" w:rightChars="-50"/>
                    <w:jc w:val="center"/>
                    <w:rPr>
                      <w:color w:val="auto"/>
                      <w:szCs w:val="21"/>
                    </w:rPr>
                  </w:pPr>
                  <w:r>
                    <w:rPr>
                      <w:rFonts w:hint="eastAsia"/>
                      <w:color w:val="auto"/>
                      <w:szCs w:val="21"/>
                    </w:rPr>
                    <w:t>依托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48" w:type="pct"/>
                  <w:vMerge w:val="restart"/>
                  <w:tcBorders>
                    <w:top w:val="nil"/>
                    <w:left w:val="single" w:color="auto" w:sz="4" w:space="0"/>
                    <w:bottom w:val="single" w:color="auto" w:sz="4" w:space="0"/>
                    <w:right w:val="single" w:color="auto" w:sz="4" w:space="0"/>
                  </w:tcBorders>
                  <w:vAlign w:val="center"/>
                </w:tcPr>
                <w:p>
                  <w:pPr>
                    <w:adjustRightInd w:val="0"/>
                    <w:snapToGrid w:val="0"/>
                    <w:ind w:left="-105" w:leftChars="-50" w:right="-105" w:rightChars="-50"/>
                    <w:jc w:val="center"/>
                    <w:rPr>
                      <w:color w:val="auto"/>
                      <w:szCs w:val="21"/>
                    </w:rPr>
                  </w:pPr>
                  <w:r>
                    <w:rPr>
                      <w:color w:val="auto"/>
                      <w:szCs w:val="21"/>
                    </w:rPr>
                    <w:t>环保工程</w:t>
                  </w:r>
                </w:p>
              </w:tc>
              <w:tc>
                <w:tcPr>
                  <w:tcW w:w="268" w:type="pct"/>
                  <w:vMerge w:val="restart"/>
                  <w:tcBorders>
                    <w:top w:val="nil"/>
                    <w:left w:val="single" w:color="auto" w:sz="4" w:space="0"/>
                    <w:bottom w:val="single" w:color="auto" w:sz="4" w:space="0"/>
                    <w:right w:val="single" w:color="auto" w:sz="4" w:space="0"/>
                  </w:tcBorders>
                  <w:vAlign w:val="center"/>
                </w:tcPr>
                <w:p>
                  <w:pPr>
                    <w:adjustRightInd w:val="0"/>
                    <w:snapToGrid w:val="0"/>
                    <w:ind w:left="-105" w:leftChars="-50" w:right="-105" w:rightChars="-50"/>
                    <w:jc w:val="center"/>
                    <w:rPr>
                      <w:color w:val="auto"/>
                      <w:szCs w:val="21"/>
                    </w:rPr>
                  </w:pPr>
                  <w:r>
                    <w:rPr>
                      <w:color w:val="auto"/>
                      <w:szCs w:val="21"/>
                    </w:rPr>
                    <w:t>废水</w:t>
                  </w:r>
                </w:p>
              </w:tc>
              <w:tc>
                <w:tcPr>
                  <w:tcW w:w="373" w:type="pct"/>
                  <w:tcBorders>
                    <w:top w:val="single" w:color="auto" w:sz="4" w:space="0"/>
                    <w:left w:val="single" w:color="auto" w:sz="4" w:space="0"/>
                    <w:bottom w:val="single" w:color="auto" w:sz="4" w:space="0"/>
                    <w:right w:val="single" w:color="auto" w:sz="4" w:space="0"/>
                  </w:tcBorders>
                  <w:vAlign w:val="center"/>
                </w:tcPr>
                <w:p>
                  <w:pPr>
                    <w:adjustRightInd w:val="0"/>
                    <w:snapToGrid w:val="0"/>
                    <w:ind w:left="-105" w:leftChars="-50" w:right="-105" w:rightChars="-50"/>
                    <w:jc w:val="center"/>
                    <w:rPr>
                      <w:color w:val="auto"/>
                      <w:szCs w:val="21"/>
                    </w:rPr>
                  </w:pPr>
                  <w:r>
                    <w:rPr>
                      <w:color w:val="auto"/>
                      <w:szCs w:val="21"/>
                    </w:rPr>
                    <w:t>生产</w:t>
                  </w:r>
                </w:p>
                <w:p>
                  <w:pPr>
                    <w:adjustRightInd w:val="0"/>
                    <w:snapToGrid w:val="0"/>
                    <w:ind w:left="-105" w:leftChars="-50" w:right="-105" w:rightChars="-50"/>
                    <w:jc w:val="center"/>
                    <w:rPr>
                      <w:color w:val="auto"/>
                      <w:szCs w:val="21"/>
                    </w:rPr>
                  </w:pPr>
                  <w:r>
                    <w:rPr>
                      <w:color w:val="auto"/>
                      <w:szCs w:val="21"/>
                    </w:rPr>
                    <w:t>废水</w:t>
                  </w:r>
                </w:p>
              </w:tc>
              <w:tc>
                <w:tcPr>
                  <w:tcW w:w="1708" w:type="pct"/>
                  <w:tcBorders>
                    <w:top w:val="single" w:color="auto" w:sz="4" w:space="0"/>
                    <w:left w:val="single" w:color="auto" w:sz="4" w:space="0"/>
                    <w:bottom w:val="single" w:color="auto" w:sz="4" w:space="0"/>
                    <w:right w:val="single" w:color="auto" w:sz="4" w:space="0"/>
                  </w:tcBorders>
                  <w:vAlign w:val="center"/>
                </w:tcPr>
                <w:p>
                  <w:pPr>
                    <w:adjustRightInd w:val="0"/>
                    <w:snapToGrid w:val="0"/>
                    <w:ind w:left="-105" w:leftChars="-50" w:right="-105" w:rightChars="-50"/>
                    <w:rPr>
                      <w:color w:val="auto"/>
                      <w:szCs w:val="21"/>
                    </w:rPr>
                  </w:pPr>
                  <w:r>
                    <w:rPr>
                      <w:color w:val="auto"/>
                      <w:szCs w:val="21"/>
                    </w:rPr>
                    <w:t>现有项目酸碱废水和废气处理喷淋水经中和处理装置处理后排放</w:t>
                  </w:r>
                </w:p>
              </w:tc>
              <w:tc>
                <w:tcPr>
                  <w:tcW w:w="1708" w:type="pct"/>
                  <w:tcBorders>
                    <w:top w:val="single" w:color="auto" w:sz="4" w:space="0"/>
                    <w:left w:val="single" w:color="auto" w:sz="4" w:space="0"/>
                    <w:bottom w:val="single" w:color="auto" w:sz="4" w:space="0"/>
                    <w:right w:val="single" w:color="auto" w:sz="4" w:space="0"/>
                  </w:tcBorders>
                  <w:vAlign w:val="center"/>
                </w:tcPr>
                <w:p>
                  <w:pPr>
                    <w:adjustRightInd w:val="0"/>
                    <w:snapToGrid w:val="0"/>
                    <w:ind w:left="-105" w:leftChars="-50" w:right="-105" w:rightChars="-50"/>
                    <w:rPr>
                      <w:color w:val="auto"/>
                      <w:szCs w:val="21"/>
                    </w:rPr>
                  </w:pPr>
                  <w:r>
                    <w:rPr>
                      <w:color w:val="auto"/>
                      <w:szCs w:val="21"/>
                    </w:rPr>
                    <w:t>本项目酸碱废水和废气处理喷淋水依托现有酸碱中和处理装置处理。</w:t>
                  </w:r>
                </w:p>
              </w:tc>
              <w:tc>
                <w:tcPr>
                  <w:tcW w:w="593" w:type="pct"/>
                  <w:tcBorders>
                    <w:top w:val="single" w:color="auto" w:sz="4" w:space="0"/>
                    <w:left w:val="single" w:color="auto" w:sz="4" w:space="0"/>
                    <w:bottom w:val="single" w:color="auto" w:sz="4" w:space="0"/>
                    <w:right w:val="single" w:color="auto" w:sz="4" w:space="0"/>
                  </w:tcBorders>
                  <w:vAlign w:val="center"/>
                </w:tcPr>
                <w:p>
                  <w:pPr>
                    <w:adjustRightInd w:val="0"/>
                    <w:snapToGrid w:val="0"/>
                    <w:ind w:left="-105" w:leftChars="-50" w:right="-105" w:rightChars="-50"/>
                    <w:jc w:val="center"/>
                    <w:rPr>
                      <w:color w:val="auto"/>
                      <w:szCs w:val="21"/>
                    </w:rPr>
                  </w:pPr>
                  <w:r>
                    <w:rPr>
                      <w:rFonts w:hint="eastAsia"/>
                      <w:color w:val="auto"/>
                      <w:szCs w:val="21"/>
                    </w:rPr>
                    <w:t>依托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48" w:type="pct"/>
                  <w:vMerge w:val="continue"/>
                  <w:tcBorders>
                    <w:top w:val="nil"/>
                    <w:left w:val="single" w:color="auto" w:sz="4" w:space="0"/>
                    <w:bottom w:val="single" w:color="auto" w:sz="4" w:space="0"/>
                    <w:right w:val="single" w:color="auto" w:sz="4" w:space="0"/>
                  </w:tcBorders>
                  <w:vAlign w:val="center"/>
                </w:tcPr>
                <w:p>
                  <w:pPr>
                    <w:widowControl/>
                    <w:ind w:left="-105" w:leftChars="-50" w:right="-105" w:rightChars="-50"/>
                    <w:jc w:val="center"/>
                    <w:rPr>
                      <w:color w:val="auto"/>
                      <w:szCs w:val="21"/>
                    </w:rPr>
                  </w:pPr>
                </w:p>
              </w:tc>
              <w:tc>
                <w:tcPr>
                  <w:tcW w:w="268" w:type="pct"/>
                  <w:vMerge w:val="continue"/>
                  <w:tcBorders>
                    <w:top w:val="nil"/>
                    <w:left w:val="single" w:color="auto" w:sz="4" w:space="0"/>
                    <w:bottom w:val="single" w:color="auto" w:sz="4" w:space="0"/>
                    <w:right w:val="single" w:color="auto" w:sz="4" w:space="0"/>
                  </w:tcBorders>
                  <w:vAlign w:val="center"/>
                </w:tcPr>
                <w:p>
                  <w:pPr>
                    <w:widowControl/>
                    <w:ind w:left="-105" w:leftChars="-50" w:right="-105" w:rightChars="-50"/>
                    <w:jc w:val="center"/>
                    <w:rPr>
                      <w:color w:val="auto"/>
                      <w:szCs w:val="21"/>
                    </w:rPr>
                  </w:pPr>
                </w:p>
              </w:tc>
              <w:tc>
                <w:tcPr>
                  <w:tcW w:w="373" w:type="pct"/>
                  <w:tcBorders>
                    <w:top w:val="single" w:color="auto" w:sz="4" w:space="0"/>
                    <w:left w:val="single" w:color="auto" w:sz="4" w:space="0"/>
                    <w:bottom w:val="single" w:color="auto" w:sz="4" w:space="0"/>
                    <w:right w:val="single" w:color="auto" w:sz="4" w:space="0"/>
                  </w:tcBorders>
                  <w:vAlign w:val="center"/>
                </w:tcPr>
                <w:p>
                  <w:pPr>
                    <w:adjustRightInd w:val="0"/>
                    <w:snapToGrid w:val="0"/>
                    <w:ind w:left="-105" w:leftChars="-50" w:right="-105" w:rightChars="-50"/>
                    <w:jc w:val="center"/>
                    <w:rPr>
                      <w:color w:val="auto"/>
                      <w:szCs w:val="21"/>
                    </w:rPr>
                  </w:pPr>
                  <w:r>
                    <w:rPr>
                      <w:color w:val="auto"/>
                      <w:szCs w:val="21"/>
                    </w:rPr>
                    <w:t>生活</w:t>
                  </w:r>
                </w:p>
                <w:p>
                  <w:pPr>
                    <w:adjustRightInd w:val="0"/>
                    <w:snapToGrid w:val="0"/>
                    <w:ind w:left="-105" w:leftChars="-50" w:right="-105" w:rightChars="-50"/>
                    <w:jc w:val="center"/>
                    <w:rPr>
                      <w:color w:val="auto"/>
                      <w:szCs w:val="21"/>
                    </w:rPr>
                  </w:pPr>
                  <w:r>
                    <w:rPr>
                      <w:color w:val="auto"/>
                      <w:szCs w:val="21"/>
                    </w:rPr>
                    <w:t>污水</w:t>
                  </w:r>
                </w:p>
              </w:tc>
              <w:tc>
                <w:tcPr>
                  <w:tcW w:w="1708" w:type="pct"/>
                  <w:tcBorders>
                    <w:top w:val="single" w:color="auto" w:sz="4" w:space="0"/>
                    <w:left w:val="single" w:color="auto" w:sz="4" w:space="0"/>
                    <w:bottom w:val="single" w:color="auto" w:sz="4" w:space="0"/>
                    <w:right w:val="single" w:color="auto" w:sz="4" w:space="0"/>
                  </w:tcBorders>
                  <w:vAlign w:val="center"/>
                </w:tcPr>
                <w:p>
                  <w:pPr>
                    <w:adjustRightInd w:val="0"/>
                    <w:snapToGrid w:val="0"/>
                    <w:ind w:left="-105" w:leftChars="-50" w:right="-105" w:rightChars="-50"/>
                    <w:rPr>
                      <w:color w:val="auto"/>
                      <w:szCs w:val="21"/>
                    </w:rPr>
                  </w:pPr>
                  <w:r>
                    <w:rPr>
                      <w:color w:val="auto"/>
                      <w:szCs w:val="21"/>
                    </w:rPr>
                    <w:t>员工产生的生活污水经化粪池处理后排入市政污水管网。</w:t>
                  </w:r>
                </w:p>
              </w:tc>
              <w:tc>
                <w:tcPr>
                  <w:tcW w:w="1708" w:type="pct"/>
                  <w:tcBorders>
                    <w:top w:val="single" w:color="auto" w:sz="4" w:space="0"/>
                    <w:left w:val="single" w:color="auto" w:sz="4" w:space="0"/>
                    <w:bottom w:val="single" w:color="auto" w:sz="4" w:space="0"/>
                    <w:right w:val="single" w:color="auto" w:sz="4" w:space="0"/>
                  </w:tcBorders>
                  <w:vAlign w:val="center"/>
                </w:tcPr>
                <w:p>
                  <w:pPr>
                    <w:adjustRightInd w:val="0"/>
                    <w:snapToGrid w:val="0"/>
                    <w:ind w:left="-105" w:leftChars="-50" w:right="-105" w:rightChars="-50"/>
                    <w:rPr>
                      <w:color w:val="auto"/>
                      <w:szCs w:val="21"/>
                    </w:rPr>
                  </w:pPr>
                  <w:r>
                    <w:rPr>
                      <w:color w:val="auto"/>
                      <w:szCs w:val="21"/>
                    </w:rPr>
                    <w:t>本项目不新增人员</w:t>
                  </w:r>
                </w:p>
              </w:tc>
              <w:tc>
                <w:tcPr>
                  <w:tcW w:w="593" w:type="pct"/>
                  <w:tcBorders>
                    <w:top w:val="single" w:color="auto" w:sz="4" w:space="0"/>
                    <w:left w:val="single" w:color="auto" w:sz="4" w:space="0"/>
                    <w:bottom w:val="single" w:color="auto" w:sz="4" w:space="0"/>
                    <w:right w:val="single" w:color="auto" w:sz="4" w:space="0"/>
                  </w:tcBorders>
                  <w:vAlign w:val="center"/>
                </w:tcPr>
                <w:p>
                  <w:pPr>
                    <w:adjustRightInd w:val="0"/>
                    <w:snapToGrid w:val="0"/>
                    <w:ind w:left="-105" w:leftChars="-50" w:right="-105" w:rightChars="-50"/>
                    <w:jc w:val="center"/>
                    <w:rPr>
                      <w:color w:val="auto"/>
                      <w:szCs w:val="21"/>
                    </w:rPr>
                  </w:pPr>
                  <w:r>
                    <w:rPr>
                      <w:rFonts w:hint="eastAsia"/>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48" w:type="pct"/>
                  <w:vMerge w:val="continue"/>
                  <w:tcBorders>
                    <w:top w:val="nil"/>
                    <w:left w:val="single" w:color="auto" w:sz="4" w:space="0"/>
                    <w:bottom w:val="single" w:color="auto" w:sz="4" w:space="0"/>
                    <w:right w:val="single" w:color="auto" w:sz="4" w:space="0"/>
                  </w:tcBorders>
                  <w:vAlign w:val="center"/>
                </w:tcPr>
                <w:p>
                  <w:pPr>
                    <w:widowControl/>
                    <w:ind w:left="-105" w:leftChars="-50" w:right="-105" w:rightChars="-50"/>
                    <w:jc w:val="center"/>
                    <w:rPr>
                      <w:color w:val="auto"/>
                      <w:szCs w:val="21"/>
                    </w:rPr>
                  </w:pPr>
                </w:p>
              </w:tc>
              <w:tc>
                <w:tcPr>
                  <w:tcW w:w="268" w:type="pct"/>
                  <w:vMerge w:val="continue"/>
                  <w:tcBorders>
                    <w:top w:val="nil"/>
                    <w:left w:val="single" w:color="auto" w:sz="4" w:space="0"/>
                    <w:bottom w:val="single" w:color="auto" w:sz="4" w:space="0"/>
                    <w:right w:val="single" w:color="auto" w:sz="4" w:space="0"/>
                  </w:tcBorders>
                  <w:vAlign w:val="center"/>
                </w:tcPr>
                <w:p>
                  <w:pPr>
                    <w:widowControl/>
                    <w:ind w:left="-105" w:leftChars="-50" w:right="-105" w:rightChars="-50"/>
                    <w:jc w:val="center"/>
                    <w:rPr>
                      <w:color w:val="auto"/>
                      <w:szCs w:val="21"/>
                    </w:rPr>
                  </w:pPr>
                </w:p>
              </w:tc>
              <w:tc>
                <w:tcPr>
                  <w:tcW w:w="373" w:type="pct"/>
                  <w:tcBorders>
                    <w:top w:val="single" w:color="auto" w:sz="4" w:space="0"/>
                    <w:left w:val="single" w:color="auto" w:sz="4" w:space="0"/>
                    <w:bottom w:val="single" w:color="auto" w:sz="4" w:space="0"/>
                    <w:right w:val="single" w:color="auto" w:sz="4" w:space="0"/>
                  </w:tcBorders>
                  <w:vAlign w:val="center"/>
                </w:tcPr>
                <w:p>
                  <w:pPr>
                    <w:adjustRightInd w:val="0"/>
                    <w:snapToGrid w:val="0"/>
                    <w:ind w:left="-105" w:leftChars="-50" w:right="-105" w:rightChars="-50"/>
                    <w:jc w:val="center"/>
                    <w:rPr>
                      <w:color w:val="auto"/>
                      <w:szCs w:val="21"/>
                    </w:rPr>
                  </w:pPr>
                  <w:r>
                    <w:rPr>
                      <w:color w:val="auto"/>
                      <w:szCs w:val="21"/>
                    </w:rPr>
                    <w:t>雨污管网排口</w:t>
                  </w:r>
                </w:p>
              </w:tc>
              <w:tc>
                <w:tcPr>
                  <w:tcW w:w="1708" w:type="pct"/>
                  <w:tcBorders>
                    <w:top w:val="single" w:color="auto" w:sz="4" w:space="0"/>
                    <w:left w:val="single" w:color="auto" w:sz="4" w:space="0"/>
                    <w:bottom w:val="single" w:color="auto" w:sz="4" w:space="0"/>
                    <w:right w:val="single" w:color="auto" w:sz="4" w:space="0"/>
                  </w:tcBorders>
                  <w:vAlign w:val="center"/>
                </w:tcPr>
                <w:p>
                  <w:pPr>
                    <w:adjustRightInd w:val="0"/>
                    <w:snapToGrid w:val="0"/>
                    <w:ind w:left="-105" w:leftChars="-50" w:right="-105" w:rightChars="-50"/>
                    <w:rPr>
                      <w:color w:val="auto"/>
                      <w:szCs w:val="21"/>
                    </w:rPr>
                  </w:pPr>
                  <w:r>
                    <w:rPr>
                      <w:color w:val="auto"/>
                      <w:szCs w:val="21"/>
                    </w:rPr>
                    <w:t>厂区雨污分流，设置2个雨水排放口和1个污水接管口，位于厂区北侧。</w:t>
                  </w:r>
                </w:p>
              </w:tc>
              <w:tc>
                <w:tcPr>
                  <w:tcW w:w="1708" w:type="pct"/>
                  <w:tcBorders>
                    <w:top w:val="single" w:color="auto" w:sz="4" w:space="0"/>
                    <w:left w:val="single" w:color="auto" w:sz="4" w:space="0"/>
                    <w:bottom w:val="single" w:color="auto" w:sz="4" w:space="0"/>
                    <w:right w:val="single" w:color="auto" w:sz="4" w:space="0"/>
                  </w:tcBorders>
                  <w:vAlign w:val="center"/>
                </w:tcPr>
                <w:p>
                  <w:pPr>
                    <w:adjustRightInd w:val="0"/>
                    <w:snapToGrid w:val="0"/>
                    <w:ind w:left="-105" w:leftChars="-50" w:right="-105" w:rightChars="-50"/>
                    <w:rPr>
                      <w:color w:val="auto"/>
                      <w:szCs w:val="21"/>
                    </w:rPr>
                  </w:pPr>
                  <w:r>
                    <w:rPr>
                      <w:rFonts w:hint="eastAsia"/>
                      <w:color w:val="auto"/>
                      <w:szCs w:val="21"/>
                    </w:rPr>
                    <w:t>--</w:t>
                  </w:r>
                </w:p>
              </w:tc>
              <w:tc>
                <w:tcPr>
                  <w:tcW w:w="593" w:type="pct"/>
                  <w:tcBorders>
                    <w:top w:val="single" w:color="auto" w:sz="4" w:space="0"/>
                    <w:left w:val="single" w:color="auto" w:sz="4" w:space="0"/>
                    <w:bottom w:val="single" w:color="auto" w:sz="4" w:space="0"/>
                    <w:right w:val="single" w:color="auto" w:sz="4" w:space="0"/>
                  </w:tcBorders>
                  <w:vAlign w:val="center"/>
                </w:tcPr>
                <w:p>
                  <w:pPr>
                    <w:adjustRightInd w:val="0"/>
                    <w:snapToGrid w:val="0"/>
                    <w:ind w:left="-105" w:leftChars="-50" w:right="-105" w:rightChars="-50"/>
                    <w:jc w:val="center"/>
                    <w:rPr>
                      <w:color w:val="auto"/>
                      <w:szCs w:val="21"/>
                    </w:rPr>
                  </w:pPr>
                  <w:r>
                    <w:rPr>
                      <w:rFonts w:hint="eastAsia"/>
                      <w:color w:val="auto"/>
                      <w:szCs w:val="21"/>
                    </w:rPr>
                    <w:t>依托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48" w:type="pct"/>
                  <w:vMerge w:val="continue"/>
                  <w:tcBorders>
                    <w:top w:val="nil"/>
                    <w:left w:val="single" w:color="auto" w:sz="4" w:space="0"/>
                    <w:bottom w:val="single" w:color="auto" w:sz="4" w:space="0"/>
                    <w:right w:val="single" w:color="auto" w:sz="4" w:space="0"/>
                  </w:tcBorders>
                  <w:vAlign w:val="center"/>
                </w:tcPr>
                <w:p>
                  <w:pPr>
                    <w:widowControl/>
                    <w:ind w:left="-105" w:leftChars="-50" w:right="-105" w:rightChars="-50"/>
                    <w:jc w:val="center"/>
                    <w:rPr>
                      <w:color w:val="auto"/>
                      <w:szCs w:val="21"/>
                    </w:rPr>
                  </w:pPr>
                </w:p>
              </w:tc>
              <w:tc>
                <w:tcPr>
                  <w:tcW w:w="268" w:type="pct"/>
                  <w:vMerge w:val="restart"/>
                  <w:tcBorders>
                    <w:top w:val="nil"/>
                    <w:left w:val="single" w:color="auto" w:sz="4" w:space="0"/>
                    <w:bottom w:val="single" w:color="auto" w:sz="4" w:space="0"/>
                    <w:right w:val="single" w:color="auto" w:sz="4" w:space="0"/>
                  </w:tcBorders>
                  <w:vAlign w:val="center"/>
                </w:tcPr>
                <w:p>
                  <w:pPr>
                    <w:adjustRightInd w:val="0"/>
                    <w:snapToGrid w:val="0"/>
                    <w:ind w:left="-105" w:leftChars="-50" w:right="-105" w:rightChars="-50"/>
                    <w:jc w:val="center"/>
                    <w:rPr>
                      <w:color w:val="auto"/>
                      <w:szCs w:val="21"/>
                    </w:rPr>
                  </w:pPr>
                  <w:r>
                    <w:rPr>
                      <w:color w:val="auto"/>
                      <w:szCs w:val="21"/>
                    </w:rPr>
                    <w:t>废气</w:t>
                  </w:r>
                </w:p>
              </w:tc>
              <w:tc>
                <w:tcPr>
                  <w:tcW w:w="373" w:type="pct"/>
                  <w:tcBorders>
                    <w:top w:val="single" w:color="auto" w:sz="4" w:space="0"/>
                    <w:left w:val="single" w:color="auto" w:sz="4" w:space="0"/>
                    <w:bottom w:val="single" w:color="auto" w:sz="4" w:space="0"/>
                    <w:right w:val="single" w:color="auto" w:sz="4" w:space="0"/>
                  </w:tcBorders>
                  <w:vAlign w:val="center"/>
                </w:tcPr>
                <w:p>
                  <w:pPr>
                    <w:adjustRightInd w:val="0"/>
                    <w:snapToGrid w:val="0"/>
                    <w:ind w:left="-105" w:leftChars="-50" w:right="-105" w:rightChars="-50"/>
                    <w:jc w:val="center"/>
                    <w:rPr>
                      <w:color w:val="auto"/>
                      <w:szCs w:val="21"/>
                    </w:rPr>
                  </w:pPr>
                  <w:r>
                    <w:rPr>
                      <w:color w:val="auto"/>
                      <w:szCs w:val="21"/>
                    </w:rPr>
                    <w:t>有组织</w:t>
                  </w:r>
                </w:p>
              </w:tc>
              <w:tc>
                <w:tcPr>
                  <w:tcW w:w="1708" w:type="pct"/>
                  <w:tcBorders>
                    <w:top w:val="single" w:color="auto" w:sz="4" w:space="0"/>
                    <w:left w:val="single" w:color="auto" w:sz="4" w:space="0"/>
                    <w:bottom w:val="single" w:color="auto" w:sz="4" w:space="0"/>
                    <w:right w:val="single" w:color="auto" w:sz="4" w:space="0"/>
                  </w:tcBorders>
                  <w:vAlign w:val="center"/>
                </w:tcPr>
                <w:p>
                  <w:pPr>
                    <w:adjustRightInd w:val="0"/>
                    <w:snapToGrid w:val="0"/>
                    <w:ind w:left="-105" w:leftChars="-50" w:right="-105" w:rightChars="-50"/>
                    <w:rPr>
                      <w:color w:val="auto"/>
                      <w:szCs w:val="21"/>
                    </w:rPr>
                  </w:pPr>
                  <w:r>
                    <w:rPr>
                      <w:color w:val="auto"/>
                      <w:szCs w:val="21"/>
                    </w:rPr>
                    <w:t>1号厂房废气：工件采用湿法研磨，过程产生玻璃屑随冷却水进入沉淀池，产生研磨污泥；压屏工序使用丙酮，排屏工序使用乙醚乙醇混合液、腐蚀清洗工序使用乙醇、盐酸，产生废气经集气管道汇流至楼顶废气净化塔（水喷淋+</w:t>
                  </w:r>
                  <w:r>
                    <w:rPr>
                      <w:rFonts w:hint="eastAsia"/>
                      <w:color w:val="auto"/>
                      <w:szCs w:val="21"/>
                    </w:rPr>
                    <w:t>一级</w:t>
                  </w:r>
                  <w:r>
                    <w:rPr>
                      <w:color w:val="auto"/>
                      <w:szCs w:val="21"/>
                    </w:rPr>
                    <w:t>活性炭）综合处理后经15m高排气筒P1排放。</w:t>
                  </w:r>
                </w:p>
                <w:p>
                  <w:pPr>
                    <w:adjustRightInd w:val="0"/>
                    <w:snapToGrid w:val="0"/>
                    <w:ind w:left="-105" w:leftChars="-50" w:right="-105" w:rightChars="-50"/>
                    <w:rPr>
                      <w:color w:val="auto"/>
                      <w:szCs w:val="21"/>
                    </w:rPr>
                  </w:pPr>
                  <w:r>
                    <w:rPr>
                      <w:color w:val="auto"/>
                      <w:szCs w:val="21"/>
                    </w:rPr>
                    <w:t>8号厂房废气：现有20英寸光电倍增管项目玻壳清洗工序使用乙醇、盐酸、丙酮产生的废气经收集通过安装在楼顶的水喷淋净化塔</w:t>
                  </w:r>
                  <w:r>
                    <w:rPr>
                      <w:rFonts w:hint="eastAsia"/>
                      <w:color w:val="auto"/>
                      <w:szCs w:val="21"/>
                    </w:rPr>
                    <w:t>+</w:t>
                  </w:r>
                  <w:r>
                    <w:rPr>
                      <w:color w:val="auto"/>
                      <w:szCs w:val="21"/>
                    </w:rPr>
                    <w:t>15m高排气筒P2排放。</w:t>
                  </w:r>
                </w:p>
              </w:tc>
              <w:tc>
                <w:tcPr>
                  <w:tcW w:w="1708" w:type="pct"/>
                  <w:tcBorders>
                    <w:top w:val="single" w:color="auto" w:sz="4" w:space="0"/>
                    <w:left w:val="single" w:color="auto" w:sz="4" w:space="0"/>
                    <w:bottom w:val="single" w:color="auto" w:sz="4" w:space="0"/>
                    <w:right w:val="single" w:color="auto" w:sz="4" w:space="0"/>
                  </w:tcBorders>
                  <w:vAlign w:val="center"/>
                </w:tcPr>
                <w:p>
                  <w:pPr>
                    <w:adjustRightInd w:val="0"/>
                    <w:snapToGrid w:val="0"/>
                    <w:ind w:left="-105" w:leftChars="-50" w:right="-105" w:rightChars="-50"/>
                    <w:rPr>
                      <w:color w:val="auto"/>
                      <w:szCs w:val="21"/>
                    </w:rPr>
                  </w:pPr>
                  <w:r>
                    <w:rPr>
                      <w:color w:val="auto"/>
                      <w:szCs w:val="21"/>
                    </w:rPr>
                    <w:t>本项目改造</w:t>
                  </w:r>
                  <w:r>
                    <w:rPr>
                      <w:rFonts w:hint="eastAsia"/>
                      <w:color w:val="auto"/>
                      <w:szCs w:val="21"/>
                    </w:rPr>
                    <w:t>现有</w:t>
                  </w:r>
                  <w:r>
                    <w:rPr>
                      <w:color w:val="auto"/>
                      <w:szCs w:val="21"/>
                    </w:rPr>
                    <w:t>8号厂房废气处理装置为</w:t>
                  </w:r>
                  <w:r>
                    <w:rPr>
                      <w:rFonts w:hint="eastAsia"/>
                      <w:color w:val="auto"/>
                      <w:szCs w:val="21"/>
                    </w:rPr>
                    <w:t>废气收集+</w:t>
                  </w:r>
                  <w:r>
                    <w:rPr>
                      <w:color w:val="auto"/>
                      <w:szCs w:val="21"/>
                    </w:rPr>
                    <w:t>碱液喷淋+除雾器+</w:t>
                  </w:r>
                  <w:r>
                    <w:rPr>
                      <w:rFonts w:hint="eastAsia"/>
                      <w:color w:val="auto"/>
                      <w:szCs w:val="21"/>
                    </w:rPr>
                    <w:t>一级</w:t>
                  </w:r>
                  <w:r>
                    <w:rPr>
                      <w:color w:val="auto"/>
                      <w:szCs w:val="21"/>
                    </w:rPr>
                    <w:t>活性炭处理后</w:t>
                  </w:r>
                  <w:r>
                    <w:rPr>
                      <w:rFonts w:hint="eastAsia"/>
                      <w:color w:val="auto"/>
                      <w:szCs w:val="21"/>
                    </w:rPr>
                    <w:t>同封口工序采用液化石油气火焰对玻壳进行加热产生的废气</w:t>
                  </w:r>
                  <w:r>
                    <w:rPr>
                      <w:color w:val="auto"/>
                      <w:szCs w:val="21"/>
                    </w:rPr>
                    <w:t>经15m高排气筒P2排放</w:t>
                  </w:r>
                  <w:r>
                    <w:rPr>
                      <w:rFonts w:hint="eastAsia"/>
                      <w:color w:val="auto"/>
                      <w:szCs w:val="21"/>
                    </w:rPr>
                    <w:t>，</w:t>
                  </w:r>
                  <w:r>
                    <w:rPr>
                      <w:color w:val="auto"/>
                      <w:szCs w:val="21"/>
                    </w:rPr>
                    <w:t>风量为</w:t>
                  </w:r>
                  <w:r>
                    <w:rPr>
                      <w:rFonts w:hint="eastAsia"/>
                      <w:color w:val="auto"/>
                      <w:szCs w:val="21"/>
                    </w:rPr>
                    <w:t>10</w:t>
                  </w:r>
                  <w:r>
                    <w:rPr>
                      <w:color w:val="auto"/>
                      <w:szCs w:val="21"/>
                    </w:rPr>
                    <w:t>000m</w:t>
                  </w:r>
                  <w:r>
                    <w:rPr>
                      <w:color w:val="auto"/>
                      <w:szCs w:val="21"/>
                      <w:vertAlign w:val="superscript"/>
                    </w:rPr>
                    <w:t>3</w:t>
                  </w:r>
                  <w:r>
                    <w:rPr>
                      <w:color w:val="auto"/>
                      <w:szCs w:val="21"/>
                    </w:rPr>
                    <w:t>/h，DN0.5m。</w:t>
                  </w:r>
                </w:p>
                <w:p>
                  <w:pPr>
                    <w:adjustRightInd w:val="0"/>
                    <w:snapToGrid w:val="0"/>
                    <w:ind w:left="-105" w:leftChars="-50" w:right="-105" w:rightChars="-50"/>
                    <w:rPr>
                      <w:color w:val="auto"/>
                      <w:szCs w:val="21"/>
                    </w:rPr>
                  </w:pPr>
                  <w:r>
                    <w:rPr>
                      <w:rFonts w:hint="eastAsia"/>
                      <w:color w:val="auto"/>
                      <w:szCs w:val="21"/>
                    </w:rPr>
                    <w:t>两个清洗槽设置顶吸集气罩，一个超声波清洗机设置顶吸集气罩，一个</w:t>
                  </w:r>
                  <w:r>
                    <w:rPr>
                      <w:bCs/>
                      <w:color w:val="auto"/>
                      <w:szCs w:val="21"/>
                    </w:rPr>
                    <w:t>光窗自动清洗机</w:t>
                  </w:r>
                  <w:r>
                    <w:rPr>
                      <w:rFonts w:hint="eastAsia"/>
                      <w:color w:val="auto"/>
                      <w:szCs w:val="21"/>
                    </w:rPr>
                    <w:t>设置顶吸集气罩，一个等离子清洗机从设备腔体内部吸出废气，取件开门时有废气排出，设置顶吸集气罩；封口工序设置顶吸集气罩。</w:t>
                  </w:r>
                </w:p>
              </w:tc>
              <w:tc>
                <w:tcPr>
                  <w:tcW w:w="593" w:type="pct"/>
                  <w:tcBorders>
                    <w:top w:val="single" w:color="auto" w:sz="4" w:space="0"/>
                    <w:left w:val="single" w:color="auto" w:sz="4" w:space="0"/>
                    <w:bottom w:val="single" w:color="auto" w:sz="4" w:space="0"/>
                    <w:right w:val="single" w:color="auto" w:sz="4" w:space="0"/>
                  </w:tcBorders>
                  <w:vAlign w:val="center"/>
                </w:tcPr>
                <w:p>
                  <w:pPr>
                    <w:adjustRightInd w:val="0"/>
                    <w:snapToGrid w:val="0"/>
                    <w:ind w:left="-105" w:leftChars="-50" w:right="-105" w:rightChars="-50"/>
                    <w:jc w:val="center"/>
                    <w:rPr>
                      <w:color w:val="auto"/>
                      <w:szCs w:val="21"/>
                    </w:rPr>
                  </w:pPr>
                  <w:r>
                    <w:rPr>
                      <w:rFonts w:hint="eastAsia"/>
                      <w:color w:val="auto"/>
                      <w:szCs w:val="21"/>
                    </w:rPr>
                    <w:t>改造现有8号厂房废气处理设施。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48" w:type="pct"/>
                  <w:vMerge w:val="continue"/>
                  <w:tcBorders>
                    <w:top w:val="nil"/>
                    <w:left w:val="single" w:color="auto" w:sz="4" w:space="0"/>
                    <w:bottom w:val="single" w:color="auto" w:sz="4" w:space="0"/>
                    <w:right w:val="single" w:color="auto" w:sz="4" w:space="0"/>
                  </w:tcBorders>
                  <w:vAlign w:val="center"/>
                </w:tcPr>
                <w:p>
                  <w:pPr>
                    <w:widowControl/>
                    <w:ind w:left="-105" w:leftChars="-50" w:right="-105" w:rightChars="-50"/>
                    <w:jc w:val="center"/>
                    <w:rPr>
                      <w:color w:val="auto"/>
                      <w:szCs w:val="21"/>
                    </w:rPr>
                  </w:pPr>
                </w:p>
              </w:tc>
              <w:tc>
                <w:tcPr>
                  <w:tcW w:w="268" w:type="pct"/>
                  <w:vMerge w:val="continue"/>
                  <w:tcBorders>
                    <w:top w:val="nil"/>
                    <w:left w:val="single" w:color="auto" w:sz="4" w:space="0"/>
                    <w:bottom w:val="single" w:color="auto" w:sz="4" w:space="0"/>
                    <w:right w:val="single" w:color="auto" w:sz="4" w:space="0"/>
                  </w:tcBorders>
                  <w:vAlign w:val="center"/>
                </w:tcPr>
                <w:p>
                  <w:pPr>
                    <w:widowControl/>
                    <w:ind w:left="-105" w:leftChars="-50" w:right="-105" w:rightChars="-50"/>
                    <w:jc w:val="center"/>
                    <w:rPr>
                      <w:color w:val="auto"/>
                      <w:szCs w:val="21"/>
                    </w:rPr>
                  </w:pPr>
                </w:p>
              </w:tc>
              <w:tc>
                <w:tcPr>
                  <w:tcW w:w="373" w:type="pct"/>
                  <w:tcBorders>
                    <w:top w:val="single" w:color="auto" w:sz="4" w:space="0"/>
                    <w:left w:val="single" w:color="auto" w:sz="4" w:space="0"/>
                    <w:bottom w:val="single" w:color="auto" w:sz="4" w:space="0"/>
                    <w:right w:val="single" w:color="auto" w:sz="4" w:space="0"/>
                  </w:tcBorders>
                  <w:vAlign w:val="center"/>
                </w:tcPr>
                <w:p>
                  <w:pPr>
                    <w:adjustRightInd w:val="0"/>
                    <w:snapToGrid w:val="0"/>
                    <w:ind w:left="-105" w:leftChars="-50" w:right="-105" w:rightChars="-50"/>
                    <w:jc w:val="center"/>
                    <w:rPr>
                      <w:color w:val="auto"/>
                      <w:szCs w:val="21"/>
                    </w:rPr>
                  </w:pPr>
                  <w:r>
                    <w:rPr>
                      <w:color w:val="auto"/>
                      <w:szCs w:val="21"/>
                    </w:rPr>
                    <w:t>无组织</w:t>
                  </w:r>
                </w:p>
              </w:tc>
              <w:tc>
                <w:tcPr>
                  <w:tcW w:w="1708" w:type="pct"/>
                  <w:tcBorders>
                    <w:top w:val="single" w:color="auto" w:sz="4" w:space="0"/>
                    <w:left w:val="single" w:color="auto" w:sz="4" w:space="0"/>
                    <w:bottom w:val="single" w:color="auto" w:sz="4" w:space="0"/>
                    <w:right w:val="single" w:color="auto" w:sz="4" w:space="0"/>
                  </w:tcBorders>
                  <w:vAlign w:val="center"/>
                </w:tcPr>
                <w:p>
                  <w:pPr>
                    <w:adjustRightInd w:val="0"/>
                    <w:snapToGrid w:val="0"/>
                    <w:ind w:left="-105" w:leftChars="-50" w:right="-105" w:rightChars="-50"/>
                    <w:rPr>
                      <w:color w:val="auto"/>
                      <w:szCs w:val="21"/>
                    </w:rPr>
                  </w:pPr>
                  <w:r>
                    <w:rPr>
                      <w:color w:val="auto"/>
                      <w:szCs w:val="21"/>
                    </w:rPr>
                    <w:t>通风系统</w:t>
                  </w:r>
                </w:p>
              </w:tc>
              <w:tc>
                <w:tcPr>
                  <w:tcW w:w="1708" w:type="pct"/>
                  <w:tcBorders>
                    <w:top w:val="single" w:color="auto" w:sz="4" w:space="0"/>
                    <w:left w:val="single" w:color="auto" w:sz="4" w:space="0"/>
                    <w:bottom w:val="single" w:color="auto" w:sz="4" w:space="0"/>
                    <w:right w:val="single" w:color="auto" w:sz="4" w:space="0"/>
                  </w:tcBorders>
                  <w:vAlign w:val="center"/>
                </w:tcPr>
                <w:p>
                  <w:pPr>
                    <w:adjustRightInd w:val="0"/>
                    <w:snapToGrid w:val="0"/>
                    <w:ind w:left="-105" w:leftChars="-50" w:right="-105" w:rightChars="-50"/>
                    <w:rPr>
                      <w:color w:val="auto"/>
                      <w:szCs w:val="21"/>
                    </w:rPr>
                  </w:pPr>
                  <w:r>
                    <w:rPr>
                      <w:color w:val="auto"/>
                      <w:szCs w:val="21"/>
                    </w:rPr>
                    <w:t>依托现有</w:t>
                  </w:r>
                </w:p>
              </w:tc>
              <w:tc>
                <w:tcPr>
                  <w:tcW w:w="593" w:type="pct"/>
                  <w:tcBorders>
                    <w:top w:val="single" w:color="auto" w:sz="4" w:space="0"/>
                    <w:left w:val="single" w:color="auto" w:sz="4" w:space="0"/>
                    <w:bottom w:val="single" w:color="auto" w:sz="4" w:space="0"/>
                    <w:right w:val="single" w:color="auto" w:sz="4" w:space="0"/>
                  </w:tcBorders>
                  <w:vAlign w:val="center"/>
                </w:tcPr>
                <w:p>
                  <w:pPr>
                    <w:adjustRightInd w:val="0"/>
                    <w:snapToGrid w:val="0"/>
                    <w:ind w:left="-105" w:leftChars="-50" w:right="-105" w:rightChars="-50"/>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48" w:type="pct"/>
                  <w:vMerge w:val="continue"/>
                  <w:tcBorders>
                    <w:top w:val="nil"/>
                    <w:left w:val="single" w:color="auto" w:sz="4" w:space="0"/>
                    <w:bottom w:val="single" w:color="auto" w:sz="4" w:space="0"/>
                    <w:right w:val="single" w:color="auto" w:sz="4" w:space="0"/>
                  </w:tcBorders>
                  <w:vAlign w:val="center"/>
                </w:tcPr>
                <w:p>
                  <w:pPr>
                    <w:widowControl/>
                    <w:ind w:left="-105" w:leftChars="-50" w:right="-105" w:rightChars="-50"/>
                    <w:jc w:val="center"/>
                    <w:rPr>
                      <w:color w:val="auto"/>
                      <w:szCs w:val="21"/>
                    </w:rPr>
                  </w:pPr>
                </w:p>
              </w:tc>
              <w:tc>
                <w:tcPr>
                  <w:tcW w:w="268" w:type="pct"/>
                  <w:vMerge w:val="restart"/>
                  <w:tcBorders>
                    <w:top w:val="nil"/>
                    <w:left w:val="single" w:color="auto" w:sz="4" w:space="0"/>
                    <w:bottom w:val="single" w:color="auto" w:sz="4" w:space="0"/>
                    <w:right w:val="single" w:color="auto" w:sz="4" w:space="0"/>
                  </w:tcBorders>
                  <w:vAlign w:val="center"/>
                </w:tcPr>
                <w:p>
                  <w:pPr>
                    <w:adjustRightInd w:val="0"/>
                    <w:snapToGrid w:val="0"/>
                    <w:ind w:left="-105" w:leftChars="-50" w:right="-105" w:rightChars="-50"/>
                    <w:jc w:val="center"/>
                    <w:rPr>
                      <w:color w:val="auto"/>
                      <w:szCs w:val="21"/>
                    </w:rPr>
                  </w:pPr>
                  <w:r>
                    <w:rPr>
                      <w:color w:val="auto"/>
                      <w:szCs w:val="21"/>
                    </w:rPr>
                    <w:t>固废</w:t>
                  </w:r>
                </w:p>
              </w:tc>
              <w:tc>
                <w:tcPr>
                  <w:tcW w:w="373" w:type="pct"/>
                  <w:tcBorders>
                    <w:top w:val="single" w:color="auto" w:sz="4" w:space="0"/>
                    <w:left w:val="single" w:color="auto" w:sz="4" w:space="0"/>
                    <w:bottom w:val="single" w:color="auto" w:sz="4" w:space="0"/>
                    <w:right w:val="single" w:color="auto" w:sz="4" w:space="0"/>
                  </w:tcBorders>
                  <w:vAlign w:val="center"/>
                </w:tcPr>
                <w:p>
                  <w:pPr>
                    <w:adjustRightInd w:val="0"/>
                    <w:snapToGrid w:val="0"/>
                    <w:ind w:left="-105" w:leftChars="-50" w:right="-105" w:rightChars="-50"/>
                    <w:jc w:val="center"/>
                    <w:rPr>
                      <w:color w:val="auto"/>
                      <w:szCs w:val="21"/>
                    </w:rPr>
                  </w:pPr>
                  <w:r>
                    <w:rPr>
                      <w:color w:val="auto"/>
                      <w:szCs w:val="21"/>
                    </w:rPr>
                    <w:t>危</w:t>
                  </w:r>
                  <w:r>
                    <w:rPr>
                      <w:rStyle w:val="43"/>
                      <w:rFonts w:hint="eastAsia"/>
                      <w:color w:val="auto"/>
                      <w:kern w:val="0"/>
                      <w:szCs w:val="20"/>
                    </w:rPr>
                    <w:t>废库</w:t>
                  </w:r>
                </w:p>
              </w:tc>
              <w:tc>
                <w:tcPr>
                  <w:tcW w:w="1708" w:type="pct"/>
                  <w:tcBorders>
                    <w:top w:val="single" w:color="auto" w:sz="4" w:space="0"/>
                    <w:left w:val="single" w:color="auto" w:sz="4" w:space="0"/>
                    <w:bottom w:val="single" w:color="auto" w:sz="4" w:space="0"/>
                    <w:right w:val="single" w:color="auto" w:sz="4" w:space="0"/>
                  </w:tcBorders>
                  <w:vAlign w:val="center"/>
                </w:tcPr>
                <w:p>
                  <w:pPr>
                    <w:adjustRightInd w:val="0"/>
                    <w:snapToGrid w:val="0"/>
                    <w:ind w:left="-105" w:leftChars="-50" w:right="-105" w:rightChars="-50"/>
                    <w:rPr>
                      <w:color w:val="auto"/>
                      <w:szCs w:val="21"/>
                    </w:rPr>
                  </w:pPr>
                  <w:r>
                    <w:rPr>
                      <w:color w:val="auto"/>
                      <w:szCs w:val="21"/>
                    </w:rPr>
                    <w:t>现有危废库30m</w:t>
                  </w:r>
                  <w:r>
                    <w:rPr>
                      <w:color w:val="auto"/>
                      <w:szCs w:val="21"/>
                      <w:vertAlign w:val="superscript"/>
                    </w:rPr>
                    <w:t>2</w:t>
                  </w:r>
                </w:p>
              </w:tc>
              <w:tc>
                <w:tcPr>
                  <w:tcW w:w="1708" w:type="pct"/>
                  <w:tcBorders>
                    <w:top w:val="single" w:color="auto" w:sz="4" w:space="0"/>
                    <w:left w:val="single" w:color="auto" w:sz="4" w:space="0"/>
                    <w:bottom w:val="single" w:color="auto" w:sz="4" w:space="0"/>
                    <w:right w:val="single" w:color="auto" w:sz="4" w:space="0"/>
                  </w:tcBorders>
                  <w:vAlign w:val="center"/>
                </w:tcPr>
                <w:p>
                  <w:pPr>
                    <w:adjustRightInd w:val="0"/>
                    <w:snapToGrid w:val="0"/>
                    <w:ind w:left="-105" w:leftChars="-50" w:right="-105" w:rightChars="-50"/>
                    <w:rPr>
                      <w:b/>
                      <w:color w:val="auto"/>
                      <w:szCs w:val="21"/>
                    </w:rPr>
                  </w:pPr>
                  <w:r>
                    <w:rPr>
                      <w:color w:val="auto"/>
                      <w:szCs w:val="21"/>
                    </w:rPr>
                    <w:t>依托现有</w:t>
                  </w:r>
                  <w:r>
                    <w:rPr>
                      <w:rFonts w:hint="eastAsia"/>
                      <w:color w:val="auto"/>
                      <w:szCs w:val="21"/>
                    </w:rPr>
                    <w:t>库房储存，新建废气处理设施。负压收集+一级活性炭处理+15m高排气筒P3排放。</w:t>
                  </w:r>
                </w:p>
              </w:tc>
              <w:tc>
                <w:tcPr>
                  <w:tcW w:w="593" w:type="pct"/>
                  <w:tcBorders>
                    <w:top w:val="single" w:color="auto" w:sz="4" w:space="0"/>
                    <w:left w:val="single" w:color="auto" w:sz="4" w:space="0"/>
                    <w:bottom w:val="single" w:color="auto" w:sz="4" w:space="0"/>
                    <w:right w:val="single" w:color="auto" w:sz="4" w:space="0"/>
                  </w:tcBorders>
                  <w:vAlign w:val="center"/>
                </w:tcPr>
                <w:p>
                  <w:pPr>
                    <w:adjustRightInd w:val="0"/>
                    <w:snapToGrid w:val="0"/>
                    <w:ind w:left="-105" w:leftChars="-50" w:right="-105" w:rightChars="-50"/>
                    <w:jc w:val="center"/>
                    <w:rPr>
                      <w:color w:val="auto"/>
                      <w:szCs w:val="21"/>
                    </w:rPr>
                  </w:pPr>
                  <w:r>
                    <w:rPr>
                      <w:rFonts w:hint="eastAsia"/>
                      <w:color w:val="auto"/>
                      <w:szCs w:val="21"/>
                    </w:rPr>
                    <w:t>新建废气处理设施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48" w:type="pct"/>
                  <w:vMerge w:val="continue"/>
                  <w:tcBorders>
                    <w:top w:val="nil"/>
                    <w:left w:val="single" w:color="auto" w:sz="4" w:space="0"/>
                    <w:bottom w:val="single" w:color="auto" w:sz="4" w:space="0"/>
                    <w:right w:val="single" w:color="auto" w:sz="4" w:space="0"/>
                  </w:tcBorders>
                  <w:vAlign w:val="center"/>
                </w:tcPr>
                <w:p>
                  <w:pPr>
                    <w:widowControl/>
                    <w:ind w:left="-105" w:leftChars="-50" w:right="-105" w:rightChars="-50"/>
                    <w:jc w:val="center"/>
                    <w:rPr>
                      <w:color w:val="auto"/>
                      <w:szCs w:val="21"/>
                    </w:rPr>
                  </w:pPr>
                </w:p>
              </w:tc>
              <w:tc>
                <w:tcPr>
                  <w:tcW w:w="268" w:type="pct"/>
                  <w:vMerge w:val="continue"/>
                  <w:tcBorders>
                    <w:top w:val="nil"/>
                    <w:left w:val="single" w:color="auto" w:sz="4" w:space="0"/>
                    <w:bottom w:val="single" w:color="auto" w:sz="4" w:space="0"/>
                    <w:right w:val="single" w:color="auto" w:sz="4" w:space="0"/>
                  </w:tcBorders>
                  <w:vAlign w:val="center"/>
                </w:tcPr>
                <w:p>
                  <w:pPr>
                    <w:widowControl/>
                    <w:ind w:left="-105" w:leftChars="-50" w:right="-105" w:rightChars="-50"/>
                    <w:jc w:val="center"/>
                    <w:rPr>
                      <w:color w:val="auto"/>
                      <w:szCs w:val="21"/>
                    </w:rPr>
                  </w:pPr>
                </w:p>
              </w:tc>
              <w:tc>
                <w:tcPr>
                  <w:tcW w:w="373" w:type="pct"/>
                  <w:tcBorders>
                    <w:top w:val="single" w:color="auto" w:sz="4" w:space="0"/>
                    <w:left w:val="single" w:color="auto" w:sz="4" w:space="0"/>
                    <w:bottom w:val="single" w:color="auto" w:sz="4" w:space="0"/>
                    <w:right w:val="single" w:color="auto" w:sz="4" w:space="0"/>
                  </w:tcBorders>
                  <w:vAlign w:val="center"/>
                </w:tcPr>
                <w:p>
                  <w:pPr>
                    <w:adjustRightInd w:val="0"/>
                    <w:snapToGrid w:val="0"/>
                    <w:ind w:left="-105" w:leftChars="-50" w:right="-105" w:rightChars="-50"/>
                    <w:jc w:val="center"/>
                    <w:rPr>
                      <w:color w:val="auto"/>
                      <w:szCs w:val="21"/>
                    </w:rPr>
                  </w:pPr>
                  <w:r>
                    <w:rPr>
                      <w:color w:val="auto"/>
                      <w:szCs w:val="21"/>
                    </w:rPr>
                    <w:t>一般工业固</w:t>
                  </w:r>
                  <w:r>
                    <w:rPr>
                      <w:rFonts w:hint="eastAsia"/>
                      <w:color w:val="auto"/>
                      <w:szCs w:val="21"/>
                    </w:rPr>
                    <w:t>废</w:t>
                  </w:r>
                </w:p>
              </w:tc>
              <w:tc>
                <w:tcPr>
                  <w:tcW w:w="1708" w:type="pct"/>
                  <w:tcBorders>
                    <w:top w:val="single" w:color="auto" w:sz="4" w:space="0"/>
                    <w:left w:val="single" w:color="auto" w:sz="4" w:space="0"/>
                    <w:bottom w:val="single" w:color="auto" w:sz="4" w:space="0"/>
                    <w:right w:val="single" w:color="auto" w:sz="4" w:space="0"/>
                  </w:tcBorders>
                  <w:vAlign w:val="center"/>
                </w:tcPr>
                <w:p>
                  <w:pPr>
                    <w:adjustRightInd w:val="0"/>
                    <w:snapToGrid w:val="0"/>
                    <w:ind w:left="-105" w:leftChars="-50" w:right="-105" w:rightChars="-50"/>
                    <w:rPr>
                      <w:color w:val="auto"/>
                      <w:szCs w:val="21"/>
                    </w:rPr>
                  </w:pPr>
                  <w:r>
                    <w:rPr>
                      <w:color w:val="auto"/>
                      <w:szCs w:val="21"/>
                    </w:rPr>
                    <w:t>一般固废堆场2处，堆场面积共20m</w:t>
                  </w:r>
                  <w:r>
                    <w:rPr>
                      <w:color w:val="auto"/>
                      <w:szCs w:val="21"/>
                      <w:vertAlign w:val="superscript"/>
                    </w:rPr>
                    <w:t>2</w:t>
                  </w:r>
                  <w:r>
                    <w:rPr>
                      <w:color w:val="auto"/>
                      <w:szCs w:val="21"/>
                    </w:rPr>
                    <w:t>。</w:t>
                  </w:r>
                </w:p>
              </w:tc>
              <w:tc>
                <w:tcPr>
                  <w:tcW w:w="1708" w:type="pct"/>
                  <w:tcBorders>
                    <w:top w:val="single" w:color="auto" w:sz="4" w:space="0"/>
                    <w:left w:val="single" w:color="auto" w:sz="4" w:space="0"/>
                    <w:bottom w:val="single" w:color="auto" w:sz="4" w:space="0"/>
                    <w:right w:val="single" w:color="auto" w:sz="4" w:space="0"/>
                  </w:tcBorders>
                  <w:vAlign w:val="center"/>
                </w:tcPr>
                <w:p>
                  <w:pPr>
                    <w:adjustRightInd w:val="0"/>
                    <w:snapToGrid w:val="0"/>
                    <w:ind w:left="-105" w:leftChars="-50" w:right="-105" w:rightChars="-50"/>
                    <w:rPr>
                      <w:color w:val="auto"/>
                      <w:szCs w:val="21"/>
                    </w:rPr>
                  </w:pPr>
                  <w:r>
                    <w:rPr>
                      <w:rFonts w:hint="eastAsia"/>
                      <w:color w:val="auto"/>
                      <w:szCs w:val="21"/>
                    </w:rPr>
                    <w:t>--</w:t>
                  </w:r>
                </w:p>
              </w:tc>
              <w:tc>
                <w:tcPr>
                  <w:tcW w:w="593" w:type="pct"/>
                  <w:tcBorders>
                    <w:top w:val="single" w:color="auto" w:sz="4" w:space="0"/>
                    <w:left w:val="single" w:color="auto" w:sz="4" w:space="0"/>
                    <w:bottom w:val="single" w:color="auto" w:sz="4" w:space="0"/>
                    <w:right w:val="single" w:color="auto" w:sz="4" w:space="0"/>
                  </w:tcBorders>
                  <w:vAlign w:val="center"/>
                </w:tcPr>
                <w:p>
                  <w:pPr>
                    <w:adjustRightInd w:val="0"/>
                    <w:snapToGrid w:val="0"/>
                    <w:ind w:left="-105" w:leftChars="-50" w:right="-105" w:rightChars="-50"/>
                    <w:jc w:val="center"/>
                    <w:rPr>
                      <w:color w:val="auto"/>
                      <w:szCs w:val="21"/>
                    </w:rPr>
                  </w:pPr>
                  <w:r>
                    <w:rPr>
                      <w:color w:val="auto"/>
                      <w:szCs w:val="21"/>
                    </w:rPr>
                    <w:t>依托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48" w:type="pct"/>
                  <w:vMerge w:val="continue"/>
                  <w:tcBorders>
                    <w:top w:val="nil"/>
                    <w:left w:val="single" w:color="auto" w:sz="4" w:space="0"/>
                    <w:bottom w:val="single" w:color="auto" w:sz="4" w:space="0"/>
                    <w:right w:val="single" w:color="auto" w:sz="4" w:space="0"/>
                  </w:tcBorders>
                  <w:vAlign w:val="center"/>
                </w:tcPr>
                <w:p>
                  <w:pPr>
                    <w:widowControl/>
                    <w:ind w:left="-105" w:leftChars="-50" w:right="-105" w:rightChars="-50"/>
                    <w:jc w:val="center"/>
                    <w:rPr>
                      <w:color w:val="auto"/>
                      <w:szCs w:val="21"/>
                    </w:rPr>
                  </w:pPr>
                </w:p>
              </w:tc>
              <w:tc>
                <w:tcPr>
                  <w:tcW w:w="641" w:type="pct"/>
                  <w:gridSpan w:val="2"/>
                  <w:tcBorders>
                    <w:top w:val="single" w:color="auto" w:sz="4" w:space="0"/>
                    <w:left w:val="single" w:color="auto" w:sz="4" w:space="0"/>
                    <w:bottom w:val="single" w:color="auto" w:sz="4" w:space="0"/>
                    <w:right w:val="single" w:color="auto" w:sz="4" w:space="0"/>
                  </w:tcBorders>
                  <w:vAlign w:val="center"/>
                </w:tcPr>
                <w:p>
                  <w:pPr>
                    <w:adjustRightInd w:val="0"/>
                    <w:snapToGrid w:val="0"/>
                    <w:ind w:left="-105" w:leftChars="-50" w:right="-105" w:rightChars="-50"/>
                    <w:jc w:val="center"/>
                    <w:rPr>
                      <w:color w:val="auto"/>
                      <w:szCs w:val="21"/>
                    </w:rPr>
                  </w:pPr>
                  <w:r>
                    <w:rPr>
                      <w:color w:val="auto"/>
                      <w:szCs w:val="21"/>
                    </w:rPr>
                    <w:t>噪声</w:t>
                  </w:r>
                </w:p>
              </w:tc>
              <w:tc>
                <w:tcPr>
                  <w:tcW w:w="1708" w:type="pct"/>
                  <w:tcBorders>
                    <w:top w:val="single" w:color="auto" w:sz="4" w:space="0"/>
                    <w:left w:val="single" w:color="auto" w:sz="4" w:space="0"/>
                    <w:bottom w:val="single" w:color="auto" w:sz="4" w:space="0"/>
                    <w:right w:val="single" w:color="auto" w:sz="4" w:space="0"/>
                  </w:tcBorders>
                  <w:vAlign w:val="center"/>
                </w:tcPr>
                <w:p>
                  <w:pPr>
                    <w:adjustRightInd w:val="0"/>
                    <w:snapToGrid w:val="0"/>
                    <w:ind w:left="-105" w:leftChars="-50" w:right="-105" w:rightChars="-50"/>
                    <w:rPr>
                      <w:color w:val="auto"/>
                      <w:szCs w:val="21"/>
                    </w:rPr>
                  </w:pPr>
                  <w:r>
                    <w:rPr>
                      <w:color w:val="auto"/>
                      <w:szCs w:val="21"/>
                    </w:rPr>
                    <w:t>合理布局、减振、隔声等措施。</w:t>
                  </w:r>
                </w:p>
              </w:tc>
              <w:tc>
                <w:tcPr>
                  <w:tcW w:w="1708" w:type="pct"/>
                  <w:tcBorders>
                    <w:top w:val="single" w:color="auto" w:sz="4" w:space="0"/>
                    <w:left w:val="single" w:color="auto" w:sz="4" w:space="0"/>
                    <w:bottom w:val="single" w:color="auto" w:sz="4" w:space="0"/>
                    <w:right w:val="single" w:color="auto" w:sz="4" w:space="0"/>
                  </w:tcBorders>
                  <w:vAlign w:val="center"/>
                </w:tcPr>
                <w:p>
                  <w:pPr>
                    <w:adjustRightInd w:val="0"/>
                    <w:snapToGrid w:val="0"/>
                    <w:ind w:left="-105" w:leftChars="-50" w:right="-105" w:rightChars="-50"/>
                    <w:rPr>
                      <w:color w:val="auto"/>
                      <w:szCs w:val="21"/>
                    </w:rPr>
                  </w:pPr>
                  <w:r>
                    <w:rPr>
                      <w:color w:val="auto"/>
                      <w:szCs w:val="21"/>
                    </w:rPr>
                    <w:t>合理布局、减振、隔声</w:t>
                  </w:r>
                  <w:r>
                    <w:rPr>
                      <w:rFonts w:hint="eastAsia"/>
                      <w:color w:val="auto"/>
                      <w:szCs w:val="21"/>
                    </w:rPr>
                    <w:t>、距离衰减。</w:t>
                  </w:r>
                </w:p>
              </w:tc>
              <w:tc>
                <w:tcPr>
                  <w:tcW w:w="593" w:type="pct"/>
                  <w:tcBorders>
                    <w:top w:val="single" w:color="auto" w:sz="4" w:space="0"/>
                    <w:left w:val="single" w:color="auto" w:sz="4" w:space="0"/>
                    <w:bottom w:val="single" w:color="auto" w:sz="4" w:space="0"/>
                    <w:right w:val="single" w:color="auto" w:sz="4" w:space="0"/>
                  </w:tcBorders>
                  <w:vAlign w:val="center"/>
                </w:tcPr>
                <w:p>
                  <w:pPr>
                    <w:adjustRightInd w:val="0"/>
                    <w:snapToGrid w:val="0"/>
                    <w:ind w:left="-105" w:leftChars="-50" w:right="-105" w:rightChars="-50"/>
                    <w:jc w:val="center"/>
                    <w:rPr>
                      <w:color w:val="auto"/>
                      <w:szCs w:val="21"/>
                    </w:rPr>
                  </w:pPr>
                  <w:r>
                    <w:rPr>
                      <w:rFonts w:hint="eastAsia"/>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48" w:type="pct"/>
                  <w:vMerge w:val="continue"/>
                  <w:tcBorders>
                    <w:top w:val="nil"/>
                    <w:left w:val="single" w:color="auto" w:sz="4" w:space="0"/>
                    <w:bottom w:val="single" w:color="auto" w:sz="4" w:space="0"/>
                    <w:right w:val="single" w:color="auto" w:sz="4" w:space="0"/>
                  </w:tcBorders>
                  <w:vAlign w:val="center"/>
                </w:tcPr>
                <w:p>
                  <w:pPr>
                    <w:widowControl/>
                    <w:ind w:left="-105" w:leftChars="-50" w:right="-105" w:rightChars="-50"/>
                    <w:jc w:val="center"/>
                    <w:rPr>
                      <w:color w:val="auto"/>
                      <w:szCs w:val="21"/>
                    </w:rPr>
                  </w:pPr>
                </w:p>
              </w:tc>
              <w:tc>
                <w:tcPr>
                  <w:tcW w:w="641" w:type="pct"/>
                  <w:gridSpan w:val="2"/>
                  <w:tcBorders>
                    <w:top w:val="single" w:color="auto" w:sz="4" w:space="0"/>
                    <w:left w:val="single" w:color="auto" w:sz="4" w:space="0"/>
                    <w:bottom w:val="single" w:color="auto" w:sz="4" w:space="0"/>
                    <w:right w:val="single" w:color="auto" w:sz="4" w:space="0"/>
                  </w:tcBorders>
                  <w:vAlign w:val="center"/>
                </w:tcPr>
                <w:p>
                  <w:pPr>
                    <w:adjustRightInd w:val="0"/>
                    <w:snapToGrid w:val="0"/>
                    <w:ind w:left="-105" w:leftChars="-50" w:right="-105" w:rightChars="-50"/>
                    <w:jc w:val="center"/>
                    <w:rPr>
                      <w:color w:val="auto"/>
                      <w:szCs w:val="21"/>
                    </w:rPr>
                  </w:pPr>
                  <w:r>
                    <w:rPr>
                      <w:color w:val="auto"/>
                      <w:szCs w:val="21"/>
                    </w:rPr>
                    <w:t>绿化</w:t>
                  </w:r>
                </w:p>
              </w:tc>
              <w:tc>
                <w:tcPr>
                  <w:tcW w:w="1708" w:type="pct"/>
                  <w:tcBorders>
                    <w:top w:val="single" w:color="auto" w:sz="4" w:space="0"/>
                    <w:left w:val="single" w:color="auto" w:sz="4" w:space="0"/>
                    <w:bottom w:val="single" w:color="auto" w:sz="4" w:space="0"/>
                    <w:right w:val="single" w:color="auto" w:sz="4" w:space="0"/>
                  </w:tcBorders>
                  <w:vAlign w:val="center"/>
                </w:tcPr>
                <w:p>
                  <w:pPr>
                    <w:adjustRightInd w:val="0"/>
                    <w:snapToGrid w:val="0"/>
                    <w:ind w:left="-105" w:leftChars="-50" w:right="-105" w:rightChars="-50"/>
                    <w:rPr>
                      <w:color w:val="auto"/>
                      <w:szCs w:val="21"/>
                    </w:rPr>
                  </w:pPr>
                  <w:r>
                    <w:rPr>
                      <w:color w:val="auto"/>
                      <w:szCs w:val="21"/>
                    </w:rPr>
                    <w:t>厂区绿化面积36.8%。绿化面积19172㎡</w:t>
                  </w:r>
                </w:p>
              </w:tc>
              <w:tc>
                <w:tcPr>
                  <w:tcW w:w="1708" w:type="pct"/>
                  <w:tcBorders>
                    <w:top w:val="single" w:color="auto" w:sz="4" w:space="0"/>
                    <w:left w:val="single" w:color="auto" w:sz="4" w:space="0"/>
                    <w:bottom w:val="single" w:color="auto" w:sz="4" w:space="0"/>
                    <w:right w:val="single" w:color="auto" w:sz="4" w:space="0"/>
                  </w:tcBorders>
                  <w:vAlign w:val="center"/>
                </w:tcPr>
                <w:p>
                  <w:pPr>
                    <w:adjustRightInd w:val="0"/>
                    <w:snapToGrid w:val="0"/>
                    <w:ind w:left="-105" w:leftChars="-50" w:right="-105" w:rightChars="-50"/>
                    <w:rPr>
                      <w:color w:val="auto"/>
                      <w:szCs w:val="21"/>
                    </w:rPr>
                  </w:pPr>
                  <w:r>
                    <w:rPr>
                      <w:rFonts w:hint="eastAsia"/>
                      <w:color w:val="auto"/>
                      <w:szCs w:val="21"/>
                    </w:rPr>
                    <w:t>--</w:t>
                  </w:r>
                </w:p>
              </w:tc>
              <w:tc>
                <w:tcPr>
                  <w:tcW w:w="593" w:type="pct"/>
                  <w:tcBorders>
                    <w:top w:val="single" w:color="auto" w:sz="4" w:space="0"/>
                    <w:left w:val="single" w:color="auto" w:sz="4" w:space="0"/>
                    <w:bottom w:val="single" w:color="auto" w:sz="4" w:space="0"/>
                    <w:right w:val="single" w:color="auto" w:sz="4" w:space="0"/>
                  </w:tcBorders>
                  <w:vAlign w:val="center"/>
                </w:tcPr>
                <w:p>
                  <w:pPr>
                    <w:adjustRightInd w:val="0"/>
                    <w:snapToGrid w:val="0"/>
                    <w:ind w:left="-105" w:leftChars="-50" w:right="-105" w:rightChars="-50"/>
                    <w:jc w:val="center"/>
                    <w:rPr>
                      <w:color w:val="auto"/>
                      <w:szCs w:val="21"/>
                    </w:rPr>
                  </w:pPr>
                  <w:r>
                    <w:rPr>
                      <w:color w:val="auto"/>
                      <w:szCs w:val="21"/>
                    </w:rPr>
                    <w:t>依托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48" w:type="pct"/>
                  <w:vMerge w:val="continue"/>
                  <w:tcBorders>
                    <w:top w:val="nil"/>
                    <w:left w:val="single" w:color="auto" w:sz="4" w:space="0"/>
                    <w:bottom w:val="nil"/>
                    <w:right w:val="single" w:color="auto" w:sz="4" w:space="0"/>
                  </w:tcBorders>
                  <w:vAlign w:val="center"/>
                </w:tcPr>
                <w:p>
                  <w:pPr>
                    <w:widowControl/>
                    <w:ind w:left="-105" w:leftChars="-50" w:right="-105" w:rightChars="-50"/>
                    <w:jc w:val="center"/>
                    <w:rPr>
                      <w:color w:val="auto"/>
                      <w:szCs w:val="21"/>
                    </w:rPr>
                  </w:pPr>
                </w:p>
              </w:tc>
              <w:tc>
                <w:tcPr>
                  <w:tcW w:w="641" w:type="pct"/>
                  <w:gridSpan w:val="2"/>
                  <w:tcBorders>
                    <w:top w:val="single" w:color="auto" w:sz="4" w:space="0"/>
                    <w:left w:val="single" w:color="auto" w:sz="4" w:space="0"/>
                    <w:bottom w:val="single" w:color="auto" w:sz="4" w:space="0"/>
                    <w:right w:val="single" w:color="auto" w:sz="4" w:space="0"/>
                  </w:tcBorders>
                  <w:vAlign w:val="center"/>
                </w:tcPr>
                <w:p>
                  <w:pPr>
                    <w:adjustRightInd w:val="0"/>
                    <w:snapToGrid w:val="0"/>
                    <w:ind w:left="-105" w:leftChars="-50" w:right="-105" w:rightChars="-50"/>
                    <w:jc w:val="center"/>
                    <w:rPr>
                      <w:color w:val="auto"/>
                      <w:szCs w:val="21"/>
                    </w:rPr>
                  </w:pPr>
                  <w:r>
                    <w:rPr>
                      <w:color w:val="auto"/>
                      <w:szCs w:val="21"/>
                    </w:rPr>
                    <w:t>地防渗</w:t>
                  </w:r>
                </w:p>
              </w:tc>
              <w:tc>
                <w:tcPr>
                  <w:tcW w:w="1708" w:type="pct"/>
                  <w:tcBorders>
                    <w:top w:val="single" w:color="auto" w:sz="4" w:space="0"/>
                    <w:left w:val="single" w:color="auto" w:sz="4" w:space="0"/>
                    <w:bottom w:val="single" w:color="auto" w:sz="4" w:space="0"/>
                    <w:right w:val="single" w:color="auto" w:sz="4" w:space="0"/>
                  </w:tcBorders>
                  <w:vAlign w:val="center"/>
                </w:tcPr>
                <w:p>
                  <w:pPr>
                    <w:adjustRightInd w:val="0"/>
                    <w:snapToGrid w:val="0"/>
                    <w:ind w:left="-105" w:leftChars="-50" w:right="-105" w:rightChars="-50"/>
                    <w:rPr>
                      <w:color w:val="auto"/>
                      <w:szCs w:val="21"/>
                    </w:rPr>
                  </w:pPr>
                  <w:r>
                    <w:rPr>
                      <w:color w:val="auto"/>
                      <w:szCs w:val="21"/>
                    </w:rPr>
                    <w:t>现有项目危化品库、危废库、污水处理站为重点防渗区，厂房为一般防渗区，防渗区地面按照要求做防渗层并满足相关渗透系数要求。</w:t>
                  </w:r>
                </w:p>
              </w:tc>
              <w:tc>
                <w:tcPr>
                  <w:tcW w:w="1708" w:type="pct"/>
                  <w:tcBorders>
                    <w:top w:val="single" w:color="auto" w:sz="4" w:space="0"/>
                    <w:left w:val="single" w:color="auto" w:sz="4" w:space="0"/>
                    <w:bottom w:val="single" w:color="auto" w:sz="4" w:space="0"/>
                    <w:right w:val="single" w:color="auto" w:sz="4" w:space="0"/>
                  </w:tcBorders>
                  <w:vAlign w:val="center"/>
                </w:tcPr>
                <w:p>
                  <w:pPr>
                    <w:adjustRightInd w:val="0"/>
                    <w:snapToGrid w:val="0"/>
                    <w:ind w:left="-105" w:leftChars="-50" w:right="-105" w:rightChars="-50"/>
                    <w:rPr>
                      <w:color w:val="auto"/>
                      <w:szCs w:val="21"/>
                    </w:rPr>
                  </w:pPr>
                </w:p>
              </w:tc>
              <w:tc>
                <w:tcPr>
                  <w:tcW w:w="593" w:type="pct"/>
                  <w:tcBorders>
                    <w:top w:val="single" w:color="auto" w:sz="4" w:space="0"/>
                    <w:left w:val="single" w:color="auto" w:sz="4" w:space="0"/>
                    <w:bottom w:val="single" w:color="auto" w:sz="4" w:space="0"/>
                    <w:right w:val="single" w:color="auto" w:sz="4" w:space="0"/>
                  </w:tcBorders>
                  <w:vAlign w:val="center"/>
                </w:tcPr>
                <w:p>
                  <w:pPr>
                    <w:adjustRightInd w:val="0"/>
                    <w:snapToGrid w:val="0"/>
                    <w:ind w:left="-105" w:leftChars="-50" w:right="-105" w:rightChars="-50"/>
                    <w:jc w:val="center"/>
                    <w:rPr>
                      <w:color w:val="auto"/>
                      <w:szCs w:val="21"/>
                    </w:rPr>
                  </w:pPr>
                  <w:r>
                    <w:rPr>
                      <w:color w:val="auto"/>
                      <w:szCs w:val="21"/>
                    </w:rPr>
                    <w:t>依托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48" w:type="pct"/>
                  <w:vMerge w:val="continue"/>
                  <w:tcBorders>
                    <w:left w:val="single" w:color="auto" w:sz="4" w:space="0"/>
                    <w:bottom w:val="single" w:color="auto" w:sz="4" w:space="0"/>
                    <w:right w:val="single" w:color="auto" w:sz="4" w:space="0"/>
                  </w:tcBorders>
                  <w:vAlign w:val="center"/>
                </w:tcPr>
                <w:p>
                  <w:pPr>
                    <w:widowControl/>
                    <w:ind w:left="-105" w:leftChars="-50" w:right="-105" w:rightChars="-50"/>
                    <w:jc w:val="center"/>
                    <w:rPr>
                      <w:color w:val="auto"/>
                      <w:szCs w:val="21"/>
                    </w:rPr>
                  </w:pPr>
                </w:p>
              </w:tc>
              <w:tc>
                <w:tcPr>
                  <w:tcW w:w="641" w:type="pct"/>
                  <w:gridSpan w:val="2"/>
                  <w:tcBorders>
                    <w:top w:val="single" w:color="auto" w:sz="4" w:space="0"/>
                    <w:left w:val="single" w:color="auto" w:sz="4" w:space="0"/>
                    <w:bottom w:val="single" w:color="auto" w:sz="4" w:space="0"/>
                    <w:right w:val="single" w:color="auto" w:sz="4" w:space="0"/>
                  </w:tcBorders>
                  <w:vAlign w:val="center"/>
                </w:tcPr>
                <w:p>
                  <w:pPr>
                    <w:adjustRightInd w:val="0"/>
                    <w:snapToGrid w:val="0"/>
                    <w:ind w:left="-105" w:leftChars="-50" w:right="-105" w:rightChars="-50"/>
                    <w:jc w:val="center"/>
                    <w:rPr>
                      <w:color w:val="auto"/>
                      <w:szCs w:val="21"/>
                    </w:rPr>
                  </w:pPr>
                  <w:r>
                    <w:rPr>
                      <w:color w:val="auto"/>
                      <w:szCs w:val="21"/>
                    </w:rPr>
                    <w:t>环境风险</w:t>
                  </w:r>
                </w:p>
              </w:tc>
              <w:tc>
                <w:tcPr>
                  <w:tcW w:w="1708" w:type="pct"/>
                  <w:tcBorders>
                    <w:top w:val="single" w:color="auto" w:sz="4" w:space="0"/>
                    <w:left w:val="single" w:color="auto" w:sz="4" w:space="0"/>
                    <w:bottom w:val="single" w:color="auto" w:sz="4" w:space="0"/>
                    <w:right w:val="single" w:color="auto" w:sz="4" w:space="0"/>
                  </w:tcBorders>
                  <w:vAlign w:val="center"/>
                </w:tcPr>
                <w:p>
                  <w:pPr>
                    <w:adjustRightInd w:val="0"/>
                    <w:snapToGrid w:val="0"/>
                    <w:ind w:left="-105" w:leftChars="-50" w:right="-105" w:rightChars="-50"/>
                    <w:rPr>
                      <w:color w:val="auto"/>
                      <w:szCs w:val="21"/>
                    </w:rPr>
                  </w:pPr>
                  <w:r>
                    <w:rPr>
                      <w:color w:val="auto"/>
                      <w:szCs w:val="21"/>
                    </w:rPr>
                    <w:t>消防设施、应急物质</w:t>
                  </w:r>
                </w:p>
              </w:tc>
              <w:tc>
                <w:tcPr>
                  <w:tcW w:w="1708" w:type="pct"/>
                  <w:tcBorders>
                    <w:top w:val="single" w:color="auto" w:sz="4" w:space="0"/>
                    <w:left w:val="single" w:color="auto" w:sz="4" w:space="0"/>
                    <w:bottom w:val="single" w:color="auto" w:sz="4" w:space="0"/>
                    <w:right w:val="single" w:color="auto" w:sz="4" w:space="0"/>
                  </w:tcBorders>
                  <w:vAlign w:val="center"/>
                </w:tcPr>
                <w:p>
                  <w:pPr>
                    <w:adjustRightInd w:val="0"/>
                    <w:snapToGrid w:val="0"/>
                    <w:ind w:left="-105" w:leftChars="-50" w:right="-105" w:rightChars="-50"/>
                    <w:rPr>
                      <w:color w:val="auto"/>
                      <w:szCs w:val="21"/>
                    </w:rPr>
                  </w:pPr>
                  <w:r>
                    <w:rPr>
                      <w:color w:val="auto"/>
                      <w:szCs w:val="21"/>
                    </w:rPr>
                    <w:t>新建事故池</w:t>
                  </w:r>
                  <w:r>
                    <w:rPr>
                      <w:rFonts w:hint="eastAsia"/>
                      <w:color w:val="auto"/>
                      <w:szCs w:val="21"/>
                    </w:rPr>
                    <w:t>800</w:t>
                  </w:r>
                  <w:r>
                    <w:rPr>
                      <w:color w:val="auto"/>
                      <w:szCs w:val="21"/>
                    </w:rPr>
                    <w:t>m</w:t>
                  </w:r>
                  <w:r>
                    <w:rPr>
                      <w:color w:val="auto"/>
                      <w:szCs w:val="21"/>
                      <w:vertAlign w:val="superscript"/>
                    </w:rPr>
                    <w:t>3</w:t>
                  </w:r>
                  <w:r>
                    <w:rPr>
                      <w:color w:val="auto"/>
                      <w:szCs w:val="21"/>
                    </w:rPr>
                    <w:t>，完善消防设施、补充应急物质。</w:t>
                  </w:r>
                </w:p>
              </w:tc>
              <w:tc>
                <w:tcPr>
                  <w:tcW w:w="593" w:type="pct"/>
                  <w:tcBorders>
                    <w:top w:val="single" w:color="auto" w:sz="4" w:space="0"/>
                    <w:left w:val="single" w:color="auto" w:sz="4" w:space="0"/>
                    <w:bottom w:val="single" w:color="auto" w:sz="4" w:space="0"/>
                    <w:right w:val="single" w:color="auto" w:sz="4" w:space="0"/>
                  </w:tcBorders>
                  <w:vAlign w:val="center"/>
                </w:tcPr>
                <w:p>
                  <w:pPr>
                    <w:adjustRightInd w:val="0"/>
                    <w:snapToGrid w:val="0"/>
                    <w:ind w:left="-105" w:leftChars="-50" w:right="-105" w:rightChars="-50"/>
                    <w:jc w:val="center"/>
                    <w:rPr>
                      <w:color w:val="auto"/>
                      <w:szCs w:val="21"/>
                    </w:rPr>
                  </w:pPr>
                  <w:r>
                    <w:rPr>
                      <w:rFonts w:hint="eastAsia"/>
                      <w:color w:val="auto"/>
                      <w:szCs w:val="21"/>
                    </w:rPr>
                    <w:t>新建</w:t>
                  </w:r>
                </w:p>
              </w:tc>
            </w:tr>
          </w:tbl>
          <w:p>
            <w:pPr>
              <w:tabs>
                <w:tab w:val="left" w:pos="3556"/>
              </w:tabs>
              <w:spacing w:beforeLines="50" w:line="360" w:lineRule="auto"/>
              <w:ind w:firstLine="482" w:firstLineChars="200"/>
              <w:rPr>
                <w:b/>
                <w:bCs/>
                <w:color w:val="auto"/>
                <w:sz w:val="24"/>
                <w:shd w:val="clear" w:color="auto" w:fill="FFFFFF"/>
              </w:rPr>
            </w:pPr>
            <w:r>
              <w:rPr>
                <w:b/>
                <w:bCs/>
                <w:color w:val="auto"/>
                <w:sz w:val="24"/>
                <w:shd w:val="clear" w:color="auto" w:fill="FFFFFF"/>
              </w:rPr>
              <w:t>4、产品方案</w:t>
            </w:r>
          </w:p>
          <w:p>
            <w:pPr>
              <w:tabs>
                <w:tab w:val="left" w:pos="3556"/>
              </w:tabs>
              <w:spacing w:line="360" w:lineRule="auto"/>
              <w:ind w:firstLine="480" w:firstLineChars="200"/>
              <w:rPr>
                <w:bCs/>
                <w:color w:val="auto"/>
                <w:sz w:val="24"/>
                <w:shd w:val="clear" w:color="auto" w:fill="FFFFFF"/>
              </w:rPr>
            </w:pPr>
            <w:r>
              <w:rPr>
                <w:bCs/>
                <w:color w:val="auto"/>
                <w:sz w:val="24"/>
                <w:shd w:val="clear" w:color="auto" w:fill="FFFFFF"/>
              </w:rPr>
              <w:t>产品方案见表2-2</w:t>
            </w:r>
          </w:p>
          <w:p>
            <w:pPr>
              <w:tabs>
                <w:tab w:val="left" w:pos="3556"/>
              </w:tabs>
              <w:spacing w:beforeLines="50" w:line="360" w:lineRule="auto"/>
              <w:jc w:val="center"/>
              <w:rPr>
                <w:b/>
                <w:bCs/>
                <w:color w:val="auto"/>
                <w:sz w:val="24"/>
                <w:shd w:val="clear" w:color="auto" w:fill="FFFFFF"/>
              </w:rPr>
            </w:pPr>
            <w:r>
              <w:rPr>
                <w:b/>
                <w:bCs/>
                <w:color w:val="auto"/>
                <w:sz w:val="24"/>
                <w:shd w:val="clear" w:color="auto" w:fill="FFFFFF"/>
              </w:rPr>
              <w:t>表2-2  产品方案表</w:t>
            </w:r>
          </w:p>
          <w:tbl>
            <w:tblPr>
              <w:tblStyle w:val="34"/>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48"/>
              <w:gridCol w:w="960"/>
              <w:gridCol w:w="1401"/>
              <w:gridCol w:w="1401"/>
              <w:gridCol w:w="14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0" w:type="pct"/>
                  <w:vAlign w:val="center"/>
                </w:tcPr>
                <w:p>
                  <w:pPr>
                    <w:jc w:val="center"/>
                    <w:rPr>
                      <w:color w:val="auto"/>
                    </w:rPr>
                  </w:pPr>
                  <w:r>
                    <w:rPr>
                      <w:color w:val="auto"/>
                    </w:rPr>
                    <w:t>产品名称</w:t>
                  </w:r>
                </w:p>
              </w:tc>
              <w:tc>
                <w:tcPr>
                  <w:tcW w:w="557" w:type="pct"/>
                  <w:vAlign w:val="center"/>
                </w:tcPr>
                <w:p>
                  <w:pPr>
                    <w:jc w:val="center"/>
                    <w:rPr>
                      <w:color w:val="auto"/>
                    </w:rPr>
                  </w:pPr>
                  <w:r>
                    <w:rPr>
                      <w:color w:val="auto"/>
                    </w:rPr>
                    <w:t>型号</w:t>
                  </w:r>
                </w:p>
              </w:tc>
              <w:tc>
                <w:tcPr>
                  <w:tcW w:w="813" w:type="pct"/>
                  <w:vAlign w:val="center"/>
                </w:tcPr>
                <w:p>
                  <w:pPr>
                    <w:jc w:val="center"/>
                    <w:rPr>
                      <w:color w:val="auto"/>
                    </w:rPr>
                  </w:pPr>
                  <w:r>
                    <w:rPr>
                      <w:rFonts w:hint="eastAsia"/>
                      <w:color w:val="auto"/>
                    </w:rPr>
                    <w:t>改造前产量</w:t>
                  </w:r>
                  <w:r>
                    <w:rPr>
                      <w:color w:val="auto"/>
                    </w:rPr>
                    <w:t>（只）</w:t>
                  </w:r>
                </w:p>
              </w:tc>
              <w:tc>
                <w:tcPr>
                  <w:tcW w:w="813" w:type="pct"/>
                  <w:vAlign w:val="center"/>
                </w:tcPr>
                <w:p>
                  <w:pPr>
                    <w:jc w:val="center"/>
                    <w:rPr>
                      <w:color w:val="auto"/>
                    </w:rPr>
                  </w:pPr>
                  <w:r>
                    <w:rPr>
                      <w:rFonts w:hint="eastAsia"/>
                      <w:color w:val="auto"/>
                    </w:rPr>
                    <w:t>本项目</w:t>
                  </w:r>
                  <w:r>
                    <w:rPr>
                      <w:color w:val="auto"/>
                    </w:rPr>
                    <w:t>产量（只）</w:t>
                  </w:r>
                </w:p>
              </w:tc>
              <w:tc>
                <w:tcPr>
                  <w:tcW w:w="814" w:type="pct"/>
                  <w:vAlign w:val="center"/>
                </w:tcPr>
                <w:p>
                  <w:pPr>
                    <w:jc w:val="center"/>
                    <w:rPr>
                      <w:color w:val="auto"/>
                    </w:rPr>
                  </w:pPr>
                  <w:r>
                    <w:rPr>
                      <w:rFonts w:hint="eastAsia"/>
                      <w:color w:val="auto"/>
                    </w:rPr>
                    <w:t>改造后全厂</w:t>
                  </w:r>
                  <w:r>
                    <w:rPr>
                      <w:color w:val="auto"/>
                    </w:rPr>
                    <w:t>（只）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0" w:type="pct"/>
                  <w:vAlign w:val="center"/>
                </w:tcPr>
                <w:p>
                  <w:pPr>
                    <w:jc w:val="center"/>
                    <w:rPr>
                      <w:color w:val="auto"/>
                    </w:rPr>
                  </w:pPr>
                </w:p>
              </w:tc>
              <w:tc>
                <w:tcPr>
                  <w:tcW w:w="557" w:type="pct"/>
                  <w:vAlign w:val="center"/>
                </w:tcPr>
                <w:p>
                  <w:pPr>
                    <w:jc w:val="center"/>
                    <w:rPr>
                      <w:color w:val="auto"/>
                    </w:rPr>
                  </w:pPr>
                </w:p>
              </w:tc>
              <w:tc>
                <w:tcPr>
                  <w:tcW w:w="813" w:type="pct"/>
                  <w:vAlign w:val="center"/>
                </w:tcPr>
                <w:p>
                  <w:pPr>
                    <w:jc w:val="center"/>
                    <w:rPr>
                      <w:color w:val="auto"/>
                    </w:rPr>
                  </w:pPr>
                </w:p>
              </w:tc>
              <w:tc>
                <w:tcPr>
                  <w:tcW w:w="813" w:type="pct"/>
                  <w:vAlign w:val="center"/>
                </w:tcPr>
                <w:p>
                  <w:pPr>
                    <w:jc w:val="center"/>
                    <w:rPr>
                      <w:color w:val="auto"/>
                    </w:rPr>
                  </w:pPr>
                </w:p>
              </w:tc>
              <w:tc>
                <w:tcPr>
                  <w:tcW w:w="1404" w:type="dxa"/>
                  <w:vAlign w:val="center"/>
                </w:tcPr>
                <w:p>
                  <w:pPr>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0" w:type="pct"/>
                  <w:vAlign w:val="center"/>
                </w:tcPr>
                <w:p>
                  <w:pPr>
                    <w:jc w:val="center"/>
                    <w:rPr>
                      <w:color w:val="auto"/>
                    </w:rPr>
                  </w:pPr>
                </w:p>
              </w:tc>
              <w:tc>
                <w:tcPr>
                  <w:tcW w:w="557" w:type="pct"/>
                  <w:vAlign w:val="center"/>
                </w:tcPr>
                <w:p>
                  <w:pPr>
                    <w:jc w:val="center"/>
                    <w:rPr>
                      <w:color w:val="auto"/>
                    </w:rPr>
                  </w:pPr>
                </w:p>
              </w:tc>
              <w:tc>
                <w:tcPr>
                  <w:tcW w:w="813" w:type="pct"/>
                  <w:vAlign w:val="center"/>
                </w:tcPr>
                <w:p>
                  <w:pPr>
                    <w:jc w:val="center"/>
                    <w:rPr>
                      <w:color w:val="auto"/>
                    </w:rPr>
                  </w:pPr>
                </w:p>
              </w:tc>
              <w:tc>
                <w:tcPr>
                  <w:tcW w:w="813" w:type="pct"/>
                  <w:vAlign w:val="center"/>
                </w:tcPr>
                <w:p>
                  <w:pPr>
                    <w:jc w:val="center"/>
                    <w:rPr>
                      <w:color w:val="auto"/>
                    </w:rPr>
                  </w:pPr>
                </w:p>
              </w:tc>
              <w:tc>
                <w:tcPr>
                  <w:tcW w:w="1404" w:type="dxa"/>
                  <w:vAlign w:val="center"/>
                </w:tcPr>
                <w:p>
                  <w:pPr>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0" w:type="pct"/>
                  <w:vAlign w:val="center"/>
                </w:tcPr>
                <w:p>
                  <w:pPr>
                    <w:jc w:val="center"/>
                    <w:rPr>
                      <w:color w:val="auto"/>
                      <w:szCs w:val="21"/>
                    </w:rPr>
                  </w:pPr>
                </w:p>
              </w:tc>
              <w:tc>
                <w:tcPr>
                  <w:tcW w:w="557" w:type="pct"/>
                  <w:vAlign w:val="center"/>
                </w:tcPr>
                <w:p>
                  <w:pPr>
                    <w:jc w:val="center"/>
                    <w:rPr>
                      <w:color w:val="auto"/>
                    </w:rPr>
                  </w:pPr>
                </w:p>
              </w:tc>
              <w:tc>
                <w:tcPr>
                  <w:tcW w:w="813" w:type="pct"/>
                  <w:vAlign w:val="center"/>
                </w:tcPr>
                <w:p>
                  <w:pPr>
                    <w:jc w:val="center"/>
                    <w:rPr>
                      <w:color w:val="auto"/>
                    </w:rPr>
                  </w:pPr>
                </w:p>
              </w:tc>
              <w:tc>
                <w:tcPr>
                  <w:tcW w:w="813" w:type="pct"/>
                  <w:vAlign w:val="center"/>
                </w:tcPr>
                <w:p>
                  <w:pPr>
                    <w:jc w:val="center"/>
                    <w:rPr>
                      <w:color w:val="auto"/>
                    </w:rPr>
                  </w:pPr>
                </w:p>
              </w:tc>
              <w:tc>
                <w:tcPr>
                  <w:tcW w:w="1404" w:type="dxa"/>
                  <w:vAlign w:val="center"/>
                </w:tcPr>
                <w:p>
                  <w:pPr>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0" w:type="pct"/>
                  <w:vAlign w:val="center"/>
                </w:tcPr>
                <w:p>
                  <w:pPr>
                    <w:jc w:val="center"/>
                    <w:rPr>
                      <w:color w:val="auto"/>
                    </w:rPr>
                  </w:pPr>
                </w:p>
              </w:tc>
              <w:tc>
                <w:tcPr>
                  <w:tcW w:w="557" w:type="pct"/>
                  <w:vAlign w:val="center"/>
                </w:tcPr>
                <w:p>
                  <w:pPr>
                    <w:jc w:val="center"/>
                    <w:rPr>
                      <w:color w:val="auto"/>
                    </w:rPr>
                  </w:pPr>
                </w:p>
              </w:tc>
              <w:tc>
                <w:tcPr>
                  <w:tcW w:w="1401" w:type="dxa"/>
                  <w:vAlign w:val="center"/>
                </w:tcPr>
                <w:p>
                  <w:pPr>
                    <w:jc w:val="center"/>
                    <w:rPr>
                      <w:color w:val="auto"/>
                    </w:rPr>
                  </w:pPr>
                </w:p>
              </w:tc>
              <w:tc>
                <w:tcPr>
                  <w:tcW w:w="813" w:type="pct"/>
                  <w:vAlign w:val="center"/>
                </w:tcPr>
                <w:p>
                  <w:pPr>
                    <w:jc w:val="center"/>
                    <w:rPr>
                      <w:color w:val="auto"/>
                    </w:rPr>
                  </w:pPr>
                </w:p>
              </w:tc>
              <w:tc>
                <w:tcPr>
                  <w:tcW w:w="1404" w:type="dxa"/>
                  <w:vAlign w:val="center"/>
                </w:tcPr>
                <w:p>
                  <w:pPr>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0" w:type="pct"/>
                  <w:vAlign w:val="center"/>
                </w:tcPr>
                <w:p>
                  <w:pPr>
                    <w:jc w:val="center"/>
                    <w:rPr>
                      <w:color w:val="auto"/>
                    </w:rPr>
                  </w:pPr>
                </w:p>
              </w:tc>
              <w:tc>
                <w:tcPr>
                  <w:tcW w:w="557" w:type="pct"/>
                  <w:vAlign w:val="center"/>
                </w:tcPr>
                <w:p>
                  <w:pPr>
                    <w:jc w:val="center"/>
                    <w:rPr>
                      <w:color w:val="auto"/>
                    </w:rPr>
                  </w:pPr>
                </w:p>
              </w:tc>
              <w:tc>
                <w:tcPr>
                  <w:tcW w:w="1401" w:type="dxa"/>
                  <w:vAlign w:val="center"/>
                </w:tcPr>
                <w:p>
                  <w:pPr>
                    <w:jc w:val="center"/>
                    <w:rPr>
                      <w:color w:val="auto"/>
                    </w:rPr>
                  </w:pPr>
                </w:p>
              </w:tc>
              <w:tc>
                <w:tcPr>
                  <w:tcW w:w="813" w:type="pct"/>
                  <w:vAlign w:val="center"/>
                </w:tcPr>
                <w:p>
                  <w:pPr>
                    <w:jc w:val="center"/>
                    <w:rPr>
                      <w:color w:val="auto"/>
                    </w:rPr>
                  </w:pPr>
                </w:p>
              </w:tc>
              <w:tc>
                <w:tcPr>
                  <w:tcW w:w="1404" w:type="dxa"/>
                  <w:vAlign w:val="center"/>
                </w:tcPr>
                <w:p>
                  <w:pPr>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trPr>
              <w:tc>
                <w:tcPr>
                  <w:tcW w:w="2000" w:type="pct"/>
                  <w:vAlign w:val="center"/>
                </w:tcPr>
                <w:p>
                  <w:pPr>
                    <w:jc w:val="center"/>
                    <w:rPr>
                      <w:color w:val="auto"/>
                    </w:rPr>
                  </w:pPr>
                </w:p>
              </w:tc>
              <w:tc>
                <w:tcPr>
                  <w:tcW w:w="557" w:type="pct"/>
                  <w:vAlign w:val="center"/>
                </w:tcPr>
                <w:p>
                  <w:pPr>
                    <w:jc w:val="center"/>
                    <w:rPr>
                      <w:color w:val="auto"/>
                    </w:rPr>
                  </w:pPr>
                </w:p>
              </w:tc>
              <w:tc>
                <w:tcPr>
                  <w:tcW w:w="1401" w:type="dxa"/>
                  <w:vAlign w:val="center"/>
                </w:tcPr>
                <w:p>
                  <w:pPr>
                    <w:jc w:val="center"/>
                    <w:rPr>
                      <w:color w:val="auto"/>
                    </w:rPr>
                  </w:pPr>
                </w:p>
              </w:tc>
              <w:tc>
                <w:tcPr>
                  <w:tcW w:w="813" w:type="pct"/>
                  <w:vAlign w:val="center"/>
                </w:tcPr>
                <w:p>
                  <w:pPr>
                    <w:jc w:val="center"/>
                    <w:rPr>
                      <w:color w:val="auto"/>
                    </w:rPr>
                  </w:pPr>
                </w:p>
              </w:tc>
              <w:tc>
                <w:tcPr>
                  <w:tcW w:w="1404" w:type="dxa"/>
                  <w:vAlign w:val="center"/>
                </w:tcPr>
                <w:p>
                  <w:pPr>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 w:hRule="atLeast"/>
              </w:trPr>
              <w:tc>
                <w:tcPr>
                  <w:tcW w:w="2000" w:type="pct"/>
                  <w:vAlign w:val="center"/>
                </w:tcPr>
                <w:p>
                  <w:pPr>
                    <w:jc w:val="center"/>
                    <w:rPr>
                      <w:color w:val="auto"/>
                    </w:rPr>
                  </w:pPr>
                </w:p>
              </w:tc>
              <w:tc>
                <w:tcPr>
                  <w:tcW w:w="557" w:type="pct"/>
                  <w:vAlign w:val="center"/>
                </w:tcPr>
                <w:p>
                  <w:pPr>
                    <w:jc w:val="center"/>
                    <w:rPr>
                      <w:color w:val="auto"/>
                    </w:rPr>
                  </w:pPr>
                </w:p>
              </w:tc>
              <w:tc>
                <w:tcPr>
                  <w:tcW w:w="1401" w:type="dxa"/>
                  <w:vAlign w:val="center"/>
                </w:tcPr>
                <w:p>
                  <w:pPr>
                    <w:jc w:val="center"/>
                    <w:rPr>
                      <w:color w:val="auto"/>
                    </w:rPr>
                  </w:pPr>
                </w:p>
              </w:tc>
              <w:tc>
                <w:tcPr>
                  <w:tcW w:w="813" w:type="pct"/>
                  <w:vAlign w:val="center"/>
                </w:tcPr>
                <w:p>
                  <w:pPr>
                    <w:jc w:val="center"/>
                    <w:rPr>
                      <w:color w:val="auto"/>
                    </w:rPr>
                  </w:pPr>
                </w:p>
              </w:tc>
              <w:tc>
                <w:tcPr>
                  <w:tcW w:w="1404" w:type="dxa"/>
                  <w:vAlign w:val="center"/>
                </w:tcPr>
                <w:p>
                  <w:pPr>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0" w:type="pct"/>
                  <w:vAlign w:val="center"/>
                </w:tcPr>
                <w:p>
                  <w:pPr>
                    <w:jc w:val="center"/>
                    <w:rPr>
                      <w:color w:val="auto"/>
                    </w:rPr>
                  </w:pPr>
                </w:p>
              </w:tc>
              <w:tc>
                <w:tcPr>
                  <w:tcW w:w="557" w:type="pct"/>
                  <w:vAlign w:val="center"/>
                </w:tcPr>
                <w:p>
                  <w:pPr>
                    <w:jc w:val="center"/>
                    <w:rPr>
                      <w:color w:val="auto"/>
                    </w:rPr>
                  </w:pPr>
                </w:p>
              </w:tc>
              <w:tc>
                <w:tcPr>
                  <w:tcW w:w="1401" w:type="dxa"/>
                  <w:vAlign w:val="center"/>
                </w:tcPr>
                <w:p>
                  <w:pPr>
                    <w:jc w:val="center"/>
                    <w:rPr>
                      <w:color w:val="auto"/>
                    </w:rPr>
                  </w:pPr>
                </w:p>
              </w:tc>
              <w:tc>
                <w:tcPr>
                  <w:tcW w:w="813" w:type="pct"/>
                  <w:vAlign w:val="center"/>
                </w:tcPr>
                <w:p>
                  <w:pPr>
                    <w:jc w:val="center"/>
                    <w:rPr>
                      <w:color w:val="auto"/>
                    </w:rPr>
                  </w:pPr>
                </w:p>
              </w:tc>
              <w:tc>
                <w:tcPr>
                  <w:tcW w:w="1404" w:type="dxa"/>
                  <w:vAlign w:val="center"/>
                </w:tcPr>
                <w:p>
                  <w:pPr>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trPr>
              <w:tc>
                <w:tcPr>
                  <w:tcW w:w="2000" w:type="pct"/>
                  <w:vAlign w:val="center"/>
                </w:tcPr>
                <w:p>
                  <w:pPr>
                    <w:jc w:val="center"/>
                    <w:rPr>
                      <w:color w:val="auto"/>
                    </w:rPr>
                  </w:pPr>
                </w:p>
              </w:tc>
              <w:tc>
                <w:tcPr>
                  <w:tcW w:w="557" w:type="pct"/>
                  <w:vAlign w:val="center"/>
                </w:tcPr>
                <w:p>
                  <w:pPr>
                    <w:jc w:val="center"/>
                    <w:rPr>
                      <w:color w:val="auto"/>
                    </w:rPr>
                  </w:pPr>
                </w:p>
              </w:tc>
              <w:tc>
                <w:tcPr>
                  <w:tcW w:w="1401" w:type="dxa"/>
                  <w:vAlign w:val="center"/>
                </w:tcPr>
                <w:p>
                  <w:pPr>
                    <w:jc w:val="center"/>
                    <w:rPr>
                      <w:color w:val="auto"/>
                    </w:rPr>
                  </w:pPr>
                </w:p>
              </w:tc>
              <w:tc>
                <w:tcPr>
                  <w:tcW w:w="813" w:type="pct"/>
                  <w:vAlign w:val="center"/>
                </w:tcPr>
                <w:p>
                  <w:pPr>
                    <w:jc w:val="center"/>
                    <w:rPr>
                      <w:color w:val="auto"/>
                    </w:rPr>
                  </w:pPr>
                </w:p>
              </w:tc>
              <w:tc>
                <w:tcPr>
                  <w:tcW w:w="1404" w:type="dxa"/>
                  <w:vAlign w:val="center"/>
                </w:tcPr>
                <w:p>
                  <w:pPr>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 w:hRule="atLeast"/>
              </w:trPr>
              <w:tc>
                <w:tcPr>
                  <w:tcW w:w="2000" w:type="pct"/>
                  <w:vAlign w:val="center"/>
                </w:tcPr>
                <w:p>
                  <w:pPr>
                    <w:jc w:val="center"/>
                    <w:rPr>
                      <w:color w:val="auto"/>
                    </w:rPr>
                  </w:pPr>
                </w:p>
              </w:tc>
              <w:tc>
                <w:tcPr>
                  <w:tcW w:w="557" w:type="pct"/>
                  <w:vAlign w:val="center"/>
                </w:tcPr>
                <w:p>
                  <w:pPr>
                    <w:jc w:val="center"/>
                    <w:rPr>
                      <w:color w:val="auto"/>
                    </w:rPr>
                  </w:pPr>
                </w:p>
              </w:tc>
              <w:tc>
                <w:tcPr>
                  <w:tcW w:w="1401" w:type="dxa"/>
                  <w:vAlign w:val="center"/>
                </w:tcPr>
                <w:p>
                  <w:pPr>
                    <w:jc w:val="center"/>
                    <w:rPr>
                      <w:color w:val="auto"/>
                    </w:rPr>
                  </w:pPr>
                </w:p>
              </w:tc>
              <w:tc>
                <w:tcPr>
                  <w:tcW w:w="813" w:type="pct"/>
                  <w:vAlign w:val="center"/>
                </w:tcPr>
                <w:p>
                  <w:pPr>
                    <w:jc w:val="center"/>
                    <w:rPr>
                      <w:color w:val="auto"/>
                    </w:rPr>
                  </w:pPr>
                </w:p>
              </w:tc>
              <w:tc>
                <w:tcPr>
                  <w:tcW w:w="1404" w:type="dxa"/>
                  <w:vAlign w:val="center"/>
                </w:tcPr>
                <w:p>
                  <w:pPr>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 w:hRule="atLeast"/>
              </w:trPr>
              <w:tc>
                <w:tcPr>
                  <w:tcW w:w="2000" w:type="pct"/>
                  <w:vAlign w:val="center"/>
                </w:tcPr>
                <w:p>
                  <w:pPr>
                    <w:jc w:val="center"/>
                    <w:rPr>
                      <w:color w:val="auto"/>
                    </w:rPr>
                  </w:pPr>
                </w:p>
              </w:tc>
              <w:tc>
                <w:tcPr>
                  <w:tcW w:w="557" w:type="pct"/>
                  <w:vAlign w:val="center"/>
                </w:tcPr>
                <w:p>
                  <w:pPr>
                    <w:jc w:val="center"/>
                    <w:rPr>
                      <w:color w:val="auto"/>
                    </w:rPr>
                  </w:pPr>
                </w:p>
              </w:tc>
              <w:tc>
                <w:tcPr>
                  <w:tcW w:w="1401" w:type="dxa"/>
                  <w:vAlign w:val="center"/>
                </w:tcPr>
                <w:p>
                  <w:pPr>
                    <w:jc w:val="center"/>
                    <w:rPr>
                      <w:color w:val="auto"/>
                    </w:rPr>
                  </w:pPr>
                </w:p>
              </w:tc>
              <w:tc>
                <w:tcPr>
                  <w:tcW w:w="813" w:type="pct"/>
                  <w:vAlign w:val="center"/>
                </w:tcPr>
                <w:p>
                  <w:pPr>
                    <w:jc w:val="center"/>
                    <w:rPr>
                      <w:color w:val="auto"/>
                    </w:rPr>
                  </w:pPr>
                </w:p>
              </w:tc>
              <w:tc>
                <w:tcPr>
                  <w:tcW w:w="1404" w:type="dxa"/>
                  <w:vAlign w:val="center"/>
                </w:tcPr>
                <w:p>
                  <w:pPr>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2000" w:type="pct"/>
                  <w:vAlign w:val="center"/>
                </w:tcPr>
                <w:p>
                  <w:pPr>
                    <w:jc w:val="center"/>
                    <w:rPr>
                      <w:color w:val="auto"/>
                    </w:rPr>
                  </w:pPr>
                </w:p>
              </w:tc>
              <w:tc>
                <w:tcPr>
                  <w:tcW w:w="557" w:type="pct"/>
                  <w:vAlign w:val="center"/>
                </w:tcPr>
                <w:p>
                  <w:pPr>
                    <w:jc w:val="center"/>
                    <w:rPr>
                      <w:color w:val="auto"/>
                    </w:rPr>
                  </w:pPr>
                </w:p>
              </w:tc>
              <w:tc>
                <w:tcPr>
                  <w:tcW w:w="1401" w:type="dxa"/>
                  <w:vAlign w:val="center"/>
                </w:tcPr>
                <w:p>
                  <w:pPr>
                    <w:jc w:val="center"/>
                    <w:rPr>
                      <w:color w:val="auto"/>
                    </w:rPr>
                  </w:pPr>
                </w:p>
              </w:tc>
              <w:tc>
                <w:tcPr>
                  <w:tcW w:w="813" w:type="pct"/>
                  <w:vAlign w:val="center"/>
                </w:tcPr>
                <w:p>
                  <w:pPr>
                    <w:jc w:val="center"/>
                    <w:rPr>
                      <w:color w:val="auto"/>
                    </w:rPr>
                  </w:pPr>
                </w:p>
              </w:tc>
              <w:tc>
                <w:tcPr>
                  <w:tcW w:w="1404" w:type="dxa"/>
                  <w:vAlign w:val="center"/>
                </w:tcPr>
                <w:p>
                  <w:pPr>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2000" w:type="pct"/>
                  <w:vAlign w:val="center"/>
                </w:tcPr>
                <w:p>
                  <w:pPr>
                    <w:jc w:val="center"/>
                    <w:rPr>
                      <w:color w:val="auto"/>
                    </w:rPr>
                  </w:pPr>
                </w:p>
              </w:tc>
              <w:tc>
                <w:tcPr>
                  <w:tcW w:w="557" w:type="pct"/>
                  <w:vAlign w:val="center"/>
                </w:tcPr>
                <w:p>
                  <w:pPr>
                    <w:jc w:val="center"/>
                    <w:rPr>
                      <w:color w:val="auto"/>
                    </w:rPr>
                  </w:pPr>
                </w:p>
              </w:tc>
              <w:tc>
                <w:tcPr>
                  <w:tcW w:w="1401" w:type="dxa"/>
                  <w:vAlign w:val="center"/>
                </w:tcPr>
                <w:p>
                  <w:pPr>
                    <w:jc w:val="center"/>
                    <w:rPr>
                      <w:color w:val="auto"/>
                    </w:rPr>
                  </w:pPr>
                </w:p>
              </w:tc>
              <w:tc>
                <w:tcPr>
                  <w:tcW w:w="813" w:type="pct"/>
                  <w:vAlign w:val="center"/>
                </w:tcPr>
                <w:p>
                  <w:pPr>
                    <w:jc w:val="center"/>
                    <w:rPr>
                      <w:color w:val="auto"/>
                    </w:rPr>
                  </w:pPr>
                </w:p>
              </w:tc>
              <w:tc>
                <w:tcPr>
                  <w:tcW w:w="1404" w:type="dxa"/>
                  <w:vAlign w:val="center"/>
                </w:tcPr>
                <w:p>
                  <w:pPr>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 w:hRule="atLeast"/>
              </w:trPr>
              <w:tc>
                <w:tcPr>
                  <w:tcW w:w="2000" w:type="pct"/>
                  <w:vAlign w:val="center"/>
                </w:tcPr>
                <w:p>
                  <w:pPr>
                    <w:jc w:val="center"/>
                    <w:rPr>
                      <w:color w:val="auto"/>
                    </w:rPr>
                  </w:pPr>
                </w:p>
              </w:tc>
              <w:tc>
                <w:tcPr>
                  <w:tcW w:w="557" w:type="pct"/>
                  <w:vAlign w:val="center"/>
                </w:tcPr>
                <w:p>
                  <w:pPr>
                    <w:jc w:val="center"/>
                    <w:rPr>
                      <w:color w:val="auto"/>
                    </w:rPr>
                  </w:pPr>
                </w:p>
              </w:tc>
              <w:tc>
                <w:tcPr>
                  <w:tcW w:w="813" w:type="pct"/>
                  <w:vAlign w:val="center"/>
                </w:tcPr>
                <w:p>
                  <w:pPr>
                    <w:jc w:val="center"/>
                    <w:rPr>
                      <w:color w:val="auto"/>
                    </w:rPr>
                  </w:pPr>
                </w:p>
              </w:tc>
              <w:tc>
                <w:tcPr>
                  <w:tcW w:w="813" w:type="pct"/>
                  <w:vAlign w:val="center"/>
                </w:tcPr>
                <w:p>
                  <w:pPr>
                    <w:jc w:val="center"/>
                    <w:rPr>
                      <w:color w:val="auto"/>
                    </w:rPr>
                  </w:pPr>
                </w:p>
              </w:tc>
              <w:tc>
                <w:tcPr>
                  <w:tcW w:w="1404" w:type="dxa"/>
                  <w:vAlign w:val="center"/>
                </w:tcPr>
                <w:p>
                  <w:pPr>
                    <w:jc w:val="center"/>
                    <w:rPr>
                      <w:color w:val="auto"/>
                    </w:rPr>
                  </w:pPr>
                </w:p>
              </w:tc>
            </w:tr>
          </w:tbl>
          <w:p>
            <w:pPr>
              <w:tabs>
                <w:tab w:val="left" w:pos="3556"/>
              </w:tabs>
              <w:spacing w:beforeLines="50" w:line="360" w:lineRule="auto"/>
              <w:ind w:firstLine="482" w:firstLineChars="200"/>
              <w:rPr>
                <w:b/>
                <w:bCs/>
                <w:color w:val="auto"/>
                <w:sz w:val="24"/>
                <w:shd w:val="clear" w:color="auto" w:fill="FFFFFF"/>
              </w:rPr>
            </w:pPr>
            <w:r>
              <w:rPr>
                <w:b/>
                <w:bCs/>
                <w:color w:val="auto"/>
                <w:sz w:val="24"/>
                <w:shd w:val="clear" w:color="auto" w:fill="FFFFFF"/>
              </w:rPr>
              <w:t>5、主要生产设</w:t>
            </w:r>
            <w:r>
              <w:rPr>
                <w:rStyle w:val="43"/>
                <w:rFonts w:hint="eastAsia"/>
                <w:b/>
                <w:bCs/>
                <w:color w:val="auto"/>
                <w:kern w:val="0"/>
                <w:sz w:val="24"/>
              </w:rPr>
              <w:t>备</w:t>
            </w:r>
            <w:r>
              <w:rPr>
                <w:b/>
                <w:bCs/>
                <w:color w:val="auto"/>
                <w:sz w:val="24"/>
                <w:shd w:val="clear" w:color="auto" w:fill="FFFFFF"/>
              </w:rPr>
              <w:t>及设施参数</w:t>
            </w:r>
          </w:p>
          <w:p>
            <w:pPr>
              <w:tabs>
                <w:tab w:val="left" w:pos="3556"/>
              </w:tabs>
              <w:spacing w:line="360" w:lineRule="auto"/>
              <w:ind w:firstLine="480" w:firstLineChars="200"/>
              <w:rPr>
                <w:color w:val="auto"/>
                <w:sz w:val="24"/>
              </w:rPr>
            </w:pPr>
            <w:r>
              <w:rPr>
                <w:color w:val="auto"/>
                <w:sz w:val="24"/>
              </w:rPr>
              <w:t>本项目主要生产设</w:t>
            </w:r>
            <w:r>
              <w:rPr>
                <w:rFonts w:hint="eastAsia"/>
                <w:color w:val="auto"/>
                <w:sz w:val="24"/>
              </w:rPr>
              <w:t>备</w:t>
            </w:r>
            <w:r>
              <w:rPr>
                <w:color w:val="auto"/>
                <w:sz w:val="24"/>
              </w:rPr>
              <w:t>布置在8号厂房，主要生产设</w:t>
            </w:r>
            <w:r>
              <w:rPr>
                <w:rFonts w:hint="eastAsia"/>
                <w:color w:val="auto"/>
                <w:sz w:val="24"/>
              </w:rPr>
              <w:t>备</w:t>
            </w:r>
            <w:r>
              <w:rPr>
                <w:color w:val="auto"/>
                <w:sz w:val="24"/>
              </w:rPr>
              <w:t>情况见表2-3。</w:t>
            </w:r>
          </w:p>
          <w:p>
            <w:pPr>
              <w:spacing w:line="360" w:lineRule="auto"/>
              <w:jc w:val="center"/>
              <w:rPr>
                <w:b/>
                <w:bCs/>
                <w:color w:val="auto"/>
                <w:sz w:val="24"/>
              </w:rPr>
            </w:pPr>
            <w:r>
              <w:rPr>
                <w:b/>
                <w:bCs/>
                <w:color w:val="auto"/>
                <w:sz w:val="24"/>
              </w:rPr>
              <w:t>表2-3  主要生产设施表</w:t>
            </w:r>
          </w:p>
          <w:tbl>
            <w:tblPr>
              <w:tblStyle w:val="3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0"/>
              <w:gridCol w:w="3130"/>
              <w:gridCol w:w="824"/>
              <w:gridCol w:w="2301"/>
              <w:gridCol w:w="15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76" w:type="pct"/>
                  <w:shd w:val="clear" w:color="auto" w:fill="FFFFFF"/>
                  <w:vAlign w:val="center"/>
                </w:tcPr>
                <w:p>
                  <w:pPr>
                    <w:jc w:val="center"/>
                    <w:rPr>
                      <w:b/>
                      <w:bCs/>
                      <w:color w:val="auto"/>
                      <w:kern w:val="0"/>
                      <w:sz w:val="22"/>
                    </w:rPr>
                  </w:pPr>
                  <w:r>
                    <w:rPr>
                      <w:b/>
                      <w:bCs/>
                      <w:color w:val="auto"/>
                      <w:kern w:val="0"/>
                      <w:sz w:val="22"/>
                    </w:rPr>
                    <w:t>工序</w:t>
                  </w:r>
                </w:p>
              </w:tc>
              <w:tc>
                <w:tcPr>
                  <w:tcW w:w="1816" w:type="pct"/>
                  <w:shd w:val="clear" w:color="auto" w:fill="FFFFFF"/>
                  <w:noWrap/>
                  <w:vAlign w:val="center"/>
                </w:tcPr>
                <w:p>
                  <w:pPr>
                    <w:widowControl/>
                    <w:jc w:val="center"/>
                    <w:rPr>
                      <w:b/>
                      <w:bCs/>
                      <w:color w:val="auto"/>
                      <w:kern w:val="0"/>
                      <w:sz w:val="22"/>
                    </w:rPr>
                  </w:pPr>
                  <w:r>
                    <w:rPr>
                      <w:b/>
                      <w:bCs/>
                      <w:color w:val="auto"/>
                      <w:kern w:val="0"/>
                      <w:sz w:val="22"/>
                    </w:rPr>
                    <w:t>名称</w:t>
                  </w:r>
                </w:p>
              </w:tc>
              <w:tc>
                <w:tcPr>
                  <w:tcW w:w="478" w:type="pct"/>
                  <w:shd w:val="clear" w:color="auto" w:fill="FFFFFF"/>
                  <w:noWrap/>
                  <w:vAlign w:val="center"/>
                </w:tcPr>
                <w:p>
                  <w:pPr>
                    <w:widowControl/>
                    <w:jc w:val="center"/>
                    <w:rPr>
                      <w:b/>
                      <w:bCs/>
                      <w:color w:val="auto"/>
                      <w:kern w:val="0"/>
                      <w:sz w:val="22"/>
                    </w:rPr>
                  </w:pPr>
                  <w:r>
                    <w:rPr>
                      <w:b/>
                      <w:bCs/>
                      <w:color w:val="auto"/>
                      <w:kern w:val="0"/>
                      <w:sz w:val="22"/>
                    </w:rPr>
                    <w:t>数量</w:t>
                  </w:r>
                </w:p>
              </w:tc>
              <w:tc>
                <w:tcPr>
                  <w:tcW w:w="1335" w:type="pct"/>
                  <w:shd w:val="clear" w:color="auto" w:fill="FFFFFF"/>
                  <w:noWrap/>
                  <w:vAlign w:val="center"/>
                </w:tcPr>
                <w:p>
                  <w:pPr>
                    <w:widowControl/>
                    <w:jc w:val="center"/>
                    <w:rPr>
                      <w:b/>
                      <w:bCs/>
                      <w:color w:val="auto"/>
                      <w:kern w:val="0"/>
                      <w:sz w:val="22"/>
                    </w:rPr>
                  </w:pPr>
                  <w:r>
                    <w:rPr>
                      <w:b/>
                      <w:bCs/>
                      <w:color w:val="auto"/>
                      <w:kern w:val="0"/>
                      <w:sz w:val="22"/>
                    </w:rPr>
                    <w:t>型号</w:t>
                  </w:r>
                </w:p>
              </w:tc>
              <w:tc>
                <w:tcPr>
                  <w:tcW w:w="895" w:type="pct"/>
                  <w:vAlign w:val="center"/>
                </w:tcPr>
                <w:p>
                  <w:pPr>
                    <w:widowControl/>
                    <w:jc w:val="center"/>
                    <w:rPr>
                      <w:b/>
                      <w:bCs/>
                      <w:color w:val="auto"/>
                      <w:kern w:val="0"/>
                      <w:sz w:val="22"/>
                    </w:rPr>
                  </w:pPr>
                  <w:r>
                    <w:rPr>
                      <w:b/>
                      <w:bCs/>
                      <w:color w:val="auto"/>
                      <w:kern w:val="0"/>
                      <w:sz w:val="2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476" w:type="pct"/>
                  <w:vMerge w:val="restart"/>
                  <w:vAlign w:val="center"/>
                </w:tcPr>
                <w:p>
                  <w:pPr>
                    <w:widowControl/>
                    <w:jc w:val="center"/>
                    <w:rPr>
                      <w:b/>
                      <w:bCs/>
                      <w:color w:val="auto"/>
                      <w:kern w:val="0"/>
                      <w:sz w:val="22"/>
                    </w:rPr>
                  </w:pPr>
                </w:p>
              </w:tc>
              <w:tc>
                <w:tcPr>
                  <w:tcW w:w="1816" w:type="pct"/>
                  <w:noWrap/>
                  <w:vAlign w:val="center"/>
                </w:tcPr>
                <w:p>
                  <w:pPr>
                    <w:widowControl/>
                    <w:jc w:val="center"/>
                    <w:rPr>
                      <w:color w:val="auto"/>
                      <w:kern w:val="0"/>
                      <w:sz w:val="22"/>
                    </w:rPr>
                  </w:pPr>
                </w:p>
              </w:tc>
              <w:tc>
                <w:tcPr>
                  <w:tcW w:w="478" w:type="pct"/>
                  <w:noWrap/>
                  <w:vAlign w:val="center"/>
                </w:tcPr>
                <w:p>
                  <w:pPr>
                    <w:widowControl/>
                    <w:jc w:val="center"/>
                    <w:rPr>
                      <w:color w:val="auto"/>
                      <w:kern w:val="0"/>
                      <w:sz w:val="22"/>
                    </w:rPr>
                  </w:pPr>
                </w:p>
              </w:tc>
              <w:tc>
                <w:tcPr>
                  <w:tcW w:w="1335" w:type="pct"/>
                  <w:noWrap/>
                  <w:vAlign w:val="center"/>
                </w:tcPr>
                <w:p>
                  <w:pPr>
                    <w:widowControl/>
                    <w:jc w:val="center"/>
                    <w:rPr>
                      <w:color w:val="auto"/>
                      <w:kern w:val="0"/>
                      <w:sz w:val="22"/>
                    </w:rPr>
                  </w:pPr>
                </w:p>
              </w:tc>
              <w:tc>
                <w:tcPr>
                  <w:tcW w:w="895" w:type="pct"/>
                  <w:noWrap/>
                  <w:vAlign w:val="center"/>
                </w:tcPr>
                <w:p>
                  <w:pPr>
                    <w:widowControl/>
                    <w:jc w:val="center"/>
                    <w:rPr>
                      <w:color w:val="auto"/>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0" w:hRule="atLeast"/>
              </w:trPr>
              <w:tc>
                <w:tcPr>
                  <w:tcW w:w="476" w:type="pct"/>
                  <w:vMerge w:val="continue"/>
                  <w:vAlign w:val="center"/>
                </w:tcPr>
                <w:p>
                  <w:pPr>
                    <w:widowControl/>
                    <w:jc w:val="center"/>
                    <w:rPr>
                      <w:b/>
                      <w:bCs/>
                      <w:color w:val="auto"/>
                      <w:kern w:val="0"/>
                      <w:sz w:val="22"/>
                    </w:rPr>
                  </w:pPr>
                </w:p>
              </w:tc>
              <w:tc>
                <w:tcPr>
                  <w:tcW w:w="1816" w:type="pct"/>
                  <w:noWrap/>
                  <w:vAlign w:val="center"/>
                </w:tcPr>
                <w:p>
                  <w:pPr>
                    <w:widowControl/>
                    <w:jc w:val="center"/>
                    <w:rPr>
                      <w:color w:val="auto"/>
                      <w:kern w:val="0"/>
                      <w:sz w:val="22"/>
                    </w:rPr>
                  </w:pPr>
                </w:p>
              </w:tc>
              <w:tc>
                <w:tcPr>
                  <w:tcW w:w="478" w:type="pct"/>
                  <w:noWrap/>
                  <w:vAlign w:val="center"/>
                </w:tcPr>
                <w:p>
                  <w:pPr>
                    <w:widowControl/>
                    <w:jc w:val="center"/>
                    <w:rPr>
                      <w:color w:val="auto"/>
                      <w:kern w:val="0"/>
                      <w:sz w:val="22"/>
                    </w:rPr>
                  </w:pPr>
                </w:p>
              </w:tc>
              <w:tc>
                <w:tcPr>
                  <w:tcW w:w="1335" w:type="pct"/>
                  <w:noWrap/>
                  <w:vAlign w:val="center"/>
                </w:tcPr>
                <w:p>
                  <w:pPr>
                    <w:widowControl/>
                    <w:jc w:val="center"/>
                    <w:rPr>
                      <w:color w:val="auto"/>
                      <w:kern w:val="0"/>
                      <w:sz w:val="22"/>
                    </w:rPr>
                  </w:pPr>
                </w:p>
              </w:tc>
              <w:tc>
                <w:tcPr>
                  <w:tcW w:w="895" w:type="pct"/>
                  <w:noWrap/>
                  <w:vAlign w:val="center"/>
                </w:tcPr>
                <w:p>
                  <w:pPr>
                    <w:widowControl/>
                    <w:jc w:val="center"/>
                    <w:rPr>
                      <w:color w:val="auto"/>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0" w:hRule="atLeast"/>
              </w:trPr>
              <w:tc>
                <w:tcPr>
                  <w:tcW w:w="476" w:type="pct"/>
                  <w:vMerge w:val="continue"/>
                  <w:vAlign w:val="center"/>
                </w:tcPr>
                <w:p>
                  <w:pPr>
                    <w:widowControl/>
                    <w:jc w:val="center"/>
                    <w:rPr>
                      <w:b/>
                      <w:bCs/>
                      <w:color w:val="auto"/>
                      <w:kern w:val="0"/>
                      <w:sz w:val="22"/>
                    </w:rPr>
                  </w:pPr>
                </w:p>
              </w:tc>
              <w:tc>
                <w:tcPr>
                  <w:tcW w:w="1816" w:type="pct"/>
                  <w:noWrap/>
                  <w:vAlign w:val="center"/>
                </w:tcPr>
                <w:p>
                  <w:pPr>
                    <w:widowControl/>
                    <w:jc w:val="center"/>
                    <w:rPr>
                      <w:color w:val="auto"/>
                      <w:kern w:val="0"/>
                      <w:sz w:val="22"/>
                    </w:rPr>
                  </w:pPr>
                </w:p>
              </w:tc>
              <w:tc>
                <w:tcPr>
                  <w:tcW w:w="478" w:type="pct"/>
                  <w:noWrap/>
                  <w:vAlign w:val="center"/>
                </w:tcPr>
                <w:p>
                  <w:pPr>
                    <w:widowControl/>
                    <w:jc w:val="center"/>
                    <w:rPr>
                      <w:color w:val="auto"/>
                      <w:kern w:val="0"/>
                      <w:sz w:val="22"/>
                    </w:rPr>
                  </w:pPr>
                </w:p>
              </w:tc>
              <w:tc>
                <w:tcPr>
                  <w:tcW w:w="1335" w:type="pct"/>
                  <w:noWrap/>
                  <w:vAlign w:val="center"/>
                </w:tcPr>
                <w:p>
                  <w:pPr>
                    <w:widowControl/>
                    <w:jc w:val="center"/>
                    <w:rPr>
                      <w:color w:val="auto"/>
                      <w:kern w:val="0"/>
                      <w:sz w:val="22"/>
                    </w:rPr>
                  </w:pPr>
                </w:p>
              </w:tc>
              <w:tc>
                <w:tcPr>
                  <w:tcW w:w="895" w:type="pct"/>
                  <w:noWrap/>
                  <w:vAlign w:val="center"/>
                </w:tcPr>
                <w:p>
                  <w:pPr>
                    <w:widowControl/>
                    <w:jc w:val="center"/>
                    <w:rPr>
                      <w:color w:val="auto"/>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0" w:hRule="atLeast"/>
              </w:trPr>
              <w:tc>
                <w:tcPr>
                  <w:tcW w:w="476" w:type="pct"/>
                  <w:vMerge w:val="continue"/>
                  <w:vAlign w:val="center"/>
                </w:tcPr>
                <w:p>
                  <w:pPr>
                    <w:widowControl/>
                    <w:jc w:val="center"/>
                    <w:rPr>
                      <w:b/>
                      <w:bCs/>
                      <w:color w:val="auto"/>
                      <w:kern w:val="0"/>
                      <w:sz w:val="22"/>
                    </w:rPr>
                  </w:pPr>
                </w:p>
              </w:tc>
              <w:tc>
                <w:tcPr>
                  <w:tcW w:w="1816" w:type="pct"/>
                  <w:noWrap/>
                  <w:vAlign w:val="center"/>
                </w:tcPr>
                <w:p>
                  <w:pPr>
                    <w:widowControl/>
                    <w:jc w:val="center"/>
                    <w:rPr>
                      <w:color w:val="auto"/>
                      <w:kern w:val="0"/>
                      <w:sz w:val="22"/>
                    </w:rPr>
                  </w:pPr>
                </w:p>
              </w:tc>
              <w:tc>
                <w:tcPr>
                  <w:tcW w:w="478" w:type="pct"/>
                  <w:noWrap/>
                  <w:vAlign w:val="center"/>
                </w:tcPr>
                <w:p>
                  <w:pPr>
                    <w:widowControl/>
                    <w:jc w:val="center"/>
                    <w:rPr>
                      <w:color w:val="auto"/>
                      <w:kern w:val="0"/>
                      <w:sz w:val="22"/>
                    </w:rPr>
                  </w:pPr>
                </w:p>
              </w:tc>
              <w:tc>
                <w:tcPr>
                  <w:tcW w:w="1335" w:type="pct"/>
                  <w:noWrap/>
                  <w:vAlign w:val="center"/>
                </w:tcPr>
                <w:p>
                  <w:pPr>
                    <w:widowControl/>
                    <w:jc w:val="center"/>
                    <w:rPr>
                      <w:color w:val="auto"/>
                      <w:kern w:val="0"/>
                      <w:sz w:val="22"/>
                    </w:rPr>
                  </w:pPr>
                </w:p>
              </w:tc>
              <w:tc>
                <w:tcPr>
                  <w:tcW w:w="895" w:type="pct"/>
                  <w:noWrap/>
                  <w:vAlign w:val="center"/>
                </w:tcPr>
                <w:p>
                  <w:pPr>
                    <w:widowControl/>
                    <w:jc w:val="center"/>
                    <w:rPr>
                      <w:color w:val="auto"/>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0" w:hRule="atLeast"/>
              </w:trPr>
              <w:tc>
                <w:tcPr>
                  <w:tcW w:w="476" w:type="pct"/>
                  <w:vMerge w:val="continue"/>
                  <w:vAlign w:val="center"/>
                </w:tcPr>
                <w:p>
                  <w:pPr>
                    <w:widowControl/>
                    <w:jc w:val="center"/>
                    <w:rPr>
                      <w:b/>
                      <w:bCs/>
                      <w:color w:val="auto"/>
                      <w:kern w:val="0"/>
                      <w:sz w:val="22"/>
                    </w:rPr>
                  </w:pPr>
                </w:p>
              </w:tc>
              <w:tc>
                <w:tcPr>
                  <w:tcW w:w="1816" w:type="pct"/>
                  <w:noWrap/>
                  <w:vAlign w:val="center"/>
                </w:tcPr>
                <w:p>
                  <w:pPr>
                    <w:widowControl/>
                    <w:jc w:val="center"/>
                    <w:rPr>
                      <w:color w:val="auto"/>
                      <w:kern w:val="0"/>
                      <w:sz w:val="22"/>
                    </w:rPr>
                  </w:pPr>
                </w:p>
              </w:tc>
              <w:tc>
                <w:tcPr>
                  <w:tcW w:w="478" w:type="pct"/>
                  <w:noWrap/>
                  <w:vAlign w:val="center"/>
                </w:tcPr>
                <w:p>
                  <w:pPr>
                    <w:widowControl/>
                    <w:jc w:val="center"/>
                    <w:rPr>
                      <w:color w:val="auto"/>
                      <w:kern w:val="0"/>
                      <w:sz w:val="22"/>
                    </w:rPr>
                  </w:pPr>
                </w:p>
              </w:tc>
              <w:tc>
                <w:tcPr>
                  <w:tcW w:w="1335" w:type="pct"/>
                  <w:noWrap/>
                  <w:vAlign w:val="center"/>
                </w:tcPr>
                <w:p>
                  <w:pPr>
                    <w:widowControl/>
                    <w:jc w:val="center"/>
                    <w:rPr>
                      <w:color w:val="auto"/>
                      <w:kern w:val="0"/>
                      <w:sz w:val="22"/>
                    </w:rPr>
                  </w:pPr>
                </w:p>
              </w:tc>
              <w:tc>
                <w:tcPr>
                  <w:tcW w:w="895" w:type="pct"/>
                  <w:noWrap/>
                  <w:vAlign w:val="center"/>
                </w:tcPr>
                <w:p>
                  <w:pPr>
                    <w:widowControl/>
                    <w:jc w:val="center"/>
                    <w:rPr>
                      <w:color w:val="auto"/>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0" w:hRule="atLeast"/>
              </w:trPr>
              <w:tc>
                <w:tcPr>
                  <w:tcW w:w="476" w:type="pct"/>
                  <w:vMerge w:val="continue"/>
                  <w:vAlign w:val="center"/>
                </w:tcPr>
                <w:p>
                  <w:pPr>
                    <w:widowControl/>
                    <w:jc w:val="center"/>
                    <w:rPr>
                      <w:b/>
                      <w:bCs/>
                      <w:color w:val="auto"/>
                      <w:kern w:val="0"/>
                      <w:sz w:val="22"/>
                    </w:rPr>
                  </w:pPr>
                </w:p>
              </w:tc>
              <w:tc>
                <w:tcPr>
                  <w:tcW w:w="1816" w:type="pct"/>
                  <w:noWrap/>
                  <w:vAlign w:val="center"/>
                </w:tcPr>
                <w:p>
                  <w:pPr>
                    <w:widowControl/>
                    <w:jc w:val="center"/>
                    <w:rPr>
                      <w:color w:val="auto"/>
                      <w:kern w:val="0"/>
                      <w:sz w:val="22"/>
                    </w:rPr>
                  </w:pPr>
                </w:p>
              </w:tc>
              <w:tc>
                <w:tcPr>
                  <w:tcW w:w="478" w:type="pct"/>
                  <w:noWrap/>
                  <w:vAlign w:val="center"/>
                </w:tcPr>
                <w:p>
                  <w:pPr>
                    <w:widowControl/>
                    <w:jc w:val="center"/>
                    <w:rPr>
                      <w:color w:val="auto"/>
                      <w:kern w:val="0"/>
                      <w:sz w:val="22"/>
                    </w:rPr>
                  </w:pPr>
                </w:p>
              </w:tc>
              <w:tc>
                <w:tcPr>
                  <w:tcW w:w="1335" w:type="pct"/>
                  <w:noWrap/>
                  <w:vAlign w:val="center"/>
                </w:tcPr>
                <w:p>
                  <w:pPr>
                    <w:widowControl/>
                    <w:jc w:val="center"/>
                    <w:rPr>
                      <w:color w:val="auto"/>
                      <w:kern w:val="0"/>
                      <w:sz w:val="22"/>
                    </w:rPr>
                  </w:pPr>
                </w:p>
              </w:tc>
              <w:tc>
                <w:tcPr>
                  <w:tcW w:w="895" w:type="pct"/>
                  <w:noWrap/>
                  <w:vAlign w:val="center"/>
                </w:tcPr>
                <w:p>
                  <w:pPr>
                    <w:widowControl/>
                    <w:jc w:val="center"/>
                    <w:rPr>
                      <w:color w:val="auto"/>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0" w:hRule="atLeast"/>
              </w:trPr>
              <w:tc>
                <w:tcPr>
                  <w:tcW w:w="476" w:type="pct"/>
                  <w:vMerge w:val="continue"/>
                  <w:vAlign w:val="center"/>
                </w:tcPr>
                <w:p>
                  <w:pPr>
                    <w:widowControl/>
                    <w:jc w:val="center"/>
                    <w:rPr>
                      <w:b/>
                      <w:bCs/>
                      <w:color w:val="auto"/>
                      <w:kern w:val="0"/>
                      <w:sz w:val="22"/>
                    </w:rPr>
                  </w:pPr>
                </w:p>
              </w:tc>
              <w:tc>
                <w:tcPr>
                  <w:tcW w:w="1816" w:type="pct"/>
                  <w:noWrap/>
                  <w:vAlign w:val="center"/>
                </w:tcPr>
                <w:p>
                  <w:pPr>
                    <w:widowControl/>
                    <w:jc w:val="center"/>
                    <w:rPr>
                      <w:color w:val="auto"/>
                      <w:kern w:val="0"/>
                      <w:sz w:val="22"/>
                    </w:rPr>
                  </w:pPr>
                </w:p>
              </w:tc>
              <w:tc>
                <w:tcPr>
                  <w:tcW w:w="478" w:type="pct"/>
                  <w:noWrap/>
                  <w:vAlign w:val="center"/>
                </w:tcPr>
                <w:p>
                  <w:pPr>
                    <w:widowControl/>
                    <w:jc w:val="center"/>
                    <w:rPr>
                      <w:color w:val="auto"/>
                      <w:kern w:val="0"/>
                      <w:sz w:val="22"/>
                    </w:rPr>
                  </w:pPr>
                </w:p>
              </w:tc>
              <w:tc>
                <w:tcPr>
                  <w:tcW w:w="1335" w:type="pct"/>
                  <w:noWrap/>
                  <w:vAlign w:val="center"/>
                </w:tcPr>
                <w:p>
                  <w:pPr>
                    <w:widowControl/>
                    <w:jc w:val="center"/>
                    <w:rPr>
                      <w:color w:val="auto"/>
                      <w:kern w:val="0"/>
                      <w:sz w:val="22"/>
                    </w:rPr>
                  </w:pPr>
                </w:p>
              </w:tc>
              <w:tc>
                <w:tcPr>
                  <w:tcW w:w="895" w:type="pct"/>
                  <w:noWrap/>
                  <w:vAlign w:val="center"/>
                </w:tcPr>
                <w:p>
                  <w:pPr>
                    <w:widowControl/>
                    <w:jc w:val="center"/>
                    <w:rPr>
                      <w:color w:val="auto"/>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0" w:hRule="atLeast"/>
              </w:trPr>
              <w:tc>
                <w:tcPr>
                  <w:tcW w:w="476" w:type="pct"/>
                  <w:vMerge w:val="continue"/>
                  <w:vAlign w:val="center"/>
                </w:tcPr>
                <w:p>
                  <w:pPr>
                    <w:widowControl/>
                    <w:jc w:val="center"/>
                    <w:rPr>
                      <w:b/>
                      <w:bCs/>
                      <w:color w:val="auto"/>
                      <w:kern w:val="0"/>
                      <w:sz w:val="22"/>
                    </w:rPr>
                  </w:pPr>
                </w:p>
              </w:tc>
              <w:tc>
                <w:tcPr>
                  <w:tcW w:w="1816" w:type="pct"/>
                  <w:noWrap/>
                  <w:vAlign w:val="center"/>
                </w:tcPr>
                <w:p>
                  <w:pPr>
                    <w:widowControl/>
                    <w:jc w:val="center"/>
                    <w:rPr>
                      <w:color w:val="auto"/>
                      <w:kern w:val="0"/>
                      <w:sz w:val="22"/>
                    </w:rPr>
                  </w:pPr>
                </w:p>
              </w:tc>
              <w:tc>
                <w:tcPr>
                  <w:tcW w:w="478" w:type="pct"/>
                  <w:noWrap/>
                  <w:vAlign w:val="center"/>
                </w:tcPr>
                <w:p>
                  <w:pPr>
                    <w:widowControl/>
                    <w:jc w:val="center"/>
                    <w:rPr>
                      <w:color w:val="auto"/>
                      <w:kern w:val="0"/>
                      <w:sz w:val="22"/>
                    </w:rPr>
                  </w:pPr>
                </w:p>
              </w:tc>
              <w:tc>
                <w:tcPr>
                  <w:tcW w:w="1335" w:type="pct"/>
                  <w:noWrap/>
                  <w:vAlign w:val="center"/>
                </w:tcPr>
                <w:p>
                  <w:pPr>
                    <w:widowControl/>
                    <w:jc w:val="center"/>
                    <w:rPr>
                      <w:color w:val="auto"/>
                      <w:kern w:val="0"/>
                      <w:sz w:val="22"/>
                    </w:rPr>
                  </w:pPr>
                </w:p>
              </w:tc>
              <w:tc>
                <w:tcPr>
                  <w:tcW w:w="895" w:type="pct"/>
                  <w:noWrap/>
                  <w:vAlign w:val="center"/>
                </w:tcPr>
                <w:p>
                  <w:pPr>
                    <w:widowControl/>
                    <w:jc w:val="center"/>
                    <w:rPr>
                      <w:color w:val="auto"/>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0" w:hRule="atLeast"/>
              </w:trPr>
              <w:tc>
                <w:tcPr>
                  <w:tcW w:w="476" w:type="pct"/>
                  <w:vMerge w:val="continue"/>
                  <w:vAlign w:val="center"/>
                </w:tcPr>
                <w:p>
                  <w:pPr>
                    <w:widowControl/>
                    <w:jc w:val="center"/>
                    <w:rPr>
                      <w:b/>
                      <w:bCs/>
                      <w:color w:val="auto"/>
                      <w:kern w:val="0"/>
                      <w:sz w:val="22"/>
                    </w:rPr>
                  </w:pPr>
                </w:p>
              </w:tc>
              <w:tc>
                <w:tcPr>
                  <w:tcW w:w="1816" w:type="pct"/>
                  <w:noWrap/>
                  <w:vAlign w:val="center"/>
                </w:tcPr>
                <w:p>
                  <w:pPr>
                    <w:widowControl/>
                    <w:jc w:val="center"/>
                    <w:rPr>
                      <w:color w:val="auto"/>
                      <w:kern w:val="0"/>
                      <w:sz w:val="22"/>
                    </w:rPr>
                  </w:pPr>
                </w:p>
              </w:tc>
              <w:tc>
                <w:tcPr>
                  <w:tcW w:w="478" w:type="pct"/>
                  <w:noWrap/>
                  <w:vAlign w:val="center"/>
                </w:tcPr>
                <w:p>
                  <w:pPr>
                    <w:widowControl/>
                    <w:jc w:val="center"/>
                    <w:rPr>
                      <w:color w:val="auto"/>
                      <w:kern w:val="0"/>
                      <w:sz w:val="22"/>
                    </w:rPr>
                  </w:pPr>
                </w:p>
              </w:tc>
              <w:tc>
                <w:tcPr>
                  <w:tcW w:w="1335" w:type="pct"/>
                  <w:noWrap/>
                  <w:vAlign w:val="center"/>
                </w:tcPr>
                <w:p>
                  <w:pPr>
                    <w:widowControl/>
                    <w:jc w:val="center"/>
                    <w:rPr>
                      <w:color w:val="auto"/>
                      <w:kern w:val="0"/>
                      <w:sz w:val="22"/>
                    </w:rPr>
                  </w:pPr>
                </w:p>
              </w:tc>
              <w:tc>
                <w:tcPr>
                  <w:tcW w:w="895" w:type="pct"/>
                  <w:noWrap/>
                  <w:vAlign w:val="center"/>
                </w:tcPr>
                <w:p>
                  <w:pPr>
                    <w:widowControl/>
                    <w:jc w:val="center"/>
                    <w:rPr>
                      <w:color w:val="auto"/>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0" w:hRule="atLeast"/>
              </w:trPr>
              <w:tc>
                <w:tcPr>
                  <w:tcW w:w="476" w:type="pct"/>
                  <w:vMerge w:val="continue"/>
                  <w:vAlign w:val="center"/>
                </w:tcPr>
                <w:p>
                  <w:pPr>
                    <w:widowControl/>
                    <w:jc w:val="center"/>
                    <w:rPr>
                      <w:b/>
                      <w:bCs/>
                      <w:color w:val="auto"/>
                      <w:kern w:val="0"/>
                      <w:sz w:val="22"/>
                    </w:rPr>
                  </w:pPr>
                </w:p>
              </w:tc>
              <w:tc>
                <w:tcPr>
                  <w:tcW w:w="1816" w:type="pct"/>
                  <w:noWrap/>
                  <w:vAlign w:val="center"/>
                </w:tcPr>
                <w:p>
                  <w:pPr>
                    <w:widowControl/>
                    <w:jc w:val="center"/>
                    <w:rPr>
                      <w:color w:val="auto"/>
                      <w:kern w:val="0"/>
                      <w:sz w:val="22"/>
                    </w:rPr>
                  </w:pPr>
                </w:p>
              </w:tc>
              <w:tc>
                <w:tcPr>
                  <w:tcW w:w="478" w:type="pct"/>
                  <w:noWrap/>
                  <w:vAlign w:val="center"/>
                </w:tcPr>
                <w:p>
                  <w:pPr>
                    <w:widowControl/>
                    <w:jc w:val="center"/>
                    <w:rPr>
                      <w:color w:val="auto"/>
                      <w:kern w:val="0"/>
                      <w:sz w:val="22"/>
                    </w:rPr>
                  </w:pPr>
                </w:p>
              </w:tc>
              <w:tc>
                <w:tcPr>
                  <w:tcW w:w="1335" w:type="pct"/>
                  <w:noWrap/>
                  <w:vAlign w:val="center"/>
                </w:tcPr>
                <w:p>
                  <w:pPr>
                    <w:widowControl/>
                    <w:jc w:val="center"/>
                    <w:rPr>
                      <w:color w:val="auto"/>
                      <w:kern w:val="0"/>
                      <w:sz w:val="22"/>
                    </w:rPr>
                  </w:pPr>
                </w:p>
              </w:tc>
              <w:tc>
                <w:tcPr>
                  <w:tcW w:w="895" w:type="pct"/>
                  <w:noWrap/>
                  <w:vAlign w:val="center"/>
                </w:tcPr>
                <w:p>
                  <w:pPr>
                    <w:widowControl/>
                    <w:jc w:val="center"/>
                    <w:rPr>
                      <w:color w:val="auto"/>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0" w:hRule="atLeast"/>
              </w:trPr>
              <w:tc>
                <w:tcPr>
                  <w:tcW w:w="476" w:type="pct"/>
                  <w:vMerge w:val="continue"/>
                  <w:vAlign w:val="center"/>
                </w:tcPr>
                <w:p>
                  <w:pPr>
                    <w:widowControl/>
                    <w:jc w:val="center"/>
                    <w:rPr>
                      <w:b/>
                      <w:bCs/>
                      <w:color w:val="auto"/>
                      <w:kern w:val="0"/>
                      <w:sz w:val="22"/>
                    </w:rPr>
                  </w:pPr>
                </w:p>
              </w:tc>
              <w:tc>
                <w:tcPr>
                  <w:tcW w:w="1816" w:type="pct"/>
                  <w:noWrap/>
                  <w:vAlign w:val="center"/>
                </w:tcPr>
                <w:p>
                  <w:pPr>
                    <w:widowControl/>
                    <w:jc w:val="center"/>
                    <w:rPr>
                      <w:color w:val="auto"/>
                      <w:kern w:val="0"/>
                      <w:sz w:val="22"/>
                    </w:rPr>
                  </w:pPr>
                </w:p>
              </w:tc>
              <w:tc>
                <w:tcPr>
                  <w:tcW w:w="478" w:type="pct"/>
                  <w:noWrap/>
                  <w:vAlign w:val="center"/>
                </w:tcPr>
                <w:p>
                  <w:pPr>
                    <w:widowControl/>
                    <w:jc w:val="center"/>
                    <w:rPr>
                      <w:color w:val="auto"/>
                      <w:kern w:val="0"/>
                      <w:sz w:val="22"/>
                    </w:rPr>
                  </w:pPr>
                </w:p>
              </w:tc>
              <w:tc>
                <w:tcPr>
                  <w:tcW w:w="1335" w:type="pct"/>
                  <w:noWrap/>
                  <w:vAlign w:val="center"/>
                </w:tcPr>
                <w:p>
                  <w:pPr>
                    <w:widowControl/>
                    <w:jc w:val="center"/>
                    <w:rPr>
                      <w:color w:val="auto"/>
                      <w:kern w:val="0"/>
                      <w:sz w:val="22"/>
                    </w:rPr>
                  </w:pPr>
                </w:p>
              </w:tc>
              <w:tc>
                <w:tcPr>
                  <w:tcW w:w="895" w:type="pct"/>
                  <w:noWrap/>
                  <w:vAlign w:val="center"/>
                </w:tcPr>
                <w:p>
                  <w:pPr>
                    <w:widowControl/>
                    <w:jc w:val="center"/>
                    <w:rPr>
                      <w:color w:val="auto"/>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0" w:hRule="atLeast"/>
              </w:trPr>
              <w:tc>
                <w:tcPr>
                  <w:tcW w:w="476" w:type="pct"/>
                  <w:vMerge w:val="continue"/>
                  <w:vAlign w:val="center"/>
                </w:tcPr>
                <w:p>
                  <w:pPr>
                    <w:widowControl/>
                    <w:jc w:val="center"/>
                    <w:rPr>
                      <w:b/>
                      <w:bCs/>
                      <w:color w:val="auto"/>
                      <w:kern w:val="0"/>
                      <w:sz w:val="22"/>
                    </w:rPr>
                  </w:pPr>
                </w:p>
              </w:tc>
              <w:tc>
                <w:tcPr>
                  <w:tcW w:w="1816" w:type="pct"/>
                  <w:noWrap/>
                  <w:vAlign w:val="center"/>
                </w:tcPr>
                <w:p>
                  <w:pPr>
                    <w:widowControl/>
                    <w:jc w:val="center"/>
                    <w:rPr>
                      <w:color w:val="auto"/>
                      <w:kern w:val="0"/>
                      <w:sz w:val="22"/>
                    </w:rPr>
                  </w:pPr>
                </w:p>
              </w:tc>
              <w:tc>
                <w:tcPr>
                  <w:tcW w:w="478" w:type="pct"/>
                  <w:noWrap/>
                  <w:vAlign w:val="center"/>
                </w:tcPr>
                <w:p>
                  <w:pPr>
                    <w:widowControl/>
                    <w:jc w:val="center"/>
                    <w:rPr>
                      <w:color w:val="auto"/>
                      <w:kern w:val="0"/>
                      <w:sz w:val="22"/>
                    </w:rPr>
                  </w:pPr>
                </w:p>
              </w:tc>
              <w:tc>
                <w:tcPr>
                  <w:tcW w:w="1335" w:type="pct"/>
                  <w:noWrap/>
                  <w:vAlign w:val="center"/>
                </w:tcPr>
                <w:p>
                  <w:pPr>
                    <w:widowControl/>
                    <w:jc w:val="center"/>
                    <w:rPr>
                      <w:color w:val="auto"/>
                      <w:kern w:val="0"/>
                      <w:sz w:val="22"/>
                    </w:rPr>
                  </w:pPr>
                </w:p>
              </w:tc>
              <w:tc>
                <w:tcPr>
                  <w:tcW w:w="895" w:type="pct"/>
                  <w:noWrap/>
                  <w:vAlign w:val="center"/>
                </w:tcPr>
                <w:p>
                  <w:pPr>
                    <w:widowControl/>
                    <w:jc w:val="center"/>
                    <w:rPr>
                      <w:color w:val="auto"/>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0" w:hRule="atLeast"/>
              </w:trPr>
              <w:tc>
                <w:tcPr>
                  <w:tcW w:w="476" w:type="pct"/>
                  <w:vMerge w:val="continue"/>
                  <w:vAlign w:val="center"/>
                </w:tcPr>
                <w:p>
                  <w:pPr>
                    <w:widowControl/>
                    <w:jc w:val="center"/>
                    <w:rPr>
                      <w:b/>
                      <w:bCs/>
                      <w:color w:val="auto"/>
                      <w:kern w:val="0"/>
                      <w:sz w:val="22"/>
                    </w:rPr>
                  </w:pPr>
                </w:p>
              </w:tc>
              <w:tc>
                <w:tcPr>
                  <w:tcW w:w="1816" w:type="pct"/>
                  <w:noWrap/>
                  <w:vAlign w:val="center"/>
                </w:tcPr>
                <w:p>
                  <w:pPr>
                    <w:widowControl/>
                    <w:jc w:val="center"/>
                    <w:rPr>
                      <w:color w:val="auto"/>
                      <w:kern w:val="0"/>
                      <w:sz w:val="22"/>
                    </w:rPr>
                  </w:pPr>
                </w:p>
              </w:tc>
              <w:tc>
                <w:tcPr>
                  <w:tcW w:w="478" w:type="pct"/>
                  <w:noWrap/>
                  <w:vAlign w:val="center"/>
                </w:tcPr>
                <w:p>
                  <w:pPr>
                    <w:widowControl/>
                    <w:jc w:val="center"/>
                    <w:rPr>
                      <w:color w:val="auto"/>
                      <w:kern w:val="0"/>
                      <w:sz w:val="22"/>
                    </w:rPr>
                  </w:pPr>
                </w:p>
              </w:tc>
              <w:tc>
                <w:tcPr>
                  <w:tcW w:w="1335" w:type="pct"/>
                  <w:noWrap/>
                  <w:vAlign w:val="center"/>
                </w:tcPr>
                <w:p>
                  <w:pPr>
                    <w:widowControl/>
                    <w:jc w:val="center"/>
                    <w:rPr>
                      <w:color w:val="auto"/>
                      <w:kern w:val="0"/>
                      <w:sz w:val="22"/>
                    </w:rPr>
                  </w:pPr>
                </w:p>
              </w:tc>
              <w:tc>
                <w:tcPr>
                  <w:tcW w:w="895" w:type="pct"/>
                  <w:noWrap/>
                  <w:vAlign w:val="center"/>
                </w:tcPr>
                <w:p>
                  <w:pPr>
                    <w:widowControl/>
                    <w:jc w:val="center"/>
                    <w:rPr>
                      <w:color w:val="auto"/>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0" w:hRule="atLeast"/>
              </w:trPr>
              <w:tc>
                <w:tcPr>
                  <w:tcW w:w="476" w:type="pct"/>
                  <w:vMerge w:val="continue"/>
                  <w:vAlign w:val="center"/>
                </w:tcPr>
                <w:p>
                  <w:pPr>
                    <w:widowControl/>
                    <w:jc w:val="center"/>
                    <w:rPr>
                      <w:b/>
                      <w:bCs/>
                      <w:color w:val="auto"/>
                      <w:kern w:val="0"/>
                      <w:sz w:val="22"/>
                    </w:rPr>
                  </w:pPr>
                </w:p>
              </w:tc>
              <w:tc>
                <w:tcPr>
                  <w:tcW w:w="1816" w:type="pct"/>
                  <w:noWrap/>
                  <w:vAlign w:val="center"/>
                </w:tcPr>
                <w:p>
                  <w:pPr>
                    <w:widowControl/>
                    <w:jc w:val="center"/>
                    <w:rPr>
                      <w:color w:val="auto"/>
                      <w:kern w:val="0"/>
                      <w:sz w:val="22"/>
                    </w:rPr>
                  </w:pPr>
                </w:p>
              </w:tc>
              <w:tc>
                <w:tcPr>
                  <w:tcW w:w="478" w:type="pct"/>
                  <w:noWrap/>
                  <w:vAlign w:val="center"/>
                </w:tcPr>
                <w:p>
                  <w:pPr>
                    <w:widowControl/>
                    <w:jc w:val="center"/>
                    <w:rPr>
                      <w:color w:val="auto"/>
                      <w:kern w:val="0"/>
                      <w:sz w:val="22"/>
                    </w:rPr>
                  </w:pPr>
                </w:p>
              </w:tc>
              <w:tc>
                <w:tcPr>
                  <w:tcW w:w="1335" w:type="pct"/>
                  <w:noWrap/>
                  <w:vAlign w:val="center"/>
                </w:tcPr>
                <w:p>
                  <w:pPr>
                    <w:widowControl/>
                    <w:jc w:val="center"/>
                    <w:rPr>
                      <w:color w:val="auto"/>
                      <w:kern w:val="0"/>
                      <w:sz w:val="22"/>
                    </w:rPr>
                  </w:pPr>
                </w:p>
              </w:tc>
              <w:tc>
                <w:tcPr>
                  <w:tcW w:w="895" w:type="pct"/>
                  <w:noWrap/>
                  <w:vAlign w:val="center"/>
                </w:tcPr>
                <w:p>
                  <w:pPr>
                    <w:widowControl/>
                    <w:jc w:val="center"/>
                    <w:rPr>
                      <w:color w:val="auto"/>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0" w:hRule="atLeast"/>
              </w:trPr>
              <w:tc>
                <w:tcPr>
                  <w:tcW w:w="476" w:type="pct"/>
                  <w:vMerge w:val="continue"/>
                  <w:vAlign w:val="center"/>
                </w:tcPr>
                <w:p>
                  <w:pPr>
                    <w:widowControl/>
                    <w:jc w:val="center"/>
                    <w:rPr>
                      <w:b/>
                      <w:bCs/>
                      <w:color w:val="auto"/>
                      <w:kern w:val="0"/>
                      <w:sz w:val="22"/>
                    </w:rPr>
                  </w:pPr>
                </w:p>
              </w:tc>
              <w:tc>
                <w:tcPr>
                  <w:tcW w:w="1816" w:type="pct"/>
                  <w:noWrap/>
                  <w:vAlign w:val="center"/>
                </w:tcPr>
                <w:p>
                  <w:pPr>
                    <w:widowControl/>
                    <w:jc w:val="center"/>
                    <w:rPr>
                      <w:color w:val="auto"/>
                      <w:kern w:val="0"/>
                      <w:sz w:val="22"/>
                    </w:rPr>
                  </w:pPr>
                </w:p>
              </w:tc>
              <w:tc>
                <w:tcPr>
                  <w:tcW w:w="478" w:type="pct"/>
                  <w:noWrap/>
                  <w:vAlign w:val="center"/>
                </w:tcPr>
                <w:p>
                  <w:pPr>
                    <w:widowControl/>
                    <w:jc w:val="center"/>
                    <w:rPr>
                      <w:color w:val="auto"/>
                      <w:kern w:val="0"/>
                      <w:sz w:val="22"/>
                    </w:rPr>
                  </w:pPr>
                </w:p>
              </w:tc>
              <w:tc>
                <w:tcPr>
                  <w:tcW w:w="1335" w:type="pct"/>
                  <w:noWrap/>
                  <w:vAlign w:val="center"/>
                </w:tcPr>
                <w:p>
                  <w:pPr>
                    <w:widowControl/>
                    <w:jc w:val="center"/>
                    <w:rPr>
                      <w:color w:val="auto"/>
                      <w:kern w:val="0"/>
                      <w:sz w:val="22"/>
                    </w:rPr>
                  </w:pPr>
                </w:p>
              </w:tc>
              <w:tc>
                <w:tcPr>
                  <w:tcW w:w="895" w:type="pct"/>
                  <w:noWrap/>
                  <w:vAlign w:val="center"/>
                </w:tcPr>
                <w:p>
                  <w:pPr>
                    <w:widowControl/>
                    <w:jc w:val="center"/>
                    <w:rPr>
                      <w:color w:val="auto"/>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0" w:hRule="atLeast"/>
              </w:trPr>
              <w:tc>
                <w:tcPr>
                  <w:tcW w:w="476" w:type="pct"/>
                  <w:vMerge w:val="restart"/>
                  <w:vAlign w:val="center"/>
                </w:tcPr>
                <w:p>
                  <w:pPr>
                    <w:widowControl/>
                    <w:jc w:val="center"/>
                    <w:rPr>
                      <w:b/>
                      <w:bCs/>
                      <w:color w:val="auto"/>
                      <w:kern w:val="0"/>
                      <w:sz w:val="22"/>
                    </w:rPr>
                  </w:pPr>
                </w:p>
              </w:tc>
              <w:tc>
                <w:tcPr>
                  <w:tcW w:w="1816" w:type="pct"/>
                  <w:noWrap/>
                  <w:vAlign w:val="center"/>
                </w:tcPr>
                <w:p>
                  <w:pPr>
                    <w:widowControl/>
                    <w:jc w:val="center"/>
                    <w:rPr>
                      <w:color w:val="auto"/>
                      <w:kern w:val="0"/>
                      <w:sz w:val="22"/>
                    </w:rPr>
                  </w:pPr>
                </w:p>
              </w:tc>
              <w:tc>
                <w:tcPr>
                  <w:tcW w:w="478" w:type="pct"/>
                  <w:noWrap/>
                  <w:vAlign w:val="center"/>
                </w:tcPr>
                <w:p>
                  <w:pPr>
                    <w:widowControl/>
                    <w:jc w:val="center"/>
                    <w:rPr>
                      <w:color w:val="auto"/>
                      <w:kern w:val="0"/>
                      <w:sz w:val="22"/>
                    </w:rPr>
                  </w:pPr>
                </w:p>
              </w:tc>
              <w:tc>
                <w:tcPr>
                  <w:tcW w:w="1335" w:type="pct"/>
                  <w:noWrap/>
                  <w:vAlign w:val="center"/>
                </w:tcPr>
                <w:p>
                  <w:pPr>
                    <w:widowControl/>
                    <w:jc w:val="center"/>
                    <w:rPr>
                      <w:color w:val="auto"/>
                      <w:kern w:val="0"/>
                      <w:sz w:val="22"/>
                    </w:rPr>
                  </w:pPr>
                </w:p>
              </w:tc>
              <w:tc>
                <w:tcPr>
                  <w:tcW w:w="895" w:type="pct"/>
                  <w:noWrap/>
                  <w:vAlign w:val="center"/>
                </w:tcPr>
                <w:p>
                  <w:pPr>
                    <w:widowControl/>
                    <w:jc w:val="center"/>
                    <w:rPr>
                      <w:color w:val="auto"/>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0" w:hRule="atLeast"/>
              </w:trPr>
              <w:tc>
                <w:tcPr>
                  <w:tcW w:w="476" w:type="pct"/>
                  <w:vMerge w:val="continue"/>
                  <w:vAlign w:val="center"/>
                </w:tcPr>
                <w:p>
                  <w:pPr>
                    <w:widowControl/>
                    <w:jc w:val="center"/>
                    <w:rPr>
                      <w:b/>
                      <w:bCs/>
                      <w:color w:val="auto"/>
                      <w:kern w:val="0"/>
                      <w:sz w:val="22"/>
                    </w:rPr>
                  </w:pPr>
                </w:p>
              </w:tc>
              <w:tc>
                <w:tcPr>
                  <w:tcW w:w="1816" w:type="pct"/>
                  <w:noWrap/>
                  <w:vAlign w:val="center"/>
                </w:tcPr>
                <w:p>
                  <w:pPr>
                    <w:widowControl/>
                    <w:jc w:val="center"/>
                    <w:rPr>
                      <w:color w:val="auto"/>
                      <w:kern w:val="0"/>
                      <w:sz w:val="22"/>
                    </w:rPr>
                  </w:pPr>
                </w:p>
              </w:tc>
              <w:tc>
                <w:tcPr>
                  <w:tcW w:w="478" w:type="pct"/>
                  <w:noWrap/>
                  <w:vAlign w:val="center"/>
                </w:tcPr>
                <w:p>
                  <w:pPr>
                    <w:widowControl/>
                    <w:jc w:val="center"/>
                    <w:rPr>
                      <w:color w:val="auto"/>
                      <w:kern w:val="0"/>
                      <w:sz w:val="22"/>
                    </w:rPr>
                  </w:pPr>
                </w:p>
              </w:tc>
              <w:tc>
                <w:tcPr>
                  <w:tcW w:w="1335" w:type="pct"/>
                  <w:noWrap/>
                  <w:vAlign w:val="center"/>
                </w:tcPr>
                <w:p>
                  <w:pPr>
                    <w:widowControl/>
                    <w:jc w:val="center"/>
                    <w:rPr>
                      <w:color w:val="auto"/>
                      <w:kern w:val="0"/>
                      <w:sz w:val="22"/>
                    </w:rPr>
                  </w:pPr>
                </w:p>
              </w:tc>
              <w:tc>
                <w:tcPr>
                  <w:tcW w:w="895" w:type="pct"/>
                  <w:noWrap/>
                  <w:vAlign w:val="center"/>
                </w:tcPr>
                <w:p>
                  <w:pPr>
                    <w:widowControl/>
                    <w:jc w:val="center"/>
                    <w:rPr>
                      <w:color w:val="auto"/>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0" w:hRule="atLeast"/>
              </w:trPr>
              <w:tc>
                <w:tcPr>
                  <w:tcW w:w="476" w:type="pct"/>
                  <w:vMerge w:val="continue"/>
                  <w:vAlign w:val="center"/>
                </w:tcPr>
                <w:p>
                  <w:pPr>
                    <w:widowControl/>
                    <w:jc w:val="center"/>
                    <w:rPr>
                      <w:b/>
                      <w:bCs/>
                      <w:color w:val="auto"/>
                      <w:kern w:val="0"/>
                      <w:sz w:val="22"/>
                    </w:rPr>
                  </w:pPr>
                </w:p>
              </w:tc>
              <w:tc>
                <w:tcPr>
                  <w:tcW w:w="1816" w:type="pct"/>
                  <w:noWrap/>
                  <w:vAlign w:val="center"/>
                </w:tcPr>
                <w:p>
                  <w:pPr>
                    <w:widowControl/>
                    <w:jc w:val="center"/>
                    <w:rPr>
                      <w:color w:val="auto"/>
                      <w:kern w:val="0"/>
                      <w:sz w:val="22"/>
                    </w:rPr>
                  </w:pPr>
                </w:p>
              </w:tc>
              <w:tc>
                <w:tcPr>
                  <w:tcW w:w="478" w:type="pct"/>
                  <w:noWrap/>
                  <w:vAlign w:val="center"/>
                </w:tcPr>
                <w:p>
                  <w:pPr>
                    <w:widowControl/>
                    <w:jc w:val="center"/>
                    <w:rPr>
                      <w:color w:val="auto"/>
                      <w:kern w:val="0"/>
                      <w:sz w:val="22"/>
                    </w:rPr>
                  </w:pPr>
                </w:p>
              </w:tc>
              <w:tc>
                <w:tcPr>
                  <w:tcW w:w="1335" w:type="pct"/>
                  <w:noWrap/>
                  <w:vAlign w:val="center"/>
                </w:tcPr>
                <w:p>
                  <w:pPr>
                    <w:widowControl/>
                    <w:jc w:val="center"/>
                    <w:rPr>
                      <w:color w:val="auto"/>
                      <w:kern w:val="0"/>
                      <w:sz w:val="22"/>
                    </w:rPr>
                  </w:pPr>
                </w:p>
              </w:tc>
              <w:tc>
                <w:tcPr>
                  <w:tcW w:w="895" w:type="pct"/>
                  <w:noWrap/>
                  <w:vAlign w:val="center"/>
                </w:tcPr>
                <w:p>
                  <w:pPr>
                    <w:widowControl/>
                    <w:jc w:val="center"/>
                    <w:rPr>
                      <w:color w:val="auto"/>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0" w:hRule="atLeast"/>
              </w:trPr>
              <w:tc>
                <w:tcPr>
                  <w:tcW w:w="476" w:type="pct"/>
                  <w:vMerge w:val="continue"/>
                  <w:vAlign w:val="center"/>
                </w:tcPr>
                <w:p>
                  <w:pPr>
                    <w:widowControl/>
                    <w:jc w:val="center"/>
                    <w:rPr>
                      <w:b/>
                      <w:bCs/>
                      <w:color w:val="auto"/>
                      <w:kern w:val="0"/>
                      <w:sz w:val="22"/>
                    </w:rPr>
                  </w:pPr>
                </w:p>
              </w:tc>
              <w:tc>
                <w:tcPr>
                  <w:tcW w:w="1816" w:type="pct"/>
                  <w:noWrap/>
                  <w:vAlign w:val="center"/>
                </w:tcPr>
                <w:p>
                  <w:pPr>
                    <w:widowControl/>
                    <w:jc w:val="center"/>
                    <w:rPr>
                      <w:color w:val="auto"/>
                      <w:kern w:val="0"/>
                      <w:sz w:val="22"/>
                    </w:rPr>
                  </w:pPr>
                </w:p>
              </w:tc>
              <w:tc>
                <w:tcPr>
                  <w:tcW w:w="478" w:type="pct"/>
                  <w:noWrap/>
                  <w:vAlign w:val="center"/>
                </w:tcPr>
                <w:p>
                  <w:pPr>
                    <w:widowControl/>
                    <w:jc w:val="center"/>
                    <w:rPr>
                      <w:color w:val="auto"/>
                      <w:kern w:val="0"/>
                      <w:sz w:val="22"/>
                    </w:rPr>
                  </w:pPr>
                </w:p>
              </w:tc>
              <w:tc>
                <w:tcPr>
                  <w:tcW w:w="1335" w:type="pct"/>
                  <w:noWrap/>
                  <w:vAlign w:val="center"/>
                </w:tcPr>
                <w:p>
                  <w:pPr>
                    <w:widowControl/>
                    <w:jc w:val="center"/>
                    <w:rPr>
                      <w:color w:val="auto"/>
                      <w:kern w:val="0"/>
                      <w:sz w:val="22"/>
                    </w:rPr>
                  </w:pPr>
                </w:p>
              </w:tc>
              <w:tc>
                <w:tcPr>
                  <w:tcW w:w="895" w:type="pct"/>
                  <w:noWrap/>
                  <w:vAlign w:val="center"/>
                </w:tcPr>
                <w:p>
                  <w:pPr>
                    <w:widowControl/>
                    <w:jc w:val="center"/>
                    <w:rPr>
                      <w:color w:val="auto"/>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0" w:hRule="atLeast"/>
              </w:trPr>
              <w:tc>
                <w:tcPr>
                  <w:tcW w:w="476" w:type="pct"/>
                  <w:vMerge w:val="continue"/>
                  <w:vAlign w:val="center"/>
                </w:tcPr>
                <w:p>
                  <w:pPr>
                    <w:widowControl/>
                    <w:jc w:val="center"/>
                    <w:rPr>
                      <w:b/>
                      <w:bCs/>
                      <w:color w:val="auto"/>
                      <w:kern w:val="0"/>
                      <w:sz w:val="22"/>
                    </w:rPr>
                  </w:pPr>
                </w:p>
              </w:tc>
              <w:tc>
                <w:tcPr>
                  <w:tcW w:w="1816" w:type="pct"/>
                  <w:noWrap/>
                  <w:vAlign w:val="center"/>
                </w:tcPr>
                <w:p>
                  <w:pPr>
                    <w:widowControl/>
                    <w:jc w:val="center"/>
                    <w:rPr>
                      <w:color w:val="auto"/>
                      <w:kern w:val="0"/>
                      <w:sz w:val="22"/>
                    </w:rPr>
                  </w:pPr>
                </w:p>
              </w:tc>
              <w:tc>
                <w:tcPr>
                  <w:tcW w:w="478" w:type="pct"/>
                  <w:noWrap/>
                  <w:vAlign w:val="center"/>
                </w:tcPr>
                <w:p>
                  <w:pPr>
                    <w:widowControl/>
                    <w:jc w:val="center"/>
                    <w:rPr>
                      <w:color w:val="auto"/>
                      <w:kern w:val="0"/>
                      <w:sz w:val="22"/>
                    </w:rPr>
                  </w:pPr>
                </w:p>
              </w:tc>
              <w:tc>
                <w:tcPr>
                  <w:tcW w:w="1335" w:type="pct"/>
                  <w:noWrap/>
                  <w:vAlign w:val="center"/>
                </w:tcPr>
                <w:p>
                  <w:pPr>
                    <w:widowControl/>
                    <w:jc w:val="center"/>
                    <w:rPr>
                      <w:color w:val="auto"/>
                      <w:kern w:val="0"/>
                      <w:sz w:val="22"/>
                    </w:rPr>
                  </w:pPr>
                </w:p>
              </w:tc>
              <w:tc>
                <w:tcPr>
                  <w:tcW w:w="895" w:type="pct"/>
                  <w:noWrap/>
                  <w:vAlign w:val="center"/>
                </w:tcPr>
                <w:p>
                  <w:pPr>
                    <w:widowControl/>
                    <w:jc w:val="center"/>
                    <w:rPr>
                      <w:color w:val="auto"/>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0" w:hRule="atLeast"/>
              </w:trPr>
              <w:tc>
                <w:tcPr>
                  <w:tcW w:w="476" w:type="pct"/>
                  <w:vMerge w:val="continue"/>
                  <w:vAlign w:val="center"/>
                </w:tcPr>
                <w:p>
                  <w:pPr>
                    <w:widowControl/>
                    <w:jc w:val="center"/>
                    <w:rPr>
                      <w:b/>
                      <w:bCs/>
                      <w:color w:val="auto"/>
                      <w:kern w:val="0"/>
                      <w:sz w:val="22"/>
                    </w:rPr>
                  </w:pPr>
                </w:p>
              </w:tc>
              <w:tc>
                <w:tcPr>
                  <w:tcW w:w="1816" w:type="pct"/>
                  <w:noWrap/>
                  <w:vAlign w:val="center"/>
                </w:tcPr>
                <w:p>
                  <w:pPr>
                    <w:widowControl/>
                    <w:jc w:val="center"/>
                    <w:rPr>
                      <w:color w:val="auto"/>
                      <w:kern w:val="0"/>
                      <w:sz w:val="22"/>
                    </w:rPr>
                  </w:pPr>
                </w:p>
              </w:tc>
              <w:tc>
                <w:tcPr>
                  <w:tcW w:w="478" w:type="pct"/>
                  <w:noWrap/>
                  <w:vAlign w:val="center"/>
                </w:tcPr>
                <w:p>
                  <w:pPr>
                    <w:widowControl/>
                    <w:jc w:val="center"/>
                    <w:rPr>
                      <w:color w:val="auto"/>
                      <w:kern w:val="0"/>
                      <w:sz w:val="22"/>
                    </w:rPr>
                  </w:pPr>
                </w:p>
              </w:tc>
              <w:tc>
                <w:tcPr>
                  <w:tcW w:w="1335" w:type="pct"/>
                  <w:noWrap/>
                  <w:vAlign w:val="center"/>
                </w:tcPr>
                <w:p>
                  <w:pPr>
                    <w:widowControl/>
                    <w:jc w:val="center"/>
                    <w:rPr>
                      <w:color w:val="auto"/>
                      <w:kern w:val="0"/>
                      <w:sz w:val="22"/>
                    </w:rPr>
                  </w:pPr>
                </w:p>
              </w:tc>
              <w:tc>
                <w:tcPr>
                  <w:tcW w:w="895" w:type="pct"/>
                  <w:noWrap/>
                  <w:vAlign w:val="center"/>
                </w:tcPr>
                <w:p>
                  <w:pPr>
                    <w:widowControl/>
                    <w:jc w:val="center"/>
                    <w:rPr>
                      <w:color w:val="auto"/>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0" w:hRule="atLeast"/>
              </w:trPr>
              <w:tc>
                <w:tcPr>
                  <w:tcW w:w="476" w:type="pct"/>
                  <w:vMerge w:val="restart"/>
                  <w:vAlign w:val="center"/>
                </w:tcPr>
                <w:p>
                  <w:pPr>
                    <w:widowControl/>
                    <w:jc w:val="center"/>
                    <w:rPr>
                      <w:b/>
                      <w:bCs/>
                      <w:color w:val="auto"/>
                      <w:kern w:val="0"/>
                      <w:sz w:val="22"/>
                    </w:rPr>
                  </w:pPr>
                </w:p>
              </w:tc>
              <w:tc>
                <w:tcPr>
                  <w:tcW w:w="1816" w:type="pct"/>
                  <w:noWrap/>
                  <w:vAlign w:val="center"/>
                </w:tcPr>
                <w:p>
                  <w:pPr>
                    <w:widowControl/>
                    <w:jc w:val="center"/>
                    <w:rPr>
                      <w:color w:val="auto"/>
                      <w:kern w:val="0"/>
                      <w:sz w:val="22"/>
                    </w:rPr>
                  </w:pPr>
                </w:p>
              </w:tc>
              <w:tc>
                <w:tcPr>
                  <w:tcW w:w="478" w:type="pct"/>
                  <w:noWrap/>
                  <w:vAlign w:val="center"/>
                </w:tcPr>
                <w:p>
                  <w:pPr>
                    <w:widowControl/>
                    <w:jc w:val="center"/>
                    <w:rPr>
                      <w:color w:val="auto"/>
                      <w:kern w:val="0"/>
                      <w:sz w:val="22"/>
                    </w:rPr>
                  </w:pPr>
                </w:p>
              </w:tc>
              <w:tc>
                <w:tcPr>
                  <w:tcW w:w="1335" w:type="pct"/>
                  <w:noWrap/>
                  <w:vAlign w:val="center"/>
                </w:tcPr>
                <w:p>
                  <w:pPr>
                    <w:widowControl/>
                    <w:jc w:val="center"/>
                    <w:rPr>
                      <w:color w:val="auto"/>
                      <w:kern w:val="0"/>
                      <w:sz w:val="22"/>
                    </w:rPr>
                  </w:pPr>
                </w:p>
              </w:tc>
              <w:tc>
                <w:tcPr>
                  <w:tcW w:w="895" w:type="pct"/>
                  <w:noWrap/>
                  <w:vAlign w:val="center"/>
                </w:tcPr>
                <w:p>
                  <w:pPr>
                    <w:widowControl/>
                    <w:jc w:val="center"/>
                    <w:rPr>
                      <w:color w:val="auto"/>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0" w:hRule="atLeast"/>
              </w:trPr>
              <w:tc>
                <w:tcPr>
                  <w:tcW w:w="476" w:type="pct"/>
                  <w:vMerge w:val="continue"/>
                  <w:vAlign w:val="center"/>
                </w:tcPr>
                <w:p>
                  <w:pPr>
                    <w:widowControl/>
                    <w:jc w:val="center"/>
                    <w:rPr>
                      <w:b/>
                      <w:bCs/>
                      <w:color w:val="auto"/>
                      <w:kern w:val="0"/>
                      <w:sz w:val="22"/>
                    </w:rPr>
                  </w:pPr>
                </w:p>
              </w:tc>
              <w:tc>
                <w:tcPr>
                  <w:tcW w:w="1816" w:type="pct"/>
                  <w:noWrap/>
                  <w:vAlign w:val="center"/>
                </w:tcPr>
                <w:p>
                  <w:pPr>
                    <w:widowControl/>
                    <w:jc w:val="center"/>
                    <w:rPr>
                      <w:color w:val="auto"/>
                      <w:kern w:val="0"/>
                      <w:sz w:val="22"/>
                    </w:rPr>
                  </w:pPr>
                </w:p>
              </w:tc>
              <w:tc>
                <w:tcPr>
                  <w:tcW w:w="478" w:type="pct"/>
                  <w:noWrap/>
                  <w:vAlign w:val="center"/>
                </w:tcPr>
                <w:p>
                  <w:pPr>
                    <w:widowControl/>
                    <w:jc w:val="center"/>
                    <w:rPr>
                      <w:color w:val="auto"/>
                      <w:kern w:val="0"/>
                      <w:sz w:val="22"/>
                    </w:rPr>
                  </w:pPr>
                </w:p>
              </w:tc>
              <w:tc>
                <w:tcPr>
                  <w:tcW w:w="1335" w:type="pct"/>
                  <w:noWrap/>
                  <w:vAlign w:val="center"/>
                </w:tcPr>
                <w:p>
                  <w:pPr>
                    <w:widowControl/>
                    <w:jc w:val="center"/>
                    <w:rPr>
                      <w:color w:val="auto"/>
                      <w:kern w:val="0"/>
                      <w:sz w:val="22"/>
                    </w:rPr>
                  </w:pPr>
                </w:p>
              </w:tc>
              <w:tc>
                <w:tcPr>
                  <w:tcW w:w="895" w:type="pct"/>
                  <w:noWrap/>
                  <w:vAlign w:val="center"/>
                </w:tcPr>
                <w:p>
                  <w:pPr>
                    <w:widowControl/>
                    <w:jc w:val="center"/>
                    <w:rPr>
                      <w:color w:val="auto"/>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0" w:hRule="atLeast"/>
              </w:trPr>
              <w:tc>
                <w:tcPr>
                  <w:tcW w:w="476" w:type="pct"/>
                  <w:vMerge w:val="continue"/>
                  <w:vAlign w:val="center"/>
                </w:tcPr>
                <w:p>
                  <w:pPr>
                    <w:widowControl/>
                    <w:jc w:val="center"/>
                    <w:rPr>
                      <w:b/>
                      <w:bCs/>
                      <w:color w:val="auto"/>
                      <w:kern w:val="0"/>
                      <w:sz w:val="22"/>
                    </w:rPr>
                  </w:pPr>
                </w:p>
              </w:tc>
              <w:tc>
                <w:tcPr>
                  <w:tcW w:w="1816" w:type="pct"/>
                  <w:noWrap/>
                  <w:vAlign w:val="center"/>
                </w:tcPr>
                <w:p>
                  <w:pPr>
                    <w:widowControl/>
                    <w:jc w:val="center"/>
                    <w:rPr>
                      <w:color w:val="auto"/>
                      <w:kern w:val="0"/>
                      <w:sz w:val="22"/>
                    </w:rPr>
                  </w:pPr>
                </w:p>
              </w:tc>
              <w:tc>
                <w:tcPr>
                  <w:tcW w:w="478" w:type="pct"/>
                  <w:noWrap/>
                  <w:vAlign w:val="center"/>
                </w:tcPr>
                <w:p>
                  <w:pPr>
                    <w:widowControl/>
                    <w:jc w:val="center"/>
                    <w:rPr>
                      <w:color w:val="auto"/>
                      <w:kern w:val="0"/>
                      <w:sz w:val="22"/>
                    </w:rPr>
                  </w:pPr>
                </w:p>
              </w:tc>
              <w:tc>
                <w:tcPr>
                  <w:tcW w:w="1335" w:type="pct"/>
                  <w:noWrap/>
                  <w:vAlign w:val="center"/>
                </w:tcPr>
                <w:p>
                  <w:pPr>
                    <w:widowControl/>
                    <w:jc w:val="center"/>
                    <w:rPr>
                      <w:color w:val="auto"/>
                      <w:kern w:val="0"/>
                      <w:sz w:val="22"/>
                    </w:rPr>
                  </w:pPr>
                </w:p>
              </w:tc>
              <w:tc>
                <w:tcPr>
                  <w:tcW w:w="895" w:type="pct"/>
                  <w:noWrap/>
                  <w:vAlign w:val="center"/>
                </w:tcPr>
                <w:p>
                  <w:pPr>
                    <w:widowControl/>
                    <w:jc w:val="center"/>
                    <w:rPr>
                      <w:color w:val="auto"/>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0" w:hRule="atLeast"/>
              </w:trPr>
              <w:tc>
                <w:tcPr>
                  <w:tcW w:w="476" w:type="pct"/>
                  <w:vMerge w:val="restart"/>
                  <w:vAlign w:val="center"/>
                </w:tcPr>
                <w:p>
                  <w:pPr>
                    <w:widowControl/>
                    <w:jc w:val="center"/>
                    <w:rPr>
                      <w:b/>
                      <w:bCs/>
                      <w:color w:val="auto"/>
                      <w:kern w:val="0"/>
                      <w:sz w:val="22"/>
                    </w:rPr>
                  </w:pPr>
                </w:p>
              </w:tc>
              <w:tc>
                <w:tcPr>
                  <w:tcW w:w="1816" w:type="pct"/>
                  <w:noWrap/>
                  <w:vAlign w:val="center"/>
                </w:tcPr>
                <w:p>
                  <w:pPr>
                    <w:widowControl/>
                    <w:jc w:val="center"/>
                    <w:rPr>
                      <w:color w:val="auto"/>
                      <w:kern w:val="0"/>
                      <w:sz w:val="22"/>
                    </w:rPr>
                  </w:pPr>
                </w:p>
              </w:tc>
              <w:tc>
                <w:tcPr>
                  <w:tcW w:w="478" w:type="pct"/>
                  <w:noWrap/>
                  <w:vAlign w:val="center"/>
                </w:tcPr>
                <w:p>
                  <w:pPr>
                    <w:widowControl/>
                    <w:jc w:val="center"/>
                    <w:rPr>
                      <w:color w:val="auto"/>
                      <w:kern w:val="0"/>
                      <w:sz w:val="22"/>
                    </w:rPr>
                  </w:pPr>
                </w:p>
              </w:tc>
              <w:tc>
                <w:tcPr>
                  <w:tcW w:w="1335" w:type="pct"/>
                  <w:noWrap/>
                  <w:vAlign w:val="center"/>
                </w:tcPr>
                <w:p>
                  <w:pPr>
                    <w:widowControl/>
                    <w:jc w:val="center"/>
                    <w:rPr>
                      <w:color w:val="auto"/>
                      <w:kern w:val="0"/>
                      <w:sz w:val="22"/>
                    </w:rPr>
                  </w:pPr>
                </w:p>
              </w:tc>
              <w:tc>
                <w:tcPr>
                  <w:tcW w:w="895" w:type="pct"/>
                  <w:noWrap/>
                  <w:vAlign w:val="center"/>
                </w:tcPr>
                <w:p>
                  <w:pPr>
                    <w:widowControl/>
                    <w:jc w:val="center"/>
                    <w:rPr>
                      <w:color w:val="auto"/>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0" w:hRule="atLeast"/>
              </w:trPr>
              <w:tc>
                <w:tcPr>
                  <w:tcW w:w="476" w:type="pct"/>
                  <w:vMerge w:val="continue"/>
                  <w:vAlign w:val="center"/>
                </w:tcPr>
                <w:p>
                  <w:pPr>
                    <w:widowControl/>
                    <w:jc w:val="center"/>
                    <w:rPr>
                      <w:b/>
                      <w:bCs/>
                      <w:color w:val="auto"/>
                      <w:kern w:val="0"/>
                      <w:sz w:val="22"/>
                    </w:rPr>
                  </w:pPr>
                </w:p>
              </w:tc>
              <w:tc>
                <w:tcPr>
                  <w:tcW w:w="1816" w:type="pct"/>
                  <w:noWrap/>
                  <w:vAlign w:val="center"/>
                </w:tcPr>
                <w:p>
                  <w:pPr>
                    <w:widowControl/>
                    <w:jc w:val="center"/>
                    <w:rPr>
                      <w:color w:val="auto"/>
                      <w:kern w:val="0"/>
                      <w:sz w:val="22"/>
                    </w:rPr>
                  </w:pPr>
                </w:p>
              </w:tc>
              <w:tc>
                <w:tcPr>
                  <w:tcW w:w="478" w:type="pct"/>
                  <w:noWrap/>
                  <w:vAlign w:val="center"/>
                </w:tcPr>
                <w:p>
                  <w:pPr>
                    <w:widowControl/>
                    <w:jc w:val="center"/>
                    <w:rPr>
                      <w:color w:val="auto"/>
                      <w:kern w:val="0"/>
                      <w:sz w:val="22"/>
                    </w:rPr>
                  </w:pPr>
                </w:p>
              </w:tc>
              <w:tc>
                <w:tcPr>
                  <w:tcW w:w="1335" w:type="pct"/>
                  <w:noWrap/>
                  <w:vAlign w:val="center"/>
                </w:tcPr>
                <w:p>
                  <w:pPr>
                    <w:widowControl/>
                    <w:jc w:val="center"/>
                    <w:rPr>
                      <w:color w:val="auto"/>
                      <w:kern w:val="0"/>
                      <w:sz w:val="22"/>
                    </w:rPr>
                  </w:pPr>
                </w:p>
              </w:tc>
              <w:tc>
                <w:tcPr>
                  <w:tcW w:w="895" w:type="pct"/>
                  <w:noWrap/>
                  <w:vAlign w:val="center"/>
                </w:tcPr>
                <w:p>
                  <w:pPr>
                    <w:widowControl/>
                    <w:jc w:val="center"/>
                    <w:rPr>
                      <w:color w:val="auto"/>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0" w:hRule="atLeast"/>
              </w:trPr>
              <w:tc>
                <w:tcPr>
                  <w:tcW w:w="476" w:type="pct"/>
                  <w:vMerge w:val="continue"/>
                  <w:vAlign w:val="center"/>
                </w:tcPr>
                <w:p>
                  <w:pPr>
                    <w:widowControl/>
                    <w:jc w:val="center"/>
                    <w:rPr>
                      <w:b/>
                      <w:bCs/>
                      <w:color w:val="auto"/>
                      <w:kern w:val="0"/>
                      <w:sz w:val="22"/>
                    </w:rPr>
                  </w:pPr>
                </w:p>
              </w:tc>
              <w:tc>
                <w:tcPr>
                  <w:tcW w:w="1816" w:type="pct"/>
                  <w:noWrap/>
                  <w:vAlign w:val="center"/>
                </w:tcPr>
                <w:p>
                  <w:pPr>
                    <w:widowControl/>
                    <w:jc w:val="center"/>
                    <w:rPr>
                      <w:color w:val="auto"/>
                      <w:kern w:val="0"/>
                      <w:sz w:val="22"/>
                    </w:rPr>
                  </w:pPr>
                </w:p>
              </w:tc>
              <w:tc>
                <w:tcPr>
                  <w:tcW w:w="478" w:type="pct"/>
                  <w:noWrap/>
                  <w:vAlign w:val="center"/>
                </w:tcPr>
                <w:p>
                  <w:pPr>
                    <w:widowControl/>
                    <w:jc w:val="center"/>
                    <w:rPr>
                      <w:color w:val="auto"/>
                      <w:kern w:val="0"/>
                      <w:sz w:val="22"/>
                    </w:rPr>
                  </w:pPr>
                </w:p>
              </w:tc>
              <w:tc>
                <w:tcPr>
                  <w:tcW w:w="1335" w:type="pct"/>
                  <w:noWrap/>
                  <w:vAlign w:val="center"/>
                </w:tcPr>
                <w:p>
                  <w:pPr>
                    <w:widowControl/>
                    <w:jc w:val="center"/>
                    <w:rPr>
                      <w:color w:val="auto"/>
                      <w:kern w:val="0"/>
                      <w:sz w:val="22"/>
                    </w:rPr>
                  </w:pPr>
                </w:p>
              </w:tc>
              <w:tc>
                <w:tcPr>
                  <w:tcW w:w="895" w:type="pct"/>
                  <w:noWrap/>
                  <w:vAlign w:val="center"/>
                </w:tcPr>
                <w:p>
                  <w:pPr>
                    <w:widowControl/>
                    <w:jc w:val="center"/>
                    <w:rPr>
                      <w:color w:val="auto"/>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0" w:hRule="atLeast"/>
              </w:trPr>
              <w:tc>
                <w:tcPr>
                  <w:tcW w:w="476" w:type="pct"/>
                  <w:vMerge w:val="continue"/>
                  <w:vAlign w:val="center"/>
                </w:tcPr>
                <w:p>
                  <w:pPr>
                    <w:widowControl/>
                    <w:jc w:val="center"/>
                    <w:rPr>
                      <w:b/>
                      <w:bCs/>
                      <w:color w:val="auto"/>
                      <w:kern w:val="0"/>
                      <w:sz w:val="22"/>
                    </w:rPr>
                  </w:pPr>
                </w:p>
              </w:tc>
              <w:tc>
                <w:tcPr>
                  <w:tcW w:w="1816" w:type="pct"/>
                  <w:noWrap/>
                  <w:vAlign w:val="center"/>
                </w:tcPr>
                <w:p>
                  <w:pPr>
                    <w:widowControl/>
                    <w:jc w:val="center"/>
                    <w:rPr>
                      <w:color w:val="auto"/>
                      <w:kern w:val="0"/>
                      <w:sz w:val="22"/>
                    </w:rPr>
                  </w:pPr>
                </w:p>
              </w:tc>
              <w:tc>
                <w:tcPr>
                  <w:tcW w:w="478" w:type="pct"/>
                  <w:noWrap/>
                  <w:vAlign w:val="center"/>
                </w:tcPr>
                <w:p>
                  <w:pPr>
                    <w:widowControl/>
                    <w:jc w:val="center"/>
                    <w:rPr>
                      <w:color w:val="auto"/>
                      <w:kern w:val="0"/>
                      <w:sz w:val="22"/>
                    </w:rPr>
                  </w:pPr>
                </w:p>
              </w:tc>
              <w:tc>
                <w:tcPr>
                  <w:tcW w:w="1335" w:type="pct"/>
                  <w:noWrap/>
                  <w:vAlign w:val="center"/>
                </w:tcPr>
                <w:p>
                  <w:pPr>
                    <w:widowControl/>
                    <w:jc w:val="center"/>
                    <w:rPr>
                      <w:color w:val="auto"/>
                      <w:kern w:val="0"/>
                      <w:sz w:val="22"/>
                    </w:rPr>
                  </w:pPr>
                </w:p>
              </w:tc>
              <w:tc>
                <w:tcPr>
                  <w:tcW w:w="895" w:type="pct"/>
                  <w:noWrap/>
                  <w:vAlign w:val="center"/>
                </w:tcPr>
                <w:p>
                  <w:pPr>
                    <w:widowControl/>
                    <w:jc w:val="center"/>
                    <w:rPr>
                      <w:color w:val="auto"/>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0" w:hRule="atLeast"/>
              </w:trPr>
              <w:tc>
                <w:tcPr>
                  <w:tcW w:w="476" w:type="pct"/>
                  <w:vMerge w:val="continue"/>
                  <w:vAlign w:val="center"/>
                </w:tcPr>
                <w:p>
                  <w:pPr>
                    <w:widowControl/>
                    <w:jc w:val="center"/>
                    <w:rPr>
                      <w:b/>
                      <w:bCs/>
                      <w:color w:val="auto"/>
                      <w:kern w:val="0"/>
                      <w:sz w:val="22"/>
                    </w:rPr>
                  </w:pPr>
                </w:p>
              </w:tc>
              <w:tc>
                <w:tcPr>
                  <w:tcW w:w="1816" w:type="pct"/>
                  <w:noWrap/>
                  <w:vAlign w:val="center"/>
                </w:tcPr>
                <w:p>
                  <w:pPr>
                    <w:widowControl/>
                    <w:jc w:val="center"/>
                    <w:rPr>
                      <w:color w:val="auto"/>
                      <w:kern w:val="0"/>
                      <w:sz w:val="22"/>
                    </w:rPr>
                  </w:pPr>
                </w:p>
              </w:tc>
              <w:tc>
                <w:tcPr>
                  <w:tcW w:w="478" w:type="pct"/>
                  <w:noWrap/>
                  <w:vAlign w:val="center"/>
                </w:tcPr>
                <w:p>
                  <w:pPr>
                    <w:widowControl/>
                    <w:jc w:val="center"/>
                    <w:rPr>
                      <w:color w:val="auto"/>
                      <w:kern w:val="0"/>
                      <w:sz w:val="22"/>
                    </w:rPr>
                  </w:pPr>
                </w:p>
              </w:tc>
              <w:tc>
                <w:tcPr>
                  <w:tcW w:w="1335" w:type="pct"/>
                  <w:noWrap/>
                  <w:vAlign w:val="center"/>
                </w:tcPr>
                <w:p>
                  <w:pPr>
                    <w:widowControl/>
                    <w:jc w:val="center"/>
                    <w:rPr>
                      <w:color w:val="auto"/>
                      <w:kern w:val="0"/>
                      <w:sz w:val="22"/>
                    </w:rPr>
                  </w:pPr>
                </w:p>
              </w:tc>
              <w:tc>
                <w:tcPr>
                  <w:tcW w:w="895" w:type="pct"/>
                  <w:noWrap/>
                  <w:vAlign w:val="center"/>
                </w:tcPr>
                <w:p>
                  <w:pPr>
                    <w:widowControl/>
                    <w:jc w:val="center"/>
                    <w:rPr>
                      <w:color w:val="auto"/>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0" w:hRule="atLeast"/>
              </w:trPr>
              <w:tc>
                <w:tcPr>
                  <w:tcW w:w="476" w:type="pct"/>
                  <w:vMerge w:val="continue"/>
                  <w:vAlign w:val="center"/>
                </w:tcPr>
                <w:p>
                  <w:pPr>
                    <w:widowControl/>
                    <w:jc w:val="center"/>
                    <w:rPr>
                      <w:b/>
                      <w:bCs/>
                      <w:color w:val="auto"/>
                      <w:kern w:val="0"/>
                      <w:sz w:val="22"/>
                    </w:rPr>
                  </w:pPr>
                </w:p>
              </w:tc>
              <w:tc>
                <w:tcPr>
                  <w:tcW w:w="1816" w:type="pct"/>
                  <w:noWrap/>
                  <w:vAlign w:val="center"/>
                </w:tcPr>
                <w:p>
                  <w:pPr>
                    <w:widowControl/>
                    <w:jc w:val="center"/>
                    <w:rPr>
                      <w:color w:val="auto"/>
                      <w:kern w:val="0"/>
                      <w:sz w:val="22"/>
                    </w:rPr>
                  </w:pPr>
                </w:p>
              </w:tc>
              <w:tc>
                <w:tcPr>
                  <w:tcW w:w="478" w:type="pct"/>
                  <w:noWrap/>
                  <w:vAlign w:val="center"/>
                </w:tcPr>
                <w:p>
                  <w:pPr>
                    <w:widowControl/>
                    <w:jc w:val="center"/>
                    <w:rPr>
                      <w:color w:val="auto"/>
                      <w:kern w:val="0"/>
                      <w:sz w:val="22"/>
                    </w:rPr>
                  </w:pPr>
                </w:p>
              </w:tc>
              <w:tc>
                <w:tcPr>
                  <w:tcW w:w="1335" w:type="pct"/>
                  <w:noWrap/>
                  <w:vAlign w:val="center"/>
                </w:tcPr>
                <w:p>
                  <w:pPr>
                    <w:widowControl/>
                    <w:jc w:val="center"/>
                    <w:rPr>
                      <w:color w:val="auto"/>
                      <w:kern w:val="0"/>
                      <w:sz w:val="22"/>
                    </w:rPr>
                  </w:pPr>
                </w:p>
              </w:tc>
              <w:tc>
                <w:tcPr>
                  <w:tcW w:w="895" w:type="pct"/>
                  <w:noWrap/>
                  <w:vAlign w:val="center"/>
                </w:tcPr>
                <w:p>
                  <w:pPr>
                    <w:widowControl/>
                    <w:jc w:val="center"/>
                    <w:rPr>
                      <w:color w:val="auto"/>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0" w:hRule="atLeast"/>
              </w:trPr>
              <w:tc>
                <w:tcPr>
                  <w:tcW w:w="476" w:type="pct"/>
                  <w:vMerge w:val="continue"/>
                  <w:vAlign w:val="center"/>
                </w:tcPr>
                <w:p>
                  <w:pPr>
                    <w:widowControl/>
                    <w:jc w:val="center"/>
                    <w:rPr>
                      <w:b/>
                      <w:bCs/>
                      <w:color w:val="auto"/>
                      <w:kern w:val="0"/>
                      <w:sz w:val="22"/>
                    </w:rPr>
                  </w:pPr>
                </w:p>
              </w:tc>
              <w:tc>
                <w:tcPr>
                  <w:tcW w:w="1816" w:type="pct"/>
                  <w:noWrap/>
                  <w:vAlign w:val="center"/>
                </w:tcPr>
                <w:p>
                  <w:pPr>
                    <w:widowControl/>
                    <w:jc w:val="center"/>
                    <w:rPr>
                      <w:color w:val="auto"/>
                      <w:kern w:val="0"/>
                      <w:sz w:val="22"/>
                    </w:rPr>
                  </w:pPr>
                </w:p>
              </w:tc>
              <w:tc>
                <w:tcPr>
                  <w:tcW w:w="478" w:type="pct"/>
                  <w:noWrap/>
                  <w:vAlign w:val="center"/>
                </w:tcPr>
                <w:p>
                  <w:pPr>
                    <w:widowControl/>
                    <w:jc w:val="center"/>
                    <w:rPr>
                      <w:color w:val="auto"/>
                      <w:kern w:val="0"/>
                      <w:sz w:val="22"/>
                    </w:rPr>
                  </w:pPr>
                </w:p>
              </w:tc>
              <w:tc>
                <w:tcPr>
                  <w:tcW w:w="1335" w:type="pct"/>
                  <w:noWrap/>
                  <w:vAlign w:val="center"/>
                </w:tcPr>
                <w:p>
                  <w:pPr>
                    <w:widowControl/>
                    <w:jc w:val="center"/>
                    <w:rPr>
                      <w:color w:val="auto"/>
                      <w:kern w:val="0"/>
                      <w:sz w:val="22"/>
                    </w:rPr>
                  </w:pPr>
                </w:p>
              </w:tc>
              <w:tc>
                <w:tcPr>
                  <w:tcW w:w="895" w:type="pct"/>
                  <w:noWrap/>
                  <w:vAlign w:val="center"/>
                </w:tcPr>
                <w:p>
                  <w:pPr>
                    <w:widowControl/>
                    <w:jc w:val="center"/>
                    <w:rPr>
                      <w:color w:val="auto"/>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0" w:hRule="atLeast"/>
              </w:trPr>
              <w:tc>
                <w:tcPr>
                  <w:tcW w:w="476" w:type="pct"/>
                  <w:vMerge w:val="continue"/>
                  <w:vAlign w:val="center"/>
                </w:tcPr>
                <w:p>
                  <w:pPr>
                    <w:widowControl/>
                    <w:jc w:val="center"/>
                    <w:rPr>
                      <w:b/>
                      <w:bCs/>
                      <w:color w:val="auto"/>
                      <w:kern w:val="0"/>
                      <w:sz w:val="22"/>
                    </w:rPr>
                  </w:pPr>
                </w:p>
              </w:tc>
              <w:tc>
                <w:tcPr>
                  <w:tcW w:w="1816" w:type="pct"/>
                  <w:noWrap/>
                  <w:vAlign w:val="center"/>
                </w:tcPr>
                <w:p>
                  <w:pPr>
                    <w:widowControl/>
                    <w:jc w:val="center"/>
                    <w:rPr>
                      <w:color w:val="auto"/>
                      <w:kern w:val="0"/>
                      <w:sz w:val="22"/>
                    </w:rPr>
                  </w:pPr>
                </w:p>
              </w:tc>
              <w:tc>
                <w:tcPr>
                  <w:tcW w:w="478" w:type="pct"/>
                  <w:noWrap/>
                  <w:vAlign w:val="center"/>
                </w:tcPr>
                <w:p>
                  <w:pPr>
                    <w:widowControl/>
                    <w:jc w:val="center"/>
                    <w:rPr>
                      <w:color w:val="auto"/>
                      <w:kern w:val="0"/>
                      <w:sz w:val="22"/>
                    </w:rPr>
                  </w:pPr>
                </w:p>
              </w:tc>
              <w:tc>
                <w:tcPr>
                  <w:tcW w:w="1335" w:type="pct"/>
                  <w:noWrap/>
                  <w:vAlign w:val="center"/>
                </w:tcPr>
                <w:p>
                  <w:pPr>
                    <w:widowControl/>
                    <w:jc w:val="center"/>
                    <w:rPr>
                      <w:color w:val="auto"/>
                      <w:kern w:val="0"/>
                      <w:sz w:val="22"/>
                    </w:rPr>
                  </w:pPr>
                </w:p>
              </w:tc>
              <w:tc>
                <w:tcPr>
                  <w:tcW w:w="895" w:type="pct"/>
                  <w:noWrap/>
                  <w:vAlign w:val="center"/>
                </w:tcPr>
                <w:p>
                  <w:pPr>
                    <w:widowControl/>
                    <w:jc w:val="center"/>
                    <w:rPr>
                      <w:color w:val="auto"/>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0" w:hRule="atLeast"/>
              </w:trPr>
              <w:tc>
                <w:tcPr>
                  <w:tcW w:w="476" w:type="pct"/>
                  <w:vMerge w:val="restart"/>
                  <w:vAlign w:val="center"/>
                </w:tcPr>
                <w:p>
                  <w:pPr>
                    <w:widowControl/>
                    <w:jc w:val="center"/>
                    <w:rPr>
                      <w:b/>
                      <w:bCs/>
                      <w:color w:val="auto"/>
                      <w:kern w:val="0"/>
                      <w:sz w:val="22"/>
                    </w:rPr>
                  </w:pPr>
                </w:p>
              </w:tc>
              <w:tc>
                <w:tcPr>
                  <w:tcW w:w="1816" w:type="pct"/>
                  <w:noWrap/>
                  <w:vAlign w:val="center"/>
                </w:tcPr>
                <w:p>
                  <w:pPr>
                    <w:widowControl/>
                    <w:jc w:val="center"/>
                    <w:rPr>
                      <w:color w:val="auto"/>
                      <w:kern w:val="0"/>
                      <w:sz w:val="22"/>
                    </w:rPr>
                  </w:pPr>
                </w:p>
              </w:tc>
              <w:tc>
                <w:tcPr>
                  <w:tcW w:w="478" w:type="pct"/>
                  <w:noWrap/>
                  <w:vAlign w:val="center"/>
                </w:tcPr>
                <w:p>
                  <w:pPr>
                    <w:widowControl/>
                    <w:jc w:val="center"/>
                    <w:rPr>
                      <w:color w:val="auto"/>
                      <w:kern w:val="0"/>
                      <w:sz w:val="22"/>
                    </w:rPr>
                  </w:pPr>
                </w:p>
              </w:tc>
              <w:tc>
                <w:tcPr>
                  <w:tcW w:w="1335" w:type="pct"/>
                  <w:noWrap/>
                  <w:vAlign w:val="center"/>
                </w:tcPr>
                <w:p>
                  <w:pPr>
                    <w:widowControl/>
                    <w:jc w:val="center"/>
                    <w:rPr>
                      <w:color w:val="auto"/>
                      <w:kern w:val="0"/>
                      <w:sz w:val="22"/>
                    </w:rPr>
                  </w:pPr>
                </w:p>
              </w:tc>
              <w:tc>
                <w:tcPr>
                  <w:tcW w:w="895" w:type="pct"/>
                  <w:noWrap/>
                  <w:vAlign w:val="center"/>
                </w:tcPr>
                <w:p>
                  <w:pPr>
                    <w:widowControl/>
                    <w:jc w:val="center"/>
                    <w:rPr>
                      <w:color w:val="auto"/>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0" w:hRule="atLeast"/>
              </w:trPr>
              <w:tc>
                <w:tcPr>
                  <w:tcW w:w="476" w:type="pct"/>
                  <w:vMerge w:val="continue"/>
                  <w:vAlign w:val="center"/>
                </w:tcPr>
                <w:p>
                  <w:pPr>
                    <w:widowControl/>
                    <w:jc w:val="center"/>
                    <w:rPr>
                      <w:b/>
                      <w:bCs/>
                      <w:color w:val="auto"/>
                      <w:kern w:val="0"/>
                      <w:sz w:val="22"/>
                    </w:rPr>
                  </w:pPr>
                </w:p>
              </w:tc>
              <w:tc>
                <w:tcPr>
                  <w:tcW w:w="1816" w:type="pct"/>
                  <w:noWrap/>
                  <w:vAlign w:val="center"/>
                </w:tcPr>
                <w:p>
                  <w:pPr>
                    <w:widowControl/>
                    <w:jc w:val="center"/>
                    <w:rPr>
                      <w:color w:val="auto"/>
                      <w:kern w:val="0"/>
                      <w:sz w:val="22"/>
                    </w:rPr>
                  </w:pPr>
                </w:p>
              </w:tc>
              <w:tc>
                <w:tcPr>
                  <w:tcW w:w="478" w:type="pct"/>
                  <w:noWrap/>
                  <w:vAlign w:val="center"/>
                </w:tcPr>
                <w:p>
                  <w:pPr>
                    <w:widowControl/>
                    <w:jc w:val="center"/>
                    <w:rPr>
                      <w:color w:val="auto"/>
                      <w:kern w:val="0"/>
                      <w:sz w:val="22"/>
                    </w:rPr>
                  </w:pPr>
                </w:p>
              </w:tc>
              <w:tc>
                <w:tcPr>
                  <w:tcW w:w="1335" w:type="pct"/>
                  <w:noWrap/>
                  <w:vAlign w:val="center"/>
                </w:tcPr>
                <w:p>
                  <w:pPr>
                    <w:widowControl/>
                    <w:jc w:val="center"/>
                    <w:rPr>
                      <w:color w:val="auto"/>
                      <w:kern w:val="0"/>
                      <w:sz w:val="22"/>
                    </w:rPr>
                  </w:pPr>
                </w:p>
              </w:tc>
              <w:tc>
                <w:tcPr>
                  <w:tcW w:w="895" w:type="pct"/>
                  <w:noWrap/>
                  <w:vAlign w:val="center"/>
                </w:tcPr>
                <w:p>
                  <w:pPr>
                    <w:widowControl/>
                    <w:jc w:val="center"/>
                    <w:rPr>
                      <w:color w:val="auto"/>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0" w:hRule="atLeast"/>
              </w:trPr>
              <w:tc>
                <w:tcPr>
                  <w:tcW w:w="476" w:type="pct"/>
                  <w:vMerge w:val="continue"/>
                  <w:vAlign w:val="center"/>
                </w:tcPr>
                <w:p>
                  <w:pPr>
                    <w:widowControl/>
                    <w:jc w:val="center"/>
                    <w:rPr>
                      <w:b/>
                      <w:bCs/>
                      <w:color w:val="auto"/>
                      <w:kern w:val="0"/>
                      <w:sz w:val="22"/>
                    </w:rPr>
                  </w:pPr>
                </w:p>
              </w:tc>
              <w:tc>
                <w:tcPr>
                  <w:tcW w:w="1816" w:type="pct"/>
                  <w:noWrap/>
                  <w:vAlign w:val="center"/>
                </w:tcPr>
                <w:p>
                  <w:pPr>
                    <w:widowControl/>
                    <w:jc w:val="center"/>
                    <w:rPr>
                      <w:color w:val="auto"/>
                      <w:kern w:val="0"/>
                      <w:sz w:val="22"/>
                    </w:rPr>
                  </w:pPr>
                </w:p>
              </w:tc>
              <w:tc>
                <w:tcPr>
                  <w:tcW w:w="478" w:type="pct"/>
                  <w:noWrap/>
                  <w:vAlign w:val="center"/>
                </w:tcPr>
                <w:p>
                  <w:pPr>
                    <w:widowControl/>
                    <w:jc w:val="center"/>
                    <w:rPr>
                      <w:color w:val="auto"/>
                      <w:kern w:val="0"/>
                      <w:sz w:val="22"/>
                    </w:rPr>
                  </w:pPr>
                </w:p>
              </w:tc>
              <w:tc>
                <w:tcPr>
                  <w:tcW w:w="1335" w:type="pct"/>
                  <w:noWrap/>
                  <w:vAlign w:val="center"/>
                </w:tcPr>
                <w:p>
                  <w:pPr>
                    <w:widowControl/>
                    <w:jc w:val="center"/>
                    <w:rPr>
                      <w:color w:val="auto"/>
                      <w:kern w:val="0"/>
                      <w:sz w:val="22"/>
                    </w:rPr>
                  </w:pPr>
                </w:p>
              </w:tc>
              <w:tc>
                <w:tcPr>
                  <w:tcW w:w="895" w:type="pct"/>
                  <w:noWrap/>
                  <w:vAlign w:val="center"/>
                </w:tcPr>
                <w:p>
                  <w:pPr>
                    <w:widowControl/>
                    <w:jc w:val="center"/>
                    <w:rPr>
                      <w:color w:val="auto"/>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0" w:hRule="atLeast"/>
              </w:trPr>
              <w:tc>
                <w:tcPr>
                  <w:tcW w:w="476" w:type="pct"/>
                  <w:vMerge w:val="continue"/>
                  <w:vAlign w:val="center"/>
                </w:tcPr>
                <w:p>
                  <w:pPr>
                    <w:widowControl/>
                    <w:jc w:val="center"/>
                    <w:rPr>
                      <w:b/>
                      <w:bCs/>
                      <w:color w:val="auto"/>
                      <w:kern w:val="0"/>
                      <w:sz w:val="22"/>
                    </w:rPr>
                  </w:pPr>
                </w:p>
              </w:tc>
              <w:tc>
                <w:tcPr>
                  <w:tcW w:w="1816" w:type="pct"/>
                  <w:noWrap/>
                  <w:vAlign w:val="center"/>
                </w:tcPr>
                <w:p>
                  <w:pPr>
                    <w:widowControl/>
                    <w:jc w:val="center"/>
                    <w:rPr>
                      <w:color w:val="auto"/>
                      <w:kern w:val="0"/>
                      <w:sz w:val="22"/>
                    </w:rPr>
                  </w:pPr>
                </w:p>
              </w:tc>
              <w:tc>
                <w:tcPr>
                  <w:tcW w:w="478" w:type="pct"/>
                  <w:noWrap/>
                  <w:vAlign w:val="center"/>
                </w:tcPr>
                <w:p>
                  <w:pPr>
                    <w:widowControl/>
                    <w:jc w:val="center"/>
                    <w:rPr>
                      <w:color w:val="auto"/>
                      <w:kern w:val="0"/>
                      <w:sz w:val="22"/>
                    </w:rPr>
                  </w:pPr>
                </w:p>
              </w:tc>
              <w:tc>
                <w:tcPr>
                  <w:tcW w:w="1335" w:type="pct"/>
                  <w:noWrap/>
                  <w:vAlign w:val="center"/>
                </w:tcPr>
                <w:p>
                  <w:pPr>
                    <w:widowControl/>
                    <w:jc w:val="center"/>
                    <w:rPr>
                      <w:color w:val="auto"/>
                      <w:kern w:val="0"/>
                      <w:sz w:val="22"/>
                    </w:rPr>
                  </w:pPr>
                </w:p>
              </w:tc>
              <w:tc>
                <w:tcPr>
                  <w:tcW w:w="895" w:type="pct"/>
                  <w:noWrap/>
                  <w:vAlign w:val="center"/>
                </w:tcPr>
                <w:p>
                  <w:pPr>
                    <w:widowControl/>
                    <w:jc w:val="center"/>
                    <w:rPr>
                      <w:color w:val="auto"/>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0" w:hRule="atLeast"/>
              </w:trPr>
              <w:tc>
                <w:tcPr>
                  <w:tcW w:w="476" w:type="pct"/>
                  <w:vMerge w:val="continue"/>
                  <w:vAlign w:val="center"/>
                </w:tcPr>
                <w:p>
                  <w:pPr>
                    <w:widowControl/>
                    <w:jc w:val="center"/>
                    <w:rPr>
                      <w:b/>
                      <w:bCs/>
                      <w:color w:val="auto"/>
                      <w:kern w:val="0"/>
                      <w:sz w:val="22"/>
                    </w:rPr>
                  </w:pPr>
                </w:p>
              </w:tc>
              <w:tc>
                <w:tcPr>
                  <w:tcW w:w="1816" w:type="pct"/>
                  <w:noWrap/>
                  <w:vAlign w:val="center"/>
                </w:tcPr>
                <w:p>
                  <w:pPr>
                    <w:widowControl/>
                    <w:jc w:val="center"/>
                    <w:rPr>
                      <w:color w:val="auto"/>
                      <w:kern w:val="0"/>
                      <w:sz w:val="22"/>
                    </w:rPr>
                  </w:pPr>
                </w:p>
              </w:tc>
              <w:tc>
                <w:tcPr>
                  <w:tcW w:w="478" w:type="pct"/>
                  <w:noWrap/>
                  <w:vAlign w:val="center"/>
                </w:tcPr>
                <w:p>
                  <w:pPr>
                    <w:widowControl/>
                    <w:jc w:val="center"/>
                    <w:rPr>
                      <w:color w:val="auto"/>
                      <w:kern w:val="0"/>
                      <w:sz w:val="22"/>
                    </w:rPr>
                  </w:pPr>
                </w:p>
              </w:tc>
              <w:tc>
                <w:tcPr>
                  <w:tcW w:w="1335" w:type="pct"/>
                  <w:noWrap/>
                  <w:vAlign w:val="center"/>
                </w:tcPr>
                <w:p>
                  <w:pPr>
                    <w:widowControl/>
                    <w:jc w:val="center"/>
                    <w:rPr>
                      <w:color w:val="auto"/>
                      <w:kern w:val="0"/>
                      <w:sz w:val="22"/>
                    </w:rPr>
                  </w:pPr>
                </w:p>
              </w:tc>
              <w:tc>
                <w:tcPr>
                  <w:tcW w:w="895" w:type="pct"/>
                  <w:noWrap/>
                  <w:vAlign w:val="center"/>
                </w:tcPr>
                <w:p>
                  <w:pPr>
                    <w:widowControl/>
                    <w:jc w:val="center"/>
                    <w:rPr>
                      <w:color w:val="auto"/>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76" w:type="pct"/>
                  <w:vMerge w:val="continue"/>
                  <w:vAlign w:val="center"/>
                </w:tcPr>
                <w:p>
                  <w:pPr>
                    <w:widowControl/>
                    <w:jc w:val="center"/>
                    <w:rPr>
                      <w:b/>
                      <w:bCs/>
                      <w:color w:val="auto"/>
                      <w:kern w:val="0"/>
                      <w:sz w:val="22"/>
                    </w:rPr>
                  </w:pPr>
                </w:p>
              </w:tc>
              <w:tc>
                <w:tcPr>
                  <w:tcW w:w="1816" w:type="pct"/>
                  <w:noWrap/>
                  <w:vAlign w:val="center"/>
                </w:tcPr>
                <w:p>
                  <w:pPr>
                    <w:widowControl/>
                    <w:jc w:val="center"/>
                    <w:rPr>
                      <w:color w:val="auto"/>
                      <w:kern w:val="0"/>
                      <w:sz w:val="22"/>
                    </w:rPr>
                  </w:pPr>
                </w:p>
              </w:tc>
              <w:tc>
                <w:tcPr>
                  <w:tcW w:w="478" w:type="pct"/>
                  <w:noWrap/>
                  <w:vAlign w:val="center"/>
                </w:tcPr>
                <w:p>
                  <w:pPr>
                    <w:widowControl/>
                    <w:jc w:val="center"/>
                    <w:rPr>
                      <w:color w:val="auto"/>
                      <w:kern w:val="0"/>
                      <w:sz w:val="22"/>
                    </w:rPr>
                  </w:pPr>
                </w:p>
              </w:tc>
              <w:tc>
                <w:tcPr>
                  <w:tcW w:w="1335" w:type="pct"/>
                  <w:noWrap/>
                  <w:vAlign w:val="center"/>
                </w:tcPr>
                <w:p>
                  <w:pPr>
                    <w:widowControl/>
                    <w:jc w:val="center"/>
                    <w:rPr>
                      <w:color w:val="auto"/>
                      <w:kern w:val="0"/>
                      <w:sz w:val="22"/>
                    </w:rPr>
                  </w:pPr>
                </w:p>
              </w:tc>
              <w:tc>
                <w:tcPr>
                  <w:tcW w:w="895" w:type="pct"/>
                  <w:noWrap/>
                  <w:vAlign w:val="center"/>
                </w:tcPr>
                <w:p>
                  <w:pPr>
                    <w:widowControl/>
                    <w:jc w:val="center"/>
                    <w:rPr>
                      <w:color w:val="auto"/>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76" w:type="pct"/>
                  <w:vMerge w:val="continue"/>
                  <w:vAlign w:val="center"/>
                </w:tcPr>
                <w:p>
                  <w:pPr>
                    <w:widowControl/>
                    <w:jc w:val="center"/>
                    <w:rPr>
                      <w:b/>
                      <w:bCs/>
                      <w:color w:val="auto"/>
                      <w:kern w:val="0"/>
                      <w:sz w:val="22"/>
                    </w:rPr>
                  </w:pPr>
                </w:p>
              </w:tc>
              <w:tc>
                <w:tcPr>
                  <w:tcW w:w="1816" w:type="pct"/>
                  <w:noWrap/>
                  <w:vAlign w:val="center"/>
                </w:tcPr>
                <w:p>
                  <w:pPr>
                    <w:widowControl/>
                    <w:jc w:val="center"/>
                    <w:rPr>
                      <w:color w:val="auto"/>
                      <w:kern w:val="0"/>
                      <w:sz w:val="22"/>
                    </w:rPr>
                  </w:pPr>
                </w:p>
              </w:tc>
              <w:tc>
                <w:tcPr>
                  <w:tcW w:w="478" w:type="pct"/>
                  <w:noWrap/>
                  <w:vAlign w:val="center"/>
                </w:tcPr>
                <w:p>
                  <w:pPr>
                    <w:widowControl/>
                    <w:jc w:val="center"/>
                    <w:rPr>
                      <w:color w:val="auto"/>
                      <w:kern w:val="0"/>
                      <w:sz w:val="22"/>
                    </w:rPr>
                  </w:pPr>
                </w:p>
              </w:tc>
              <w:tc>
                <w:tcPr>
                  <w:tcW w:w="1335" w:type="pct"/>
                  <w:noWrap/>
                  <w:vAlign w:val="center"/>
                </w:tcPr>
                <w:p>
                  <w:pPr>
                    <w:widowControl/>
                    <w:jc w:val="center"/>
                    <w:rPr>
                      <w:color w:val="auto"/>
                      <w:kern w:val="0"/>
                      <w:sz w:val="22"/>
                    </w:rPr>
                  </w:pPr>
                </w:p>
              </w:tc>
              <w:tc>
                <w:tcPr>
                  <w:tcW w:w="895" w:type="pct"/>
                  <w:noWrap/>
                  <w:vAlign w:val="center"/>
                </w:tcPr>
                <w:p>
                  <w:pPr>
                    <w:widowControl/>
                    <w:jc w:val="center"/>
                    <w:rPr>
                      <w:color w:val="auto"/>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76" w:type="pct"/>
                  <w:vMerge w:val="continue"/>
                  <w:vAlign w:val="center"/>
                </w:tcPr>
                <w:p>
                  <w:pPr>
                    <w:widowControl/>
                    <w:jc w:val="center"/>
                    <w:rPr>
                      <w:b/>
                      <w:bCs/>
                      <w:color w:val="auto"/>
                      <w:kern w:val="0"/>
                      <w:sz w:val="22"/>
                    </w:rPr>
                  </w:pPr>
                </w:p>
              </w:tc>
              <w:tc>
                <w:tcPr>
                  <w:tcW w:w="1816" w:type="pct"/>
                  <w:noWrap/>
                  <w:vAlign w:val="center"/>
                </w:tcPr>
                <w:p>
                  <w:pPr>
                    <w:widowControl/>
                    <w:jc w:val="center"/>
                    <w:rPr>
                      <w:color w:val="auto"/>
                      <w:kern w:val="0"/>
                      <w:sz w:val="22"/>
                    </w:rPr>
                  </w:pPr>
                </w:p>
              </w:tc>
              <w:tc>
                <w:tcPr>
                  <w:tcW w:w="478" w:type="pct"/>
                  <w:noWrap/>
                  <w:vAlign w:val="center"/>
                </w:tcPr>
                <w:p>
                  <w:pPr>
                    <w:widowControl/>
                    <w:jc w:val="center"/>
                    <w:rPr>
                      <w:color w:val="auto"/>
                      <w:kern w:val="0"/>
                      <w:sz w:val="22"/>
                    </w:rPr>
                  </w:pPr>
                </w:p>
              </w:tc>
              <w:tc>
                <w:tcPr>
                  <w:tcW w:w="1335" w:type="pct"/>
                  <w:noWrap/>
                  <w:vAlign w:val="center"/>
                </w:tcPr>
                <w:p>
                  <w:pPr>
                    <w:widowControl/>
                    <w:jc w:val="center"/>
                    <w:rPr>
                      <w:color w:val="auto"/>
                      <w:kern w:val="0"/>
                      <w:sz w:val="22"/>
                    </w:rPr>
                  </w:pPr>
                </w:p>
              </w:tc>
              <w:tc>
                <w:tcPr>
                  <w:tcW w:w="895" w:type="pct"/>
                  <w:noWrap/>
                  <w:vAlign w:val="center"/>
                </w:tcPr>
                <w:p>
                  <w:pPr>
                    <w:widowControl/>
                    <w:jc w:val="center"/>
                    <w:rPr>
                      <w:color w:val="auto"/>
                      <w:kern w:val="0"/>
                      <w:sz w:val="22"/>
                    </w:rPr>
                  </w:pPr>
                </w:p>
              </w:tc>
            </w:tr>
          </w:tbl>
          <w:p>
            <w:pPr>
              <w:spacing w:beforeLines="50" w:line="360" w:lineRule="auto"/>
              <w:ind w:firstLine="482" w:firstLineChars="200"/>
              <w:rPr>
                <w:b/>
                <w:color w:val="auto"/>
                <w:sz w:val="24"/>
              </w:rPr>
            </w:pPr>
            <w:r>
              <w:rPr>
                <w:b/>
                <w:color w:val="auto"/>
                <w:sz w:val="24"/>
              </w:rPr>
              <w:t>6、主要原辅材料及能源消耗</w:t>
            </w:r>
          </w:p>
          <w:p>
            <w:pPr>
              <w:spacing w:line="360" w:lineRule="auto"/>
              <w:ind w:firstLine="354" w:firstLineChars="147"/>
              <w:rPr>
                <w:b/>
                <w:bCs/>
                <w:color w:val="auto"/>
                <w:sz w:val="24"/>
              </w:rPr>
            </w:pPr>
            <w:r>
              <w:rPr>
                <w:b/>
                <w:color w:val="auto"/>
                <w:sz w:val="24"/>
              </w:rPr>
              <w:t>（1）主要原辅材料及能源消耗</w:t>
            </w:r>
          </w:p>
          <w:p>
            <w:pPr>
              <w:spacing w:line="360" w:lineRule="auto"/>
              <w:jc w:val="center"/>
              <w:rPr>
                <w:b/>
                <w:bCs/>
                <w:color w:val="auto"/>
                <w:sz w:val="24"/>
              </w:rPr>
            </w:pPr>
            <w:r>
              <w:rPr>
                <w:b/>
                <w:bCs/>
                <w:color w:val="auto"/>
                <w:sz w:val="24"/>
              </w:rPr>
              <w:t>表2-</w:t>
            </w:r>
            <w:r>
              <w:rPr>
                <w:rFonts w:hint="eastAsia"/>
                <w:b/>
                <w:bCs/>
                <w:color w:val="auto"/>
                <w:sz w:val="24"/>
              </w:rPr>
              <w:t>4</w:t>
            </w:r>
            <w:r>
              <w:rPr>
                <w:b/>
                <w:bCs/>
                <w:color w:val="auto"/>
                <w:sz w:val="24"/>
              </w:rPr>
              <w:t xml:space="preserve">  主要原辅材料表</w:t>
            </w:r>
          </w:p>
          <w:tbl>
            <w:tblPr>
              <w:tblStyle w:val="3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1"/>
              <w:gridCol w:w="1322"/>
              <w:gridCol w:w="1758"/>
              <w:gridCol w:w="643"/>
              <w:gridCol w:w="924"/>
              <w:gridCol w:w="1146"/>
              <w:gridCol w:w="858"/>
              <w:gridCol w:w="13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384" w:type="pct"/>
                  <w:vAlign w:val="center"/>
                </w:tcPr>
                <w:p>
                  <w:pPr>
                    <w:jc w:val="center"/>
                    <w:rPr>
                      <w:bCs/>
                      <w:color w:val="auto"/>
                      <w:kern w:val="0"/>
                      <w:szCs w:val="21"/>
                    </w:rPr>
                  </w:pPr>
                  <w:r>
                    <w:rPr>
                      <w:bCs/>
                      <w:color w:val="auto"/>
                      <w:kern w:val="0"/>
                      <w:szCs w:val="21"/>
                    </w:rPr>
                    <w:t>序号</w:t>
                  </w:r>
                </w:p>
              </w:tc>
              <w:tc>
                <w:tcPr>
                  <w:tcW w:w="767" w:type="pct"/>
                  <w:vAlign w:val="center"/>
                </w:tcPr>
                <w:p>
                  <w:pPr>
                    <w:jc w:val="center"/>
                    <w:rPr>
                      <w:bCs/>
                      <w:color w:val="auto"/>
                      <w:kern w:val="0"/>
                      <w:szCs w:val="21"/>
                    </w:rPr>
                  </w:pPr>
                  <w:r>
                    <w:rPr>
                      <w:bCs/>
                      <w:color w:val="auto"/>
                      <w:kern w:val="0"/>
                      <w:szCs w:val="21"/>
                    </w:rPr>
                    <w:t>品名</w:t>
                  </w:r>
                </w:p>
              </w:tc>
              <w:tc>
                <w:tcPr>
                  <w:tcW w:w="1020" w:type="pct"/>
                  <w:vAlign w:val="center"/>
                </w:tcPr>
                <w:p>
                  <w:pPr>
                    <w:jc w:val="center"/>
                    <w:rPr>
                      <w:bCs/>
                      <w:color w:val="auto"/>
                      <w:szCs w:val="21"/>
                    </w:rPr>
                  </w:pPr>
                  <w:r>
                    <w:rPr>
                      <w:bCs/>
                      <w:color w:val="auto"/>
                      <w:szCs w:val="21"/>
                    </w:rPr>
                    <w:t>规格</w:t>
                  </w:r>
                </w:p>
              </w:tc>
              <w:tc>
                <w:tcPr>
                  <w:tcW w:w="373" w:type="pct"/>
                  <w:vAlign w:val="center"/>
                </w:tcPr>
                <w:p>
                  <w:pPr>
                    <w:jc w:val="center"/>
                    <w:rPr>
                      <w:bCs/>
                      <w:color w:val="auto"/>
                      <w:szCs w:val="21"/>
                    </w:rPr>
                  </w:pPr>
                  <w:r>
                    <w:rPr>
                      <w:bCs/>
                      <w:color w:val="auto"/>
                      <w:szCs w:val="21"/>
                    </w:rPr>
                    <w:t>物态</w:t>
                  </w:r>
                </w:p>
              </w:tc>
              <w:tc>
                <w:tcPr>
                  <w:tcW w:w="536" w:type="pct"/>
                  <w:vAlign w:val="center"/>
                </w:tcPr>
                <w:p>
                  <w:pPr>
                    <w:jc w:val="center"/>
                    <w:rPr>
                      <w:bCs/>
                      <w:color w:val="auto"/>
                      <w:kern w:val="0"/>
                      <w:szCs w:val="21"/>
                    </w:rPr>
                  </w:pPr>
                  <w:r>
                    <w:rPr>
                      <w:bCs/>
                      <w:color w:val="auto"/>
                      <w:kern w:val="0"/>
                      <w:szCs w:val="21"/>
                    </w:rPr>
                    <w:t>设计年用量（t）</w:t>
                  </w:r>
                </w:p>
              </w:tc>
              <w:tc>
                <w:tcPr>
                  <w:tcW w:w="665" w:type="pct"/>
                  <w:vAlign w:val="center"/>
                </w:tcPr>
                <w:p>
                  <w:pPr>
                    <w:jc w:val="center"/>
                    <w:rPr>
                      <w:bCs/>
                      <w:color w:val="auto"/>
                      <w:kern w:val="0"/>
                      <w:szCs w:val="21"/>
                    </w:rPr>
                  </w:pPr>
                  <w:r>
                    <w:rPr>
                      <w:bCs/>
                      <w:color w:val="auto"/>
                      <w:kern w:val="0"/>
                      <w:szCs w:val="21"/>
                    </w:rPr>
                    <w:t>最大贮存量（t）</w:t>
                  </w:r>
                </w:p>
              </w:tc>
              <w:tc>
                <w:tcPr>
                  <w:tcW w:w="498" w:type="pct"/>
                  <w:vAlign w:val="center"/>
                </w:tcPr>
                <w:p>
                  <w:pPr>
                    <w:jc w:val="center"/>
                    <w:rPr>
                      <w:bCs/>
                      <w:color w:val="auto"/>
                      <w:kern w:val="0"/>
                      <w:szCs w:val="21"/>
                    </w:rPr>
                  </w:pPr>
                  <w:r>
                    <w:rPr>
                      <w:bCs/>
                      <w:color w:val="auto"/>
                      <w:kern w:val="0"/>
                      <w:szCs w:val="21"/>
                    </w:rPr>
                    <w:t>包装</w:t>
                  </w:r>
                </w:p>
                <w:p>
                  <w:pPr>
                    <w:jc w:val="center"/>
                    <w:rPr>
                      <w:bCs/>
                      <w:color w:val="auto"/>
                      <w:kern w:val="0"/>
                      <w:szCs w:val="21"/>
                    </w:rPr>
                  </w:pPr>
                  <w:r>
                    <w:rPr>
                      <w:bCs/>
                      <w:color w:val="auto"/>
                      <w:kern w:val="0"/>
                      <w:szCs w:val="21"/>
                    </w:rPr>
                    <w:t>形式</w:t>
                  </w:r>
                </w:p>
              </w:tc>
              <w:tc>
                <w:tcPr>
                  <w:tcW w:w="757" w:type="pct"/>
                  <w:vAlign w:val="center"/>
                </w:tcPr>
                <w:p>
                  <w:pPr>
                    <w:jc w:val="center"/>
                    <w:rPr>
                      <w:bCs/>
                      <w:color w:val="auto"/>
                      <w:kern w:val="0"/>
                      <w:szCs w:val="21"/>
                    </w:rPr>
                  </w:pPr>
                  <w:r>
                    <w:rPr>
                      <w:bCs/>
                      <w:color w:val="auto"/>
                      <w:kern w:val="0"/>
                      <w:szCs w:val="21"/>
                    </w:rPr>
                    <w:t>贮存地点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84" w:type="pct"/>
                  <w:vMerge w:val="restart"/>
                  <w:vAlign w:val="center"/>
                </w:tcPr>
                <w:p>
                  <w:pPr>
                    <w:widowControl/>
                    <w:jc w:val="center"/>
                    <w:rPr>
                      <w:color w:val="auto"/>
                      <w:kern w:val="0"/>
                      <w:szCs w:val="21"/>
                    </w:rPr>
                  </w:pPr>
                </w:p>
              </w:tc>
              <w:tc>
                <w:tcPr>
                  <w:tcW w:w="767" w:type="pct"/>
                  <w:vMerge w:val="restart"/>
                  <w:vAlign w:val="center"/>
                </w:tcPr>
                <w:p>
                  <w:pPr>
                    <w:widowControl/>
                    <w:jc w:val="center"/>
                    <w:rPr>
                      <w:color w:val="auto"/>
                      <w:kern w:val="0"/>
                      <w:szCs w:val="21"/>
                    </w:rPr>
                  </w:pPr>
                </w:p>
              </w:tc>
              <w:tc>
                <w:tcPr>
                  <w:tcW w:w="1020" w:type="pct"/>
                  <w:vMerge w:val="restart"/>
                  <w:vAlign w:val="center"/>
                </w:tcPr>
                <w:p>
                  <w:pPr>
                    <w:jc w:val="center"/>
                    <w:rPr>
                      <w:bCs/>
                      <w:color w:val="auto"/>
                      <w:szCs w:val="21"/>
                    </w:rPr>
                  </w:pPr>
                </w:p>
              </w:tc>
              <w:tc>
                <w:tcPr>
                  <w:tcW w:w="373" w:type="pct"/>
                  <w:vMerge w:val="restart"/>
                  <w:vAlign w:val="center"/>
                </w:tcPr>
                <w:p>
                  <w:pPr>
                    <w:jc w:val="center"/>
                    <w:rPr>
                      <w:color w:val="auto"/>
                      <w:szCs w:val="21"/>
                    </w:rPr>
                  </w:pPr>
                </w:p>
              </w:tc>
              <w:tc>
                <w:tcPr>
                  <w:tcW w:w="536" w:type="pct"/>
                  <w:vMerge w:val="restart"/>
                  <w:vAlign w:val="center"/>
                </w:tcPr>
                <w:p>
                  <w:pPr>
                    <w:jc w:val="center"/>
                    <w:rPr>
                      <w:color w:val="auto"/>
                      <w:kern w:val="0"/>
                      <w:szCs w:val="21"/>
                    </w:rPr>
                  </w:pPr>
                </w:p>
              </w:tc>
              <w:tc>
                <w:tcPr>
                  <w:tcW w:w="665" w:type="pct"/>
                  <w:vAlign w:val="center"/>
                </w:tcPr>
                <w:p>
                  <w:pPr>
                    <w:jc w:val="center"/>
                    <w:rPr>
                      <w:color w:val="auto"/>
                      <w:kern w:val="0"/>
                      <w:szCs w:val="21"/>
                    </w:rPr>
                  </w:pPr>
                </w:p>
              </w:tc>
              <w:tc>
                <w:tcPr>
                  <w:tcW w:w="498" w:type="pct"/>
                  <w:vAlign w:val="center"/>
                </w:tcPr>
                <w:p>
                  <w:pPr>
                    <w:jc w:val="center"/>
                    <w:rPr>
                      <w:color w:val="auto"/>
                      <w:kern w:val="0"/>
                      <w:szCs w:val="21"/>
                    </w:rPr>
                  </w:pPr>
                </w:p>
              </w:tc>
              <w:tc>
                <w:tcPr>
                  <w:tcW w:w="757" w:type="pct"/>
                  <w:vAlign w:val="center"/>
                </w:tcPr>
                <w:p>
                  <w:pPr>
                    <w:jc w:val="center"/>
                    <w:rPr>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384" w:type="pct"/>
                  <w:vMerge w:val="continue"/>
                  <w:vAlign w:val="center"/>
                </w:tcPr>
                <w:p>
                  <w:pPr>
                    <w:widowControl/>
                    <w:jc w:val="center"/>
                    <w:rPr>
                      <w:color w:val="auto"/>
                      <w:kern w:val="0"/>
                      <w:szCs w:val="21"/>
                    </w:rPr>
                  </w:pPr>
                </w:p>
              </w:tc>
              <w:tc>
                <w:tcPr>
                  <w:tcW w:w="767" w:type="pct"/>
                  <w:vMerge w:val="continue"/>
                  <w:vAlign w:val="center"/>
                </w:tcPr>
                <w:p>
                  <w:pPr>
                    <w:widowControl/>
                    <w:jc w:val="center"/>
                    <w:rPr>
                      <w:color w:val="auto"/>
                      <w:kern w:val="0"/>
                      <w:szCs w:val="21"/>
                    </w:rPr>
                  </w:pPr>
                </w:p>
              </w:tc>
              <w:tc>
                <w:tcPr>
                  <w:tcW w:w="1020" w:type="pct"/>
                  <w:vMerge w:val="continue"/>
                  <w:vAlign w:val="center"/>
                </w:tcPr>
                <w:p>
                  <w:pPr>
                    <w:jc w:val="center"/>
                    <w:rPr>
                      <w:color w:val="auto"/>
                      <w:szCs w:val="21"/>
                    </w:rPr>
                  </w:pPr>
                </w:p>
              </w:tc>
              <w:tc>
                <w:tcPr>
                  <w:tcW w:w="373" w:type="pct"/>
                  <w:vMerge w:val="continue"/>
                  <w:vAlign w:val="center"/>
                </w:tcPr>
                <w:p>
                  <w:pPr>
                    <w:jc w:val="center"/>
                    <w:rPr>
                      <w:color w:val="auto"/>
                      <w:szCs w:val="21"/>
                    </w:rPr>
                  </w:pPr>
                </w:p>
              </w:tc>
              <w:tc>
                <w:tcPr>
                  <w:tcW w:w="536" w:type="pct"/>
                  <w:vMerge w:val="continue"/>
                  <w:vAlign w:val="center"/>
                </w:tcPr>
                <w:p>
                  <w:pPr>
                    <w:jc w:val="center"/>
                    <w:rPr>
                      <w:color w:val="auto"/>
                      <w:kern w:val="0"/>
                      <w:szCs w:val="21"/>
                    </w:rPr>
                  </w:pPr>
                </w:p>
              </w:tc>
              <w:tc>
                <w:tcPr>
                  <w:tcW w:w="665" w:type="pct"/>
                  <w:vAlign w:val="center"/>
                </w:tcPr>
                <w:p>
                  <w:pPr>
                    <w:jc w:val="center"/>
                    <w:rPr>
                      <w:color w:val="auto"/>
                      <w:kern w:val="0"/>
                      <w:szCs w:val="21"/>
                    </w:rPr>
                  </w:pPr>
                </w:p>
              </w:tc>
              <w:tc>
                <w:tcPr>
                  <w:tcW w:w="498" w:type="pct"/>
                  <w:vAlign w:val="center"/>
                </w:tcPr>
                <w:p>
                  <w:pPr>
                    <w:jc w:val="center"/>
                    <w:rPr>
                      <w:color w:val="auto"/>
                      <w:kern w:val="0"/>
                      <w:szCs w:val="21"/>
                    </w:rPr>
                  </w:pPr>
                </w:p>
              </w:tc>
              <w:tc>
                <w:tcPr>
                  <w:tcW w:w="757" w:type="pct"/>
                  <w:vAlign w:val="center"/>
                </w:tcPr>
                <w:p>
                  <w:pPr>
                    <w:jc w:val="center"/>
                    <w:rPr>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384" w:type="pct"/>
                  <w:vMerge w:val="restart"/>
                  <w:vAlign w:val="center"/>
                </w:tcPr>
                <w:p>
                  <w:pPr>
                    <w:widowControl/>
                    <w:jc w:val="center"/>
                    <w:rPr>
                      <w:color w:val="auto"/>
                      <w:kern w:val="0"/>
                      <w:szCs w:val="21"/>
                    </w:rPr>
                  </w:pPr>
                </w:p>
              </w:tc>
              <w:tc>
                <w:tcPr>
                  <w:tcW w:w="767" w:type="pct"/>
                  <w:vMerge w:val="restart"/>
                  <w:vAlign w:val="center"/>
                </w:tcPr>
                <w:p>
                  <w:pPr>
                    <w:widowControl/>
                    <w:jc w:val="center"/>
                    <w:rPr>
                      <w:b/>
                      <w:color w:val="auto"/>
                      <w:kern w:val="0"/>
                      <w:szCs w:val="21"/>
                    </w:rPr>
                  </w:pPr>
                </w:p>
              </w:tc>
              <w:tc>
                <w:tcPr>
                  <w:tcW w:w="1020" w:type="pct"/>
                  <w:vMerge w:val="restart"/>
                  <w:vAlign w:val="center"/>
                </w:tcPr>
                <w:p>
                  <w:pPr>
                    <w:jc w:val="center"/>
                    <w:rPr>
                      <w:color w:val="auto"/>
                      <w:szCs w:val="21"/>
                    </w:rPr>
                  </w:pPr>
                </w:p>
              </w:tc>
              <w:tc>
                <w:tcPr>
                  <w:tcW w:w="373" w:type="pct"/>
                  <w:vMerge w:val="restart"/>
                  <w:vAlign w:val="center"/>
                </w:tcPr>
                <w:p>
                  <w:pPr>
                    <w:jc w:val="center"/>
                    <w:rPr>
                      <w:color w:val="auto"/>
                      <w:szCs w:val="21"/>
                    </w:rPr>
                  </w:pPr>
                </w:p>
              </w:tc>
              <w:tc>
                <w:tcPr>
                  <w:tcW w:w="536" w:type="pct"/>
                  <w:vMerge w:val="restart"/>
                  <w:vAlign w:val="center"/>
                </w:tcPr>
                <w:p>
                  <w:pPr>
                    <w:jc w:val="center"/>
                    <w:rPr>
                      <w:color w:val="auto"/>
                      <w:kern w:val="0"/>
                      <w:szCs w:val="21"/>
                    </w:rPr>
                  </w:pPr>
                </w:p>
              </w:tc>
              <w:tc>
                <w:tcPr>
                  <w:tcW w:w="665" w:type="pct"/>
                  <w:vAlign w:val="center"/>
                </w:tcPr>
                <w:p>
                  <w:pPr>
                    <w:jc w:val="center"/>
                    <w:rPr>
                      <w:color w:val="auto"/>
                      <w:kern w:val="0"/>
                      <w:szCs w:val="21"/>
                    </w:rPr>
                  </w:pPr>
                </w:p>
              </w:tc>
              <w:tc>
                <w:tcPr>
                  <w:tcW w:w="498" w:type="pct"/>
                  <w:vAlign w:val="center"/>
                </w:tcPr>
                <w:p>
                  <w:pPr>
                    <w:jc w:val="center"/>
                    <w:rPr>
                      <w:color w:val="auto"/>
                      <w:kern w:val="0"/>
                      <w:szCs w:val="21"/>
                    </w:rPr>
                  </w:pPr>
                </w:p>
              </w:tc>
              <w:tc>
                <w:tcPr>
                  <w:tcW w:w="757" w:type="pct"/>
                  <w:vAlign w:val="center"/>
                </w:tcPr>
                <w:p>
                  <w:pPr>
                    <w:jc w:val="center"/>
                    <w:rPr>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384" w:type="pct"/>
                  <w:vMerge w:val="continue"/>
                  <w:vAlign w:val="center"/>
                </w:tcPr>
                <w:p>
                  <w:pPr>
                    <w:widowControl/>
                    <w:jc w:val="center"/>
                    <w:rPr>
                      <w:color w:val="auto"/>
                      <w:kern w:val="0"/>
                      <w:szCs w:val="21"/>
                    </w:rPr>
                  </w:pPr>
                </w:p>
              </w:tc>
              <w:tc>
                <w:tcPr>
                  <w:tcW w:w="767" w:type="pct"/>
                  <w:vMerge w:val="continue"/>
                  <w:vAlign w:val="center"/>
                </w:tcPr>
                <w:p>
                  <w:pPr>
                    <w:widowControl/>
                    <w:jc w:val="center"/>
                    <w:rPr>
                      <w:color w:val="auto"/>
                      <w:kern w:val="0"/>
                      <w:szCs w:val="21"/>
                    </w:rPr>
                  </w:pPr>
                </w:p>
              </w:tc>
              <w:tc>
                <w:tcPr>
                  <w:tcW w:w="1020" w:type="pct"/>
                  <w:vMerge w:val="continue"/>
                  <w:vAlign w:val="center"/>
                </w:tcPr>
                <w:p>
                  <w:pPr>
                    <w:jc w:val="center"/>
                    <w:rPr>
                      <w:color w:val="auto"/>
                      <w:szCs w:val="21"/>
                    </w:rPr>
                  </w:pPr>
                </w:p>
              </w:tc>
              <w:tc>
                <w:tcPr>
                  <w:tcW w:w="373" w:type="pct"/>
                  <w:vMerge w:val="continue"/>
                  <w:vAlign w:val="center"/>
                </w:tcPr>
                <w:p>
                  <w:pPr>
                    <w:jc w:val="center"/>
                    <w:rPr>
                      <w:color w:val="auto"/>
                      <w:szCs w:val="21"/>
                    </w:rPr>
                  </w:pPr>
                </w:p>
              </w:tc>
              <w:tc>
                <w:tcPr>
                  <w:tcW w:w="536" w:type="pct"/>
                  <w:vMerge w:val="continue"/>
                  <w:vAlign w:val="center"/>
                </w:tcPr>
                <w:p>
                  <w:pPr>
                    <w:jc w:val="center"/>
                    <w:rPr>
                      <w:color w:val="auto"/>
                      <w:kern w:val="0"/>
                      <w:szCs w:val="21"/>
                    </w:rPr>
                  </w:pPr>
                </w:p>
              </w:tc>
              <w:tc>
                <w:tcPr>
                  <w:tcW w:w="665" w:type="pct"/>
                  <w:vAlign w:val="center"/>
                </w:tcPr>
                <w:p>
                  <w:pPr>
                    <w:jc w:val="center"/>
                    <w:rPr>
                      <w:color w:val="auto"/>
                      <w:kern w:val="0"/>
                      <w:szCs w:val="21"/>
                    </w:rPr>
                  </w:pPr>
                </w:p>
              </w:tc>
              <w:tc>
                <w:tcPr>
                  <w:tcW w:w="498" w:type="pct"/>
                  <w:vAlign w:val="center"/>
                </w:tcPr>
                <w:p>
                  <w:pPr>
                    <w:jc w:val="center"/>
                    <w:rPr>
                      <w:color w:val="auto"/>
                      <w:kern w:val="0"/>
                      <w:szCs w:val="21"/>
                    </w:rPr>
                  </w:pPr>
                </w:p>
              </w:tc>
              <w:tc>
                <w:tcPr>
                  <w:tcW w:w="757" w:type="pct"/>
                  <w:vAlign w:val="center"/>
                </w:tcPr>
                <w:p>
                  <w:pPr>
                    <w:jc w:val="center"/>
                    <w:rPr>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384" w:type="pct"/>
                  <w:vMerge w:val="restart"/>
                  <w:vAlign w:val="center"/>
                </w:tcPr>
                <w:p>
                  <w:pPr>
                    <w:widowControl/>
                    <w:jc w:val="center"/>
                    <w:rPr>
                      <w:color w:val="auto"/>
                      <w:kern w:val="0"/>
                      <w:szCs w:val="21"/>
                    </w:rPr>
                  </w:pPr>
                </w:p>
              </w:tc>
              <w:tc>
                <w:tcPr>
                  <w:tcW w:w="767" w:type="pct"/>
                  <w:vMerge w:val="restart"/>
                  <w:vAlign w:val="center"/>
                </w:tcPr>
                <w:p>
                  <w:pPr>
                    <w:widowControl/>
                    <w:jc w:val="center"/>
                    <w:rPr>
                      <w:color w:val="auto"/>
                      <w:kern w:val="0"/>
                      <w:szCs w:val="21"/>
                    </w:rPr>
                  </w:pPr>
                </w:p>
              </w:tc>
              <w:tc>
                <w:tcPr>
                  <w:tcW w:w="1020" w:type="pct"/>
                  <w:vMerge w:val="restart"/>
                  <w:vAlign w:val="center"/>
                </w:tcPr>
                <w:p>
                  <w:pPr>
                    <w:jc w:val="center"/>
                    <w:rPr>
                      <w:color w:val="auto"/>
                      <w:szCs w:val="21"/>
                    </w:rPr>
                  </w:pPr>
                </w:p>
              </w:tc>
              <w:tc>
                <w:tcPr>
                  <w:tcW w:w="373" w:type="pct"/>
                  <w:vMerge w:val="restart"/>
                  <w:vAlign w:val="center"/>
                </w:tcPr>
                <w:p>
                  <w:pPr>
                    <w:jc w:val="center"/>
                    <w:rPr>
                      <w:color w:val="auto"/>
                      <w:szCs w:val="21"/>
                    </w:rPr>
                  </w:pPr>
                </w:p>
              </w:tc>
              <w:tc>
                <w:tcPr>
                  <w:tcW w:w="536" w:type="pct"/>
                  <w:vMerge w:val="restart"/>
                  <w:vAlign w:val="center"/>
                </w:tcPr>
                <w:p>
                  <w:pPr>
                    <w:jc w:val="center"/>
                    <w:rPr>
                      <w:color w:val="auto"/>
                      <w:kern w:val="0"/>
                      <w:szCs w:val="21"/>
                    </w:rPr>
                  </w:pPr>
                </w:p>
              </w:tc>
              <w:tc>
                <w:tcPr>
                  <w:tcW w:w="665" w:type="pct"/>
                  <w:vAlign w:val="center"/>
                </w:tcPr>
                <w:p>
                  <w:pPr>
                    <w:jc w:val="center"/>
                    <w:rPr>
                      <w:color w:val="auto"/>
                      <w:kern w:val="0"/>
                      <w:szCs w:val="21"/>
                    </w:rPr>
                  </w:pPr>
                </w:p>
              </w:tc>
              <w:tc>
                <w:tcPr>
                  <w:tcW w:w="498" w:type="pct"/>
                  <w:vAlign w:val="center"/>
                </w:tcPr>
                <w:p>
                  <w:pPr>
                    <w:jc w:val="center"/>
                    <w:rPr>
                      <w:color w:val="auto"/>
                      <w:kern w:val="0"/>
                      <w:szCs w:val="21"/>
                    </w:rPr>
                  </w:pPr>
                </w:p>
              </w:tc>
              <w:tc>
                <w:tcPr>
                  <w:tcW w:w="757" w:type="pct"/>
                  <w:vAlign w:val="center"/>
                </w:tcPr>
                <w:p>
                  <w:pPr>
                    <w:jc w:val="center"/>
                    <w:rPr>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384" w:type="pct"/>
                  <w:vMerge w:val="continue"/>
                  <w:vAlign w:val="center"/>
                </w:tcPr>
                <w:p>
                  <w:pPr>
                    <w:widowControl/>
                    <w:jc w:val="center"/>
                    <w:rPr>
                      <w:color w:val="auto"/>
                      <w:kern w:val="0"/>
                      <w:szCs w:val="21"/>
                    </w:rPr>
                  </w:pPr>
                </w:p>
              </w:tc>
              <w:tc>
                <w:tcPr>
                  <w:tcW w:w="767" w:type="pct"/>
                  <w:vMerge w:val="continue"/>
                  <w:vAlign w:val="center"/>
                </w:tcPr>
                <w:p>
                  <w:pPr>
                    <w:widowControl/>
                    <w:jc w:val="center"/>
                    <w:rPr>
                      <w:color w:val="auto"/>
                      <w:kern w:val="0"/>
                      <w:szCs w:val="21"/>
                    </w:rPr>
                  </w:pPr>
                </w:p>
              </w:tc>
              <w:tc>
                <w:tcPr>
                  <w:tcW w:w="1020" w:type="pct"/>
                  <w:vMerge w:val="continue"/>
                  <w:vAlign w:val="center"/>
                </w:tcPr>
                <w:p>
                  <w:pPr>
                    <w:jc w:val="center"/>
                    <w:rPr>
                      <w:color w:val="auto"/>
                      <w:szCs w:val="21"/>
                    </w:rPr>
                  </w:pPr>
                </w:p>
              </w:tc>
              <w:tc>
                <w:tcPr>
                  <w:tcW w:w="373" w:type="pct"/>
                  <w:vMerge w:val="continue"/>
                  <w:vAlign w:val="center"/>
                </w:tcPr>
                <w:p>
                  <w:pPr>
                    <w:jc w:val="center"/>
                    <w:rPr>
                      <w:color w:val="auto"/>
                      <w:szCs w:val="21"/>
                    </w:rPr>
                  </w:pPr>
                </w:p>
              </w:tc>
              <w:tc>
                <w:tcPr>
                  <w:tcW w:w="536" w:type="pct"/>
                  <w:vMerge w:val="continue"/>
                  <w:vAlign w:val="center"/>
                </w:tcPr>
                <w:p>
                  <w:pPr>
                    <w:jc w:val="center"/>
                    <w:rPr>
                      <w:color w:val="auto"/>
                      <w:kern w:val="0"/>
                      <w:szCs w:val="21"/>
                    </w:rPr>
                  </w:pPr>
                </w:p>
              </w:tc>
              <w:tc>
                <w:tcPr>
                  <w:tcW w:w="665" w:type="pct"/>
                  <w:vAlign w:val="center"/>
                </w:tcPr>
                <w:p>
                  <w:pPr>
                    <w:jc w:val="center"/>
                    <w:rPr>
                      <w:color w:val="auto"/>
                      <w:kern w:val="0"/>
                      <w:szCs w:val="21"/>
                    </w:rPr>
                  </w:pPr>
                </w:p>
              </w:tc>
              <w:tc>
                <w:tcPr>
                  <w:tcW w:w="498" w:type="pct"/>
                  <w:vAlign w:val="center"/>
                </w:tcPr>
                <w:p>
                  <w:pPr>
                    <w:jc w:val="center"/>
                    <w:rPr>
                      <w:color w:val="auto"/>
                      <w:kern w:val="0"/>
                      <w:szCs w:val="21"/>
                    </w:rPr>
                  </w:pPr>
                </w:p>
              </w:tc>
              <w:tc>
                <w:tcPr>
                  <w:tcW w:w="757" w:type="pct"/>
                  <w:vAlign w:val="center"/>
                </w:tcPr>
                <w:p>
                  <w:pPr>
                    <w:jc w:val="center"/>
                    <w:rPr>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384" w:type="pct"/>
                  <w:vAlign w:val="center"/>
                </w:tcPr>
                <w:p>
                  <w:pPr>
                    <w:widowControl/>
                    <w:jc w:val="center"/>
                    <w:rPr>
                      <w:color w:val="auto"/>
                      <w:kern w:val="0"/>
                      <w:szCs w:val="21"/>
                    </w:rPr>
                  </w:pPr>
                </w:p>
              </w:tc>
              <w:tc>
                <w:tcPr>
                  <w:tcW w:w="767" w:type="pct"/>
                  <w:vAlign w:val="center"/>
                </w:tcPr>
                <w:p>
                  <w:pPr>
                    <w:widowControl/>
                    <w:jc w:val="center"/>
                    <w:rPr>
                      <w:color w:val="auto"/>
                      <w:kern w:val="0"/>
                      <w:szCs w:val="21"/>
                    </w:rPr>
                  </w:pPr>
                </w:p>
              </w:tc>
              <w:tc>
                <w:tcPr>
                  <w:tcW w:w="1020" w:type="pct"/>
                  <w:vAlign w:val="center"/>
                </w:tcPr>
                <w:p>
                  <w:pPr>
                    <w:jc w:val="center"/>
                    <w:rPr>
                      <w:color w:val="auto"/>
                      <w:szCs w:val="21"/>
                    </w:rPr>
                  </w:pPr>
                </w:p>
              </w:tc>
              <w:tc>
                <w:tcPr>
                  <w:tcW w:w="373" w:type="pct"/>
                  <w:vAlign w:val="center"/>
                </w:tcPr>
                <w:p>
                  <w:pPr>
                    <w:jc w:val="center"/>
                    <w:rPr>
                      <w:color w:val="auto"/>
                      <w:szCs w:val="21"/>
                    </w:rPr>
                  </w:pPr>
                </w:p>
              </w:tc>
              <w:tc>
                <w:tcPr>
                  <w:tcW w:w="536" w:type="pct"/>
                  <w:vAlign w:val="center"/>
                </w:tcPr>
                <w:p>
                  <w:pPr>
                    <w:jc w:val="center"/>
                    <w:rPr>
                      <w:color w:val="auto"/>
                      <w:kern w:val="0"/>
                      <w:szCs w:val="21"/>
                    </w:rPr>
                  </w:pPr>
                </w:p>
              </w:tc>
              <w:tc>
                <w:tcPr>
                  <w:tcW w:w="665" w:type="pct"/>
                  <w:vAlign w:val="center"/>
                </w:tcPr>
                <w:p>
                  <w:pPr>
                    <w:jc w:val="center"/>
                    <w:rPr>
                      <w:color w:val="auto"/>
                      <w:kern w:val="0"/>
                      <w:szCs w:val="21"/>
                    </w:rPr>
                  </w:pPr>
                </w:p>
              </w:tc>
              <w:tc>
                <w:tcPr>
                  <w:tcW w:w="498" w:type="pct"/>
                  <w:vAlign w:val="center"/>
                </w:tcPr>
                <w:p>
                  <w:pPr>
                    <w:jc w:val="center"/>
                    <w:rPr>
                      <w:color w:val="auto"/>
                      <w:kern w:val="0"/>
                      <w:szCs w:val="21"/>
                    </w:rPr>
                  </w:pPr>
                </w:p>
              </w:tc>
              <w:tc>
                <w:tcPr>
                  <w:tcW w:w="757" w:type="pct"/>
                  <w:vAlign w:val="center"/>
                </w:tcPr>
                <w:p>
                  <w:pPr>
                    <w:jc w:val="center"/>
                    <w:rPr>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384" w:type="pct"/>
                  <w:vAlign w:val="center"/>
                </w:tcPr>
                <w:p>
                  <w:pPr>
                    <w:widowControl/>
                    <w:jc w:val="center"/>
                    <w:rPr>
                      <w:color w:val="auto"/>
                      <w:kern w:val="0"/>
                      <w:szCs w:val="21"/>
                    </w:rPr>
                  </w:pPr>
                </w:p>
              </w:tc>
              <w:tc>
                <w:tcPr>
                  <w:tcW w:w="767" w:type="pct"/>
                  <w:vAlign w:val="center"/>
                </w:tcPr>
                <w:p>
                  <w:pPr>
                    <w:widowControl/>
                    <w:jc w:val="center"/>
                    <w:rPr>
                      <w:color w:val="auto"/>
                      <w:kern w:val="0"/>
                      <w:szCs w:val="21"/>
                    </w:rPr>
                  </w:pPr>
                </w:p>
              </w:tc>
              <w:tc>
                <w:tcPr>
                  <w:tcW w:w="1020" w:type="pct"/>
                  <w:vAlign w:val="center"/>
                </w:tcPr>
                <w:p>
                  <w:pPr>
                    <w:jc w:val="center"/>
                    <w:rPr>
                      <w:color w:val="auto"/>
                      <w:szCs w:val="21"/>
                    </w:rPr>
                  </w:pPr>
                </w:p>
              </w:tc>
              <w:tc>
                <w:tcPr>
                  <w:tcW w:w="373" w:type="pct"/>
                  <w:vAlign w:val="center"/>
                </w:tcPr>
                <w:p>
                  <w:pPr>
                    <w:jc w:val="center"/>
                    <w:rPr>
                      <w:color w:val="auto"/>
                      <w:szCs w:val="21"/>
                    </w:rPr>
                  </w:pPr>
                </w:p>
              </w:tc>
              <w:tc>
                <w:tcPr>
                  <w:tcW w:w="536" w:type="pct"/>
                  <w:vAlign w:val="center"/>
                </w:tcPr>
                <w:p>
                  <w:pPr>
                    <w:jc w:val="center"/>
                    <w:rPr>
                      <w:color w:val="auto"/>
                      <w:kern w:val="0"/>
                      <w:szCs w:val="21"/>
                    </w:rPr>
                  </w:pPr>
                </w:p>
              </w:tc>
              <w:tc>
                <w:tcPr>
                  <w:tcW w:w="665" w:type="pct"/>
                  <w:vAlign w:val="center"/>
                </w:tcPr>
                <w:p>
                  <w:pPr>
                    <w:jc w:val="center"/>
                    <w:rPr>
                      <w:color w:val="auto"/>
                      <w:kern w:val="0"/>
                      <w:szCs w:val="21"/>
                    </w:rPr>
                  </w:pPr>
                </w:p>
              </w:tc>
              <w:tc>
                <w:tcPr>
                  <w:tcW w:w="498" w:type="pct"/>
                  <w:vAlign w:val="center"/>
                </w:tcPr>
                <w:p>
                  <w:pPr>
                    <w:jc w:val="center"/>
                    <w:rPr>
                      <w:color w:val="auto"/>
                      <w:kern w:val="0"/>
                      <w:szCs w:val="21"/>
                    </w:rPr>
                  </w:pPr>
                </w:p>
              </w:tc>
              <w:tc>
                <w:tcPr>
                  <w:tcW w:w="757" w:type="pct"/>
                  <w:vAlign w:val="center"/>
                </w:tcPr>
                <w:p>
                  <w:pPr>
                    <w:jc w:val="center"/>
                    <w:rPr>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384" w:type="pct"/>
                  <w:vMerge w:val="restart"/>
                  <w:vAlign w:val="center"/>
                </w:tcPr>
                <w:p>
                  <w:pPr>
                    <w:widowControl/>
                    <w:jc w:val="center"/>
                    <w:rPr>
                      <w:color w:val="auto"/>
                      <w:kern w:val="0"/>
                      <w:szCs w:val="21"/>
                    </w:rPr>
                  </w:pPr>
                </w:p>
              </w:tc>
              <w:tc>
                <w:tcPr>
                  <w:tcW w:w="767" w:type="pct"/>
                  <w:vMerge w:val="restart"/>
                  <w:vAlign w:val="center"/>
                </w:tcPr>
                <w:p>
                  <w:pPr>
                    <w:widowControl/>
                    <w:jc w:val="center"/>
                    <w:rPr>
                      <w:color w:val="auto"/>
                      <w:kern w:val="0"/>
                      <w:szCs w:val="21"/>
                    </w:rPr>
                  </w:pPr>
                </w:p>
              </w:tc>
              <w:tc>
                <w:tcPr>
                  <w:tcW w:w="1020" w:type="pct"/>
                  <w:vMerge w:val="restart"/>
                  <w:vAlign w:val="center"/>
                </w:tcPr>
                <w:p>
                  <w:pPr>
                    <w:jc w:val="center"/>
                    <w:rPr>
                      <w:color w:val="auto"/>
                      <w:szCs w:val="21"/>
                    </w:rPr>
                  </w:pPr>
                </w:p>
              </w:tc>
              <w:tc>
                <w:tcPr>
                  <w:tcW w:w="373" w:type="pct"/>
                  <w:vMerge w:val="restart"/>
                  <w:vAlign w:val="center"/>
                </w:tcPr>
                <w:p>
                  <w:pPr>
                    <w:jc w:val="center"/>
                    <w:rPr>
                      <w:color w:val="auto"/>
                      <w:szCs w:val="21"/>
                    </w:rPr>
                  </w:pPr>
                </w:p>
              </w:tc>
              <w:tc>
                <w:tcPr>
                  <w:tcW w:w="536" w:type="pct"/>
                  <w:vMerge w:val="restart"/>
                  <w:vAlign w:val="center"/>
                </w:tcPr>
                <w:p>
                  <w:pPr>
                    <w:jc w:val="center"/>
                    <w:rPr>
                      <w:color w:val="auto"/>
                      <w:kern w:val="0"/>
                      <w:szCs w:val="21"/>
                    </w:rPr>
                  </w:pPr>
                </w:p>
              </w:tc>
              <w:tc>
                <w:tcPr>
                  <w:tcW w:w="665" w:type="pct"/>
                  <w:vAlign w:val="center"/>
                </w:tcPr>
                <w:p>
                  <w:pPr>
                    <w:jc w:val="center"/>
                    <w:rPr>
                      <w:color w:val="auto"/>
                      <w:kern w:val="0"/>
                      <w:szCs w:val="21"/>
                    </w:rPr>
                  </w:pPr>
                </w:p>
              </w:tc>
              <w:tc>
                <w:tcPr>
                  <w:tcW w:w="498" w:type="pct"/>
                  <w:vAlign w:val="center"/>
                </w:tcPr>
                <w:p>
                  <w:pPr>
                    <w:jc w:val="center"/>
                    <w:rPr>
                      <w:color w:val="auto"/>
                      <w:kern w:val="0"/>
                      <w:szCs w:val="21"/>
                    </w:rPr>
                  </w:pPr>
                </w:p>
              </w:tc>
              <w:tc>
                <w:tcPr>
                  <w:tcW w:w="757" w:type="pct"/>
                  <w:vAlign w:val="center"/>
                </w:tcPr>
                <w:p>
                  <w:pPr>
                    <w:jc w:val="center"/>
                    <w:rPr>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0" w:hRule="atLeast"/>
                <w:jc w:val="center"/>
              </w:trPr>
              <w:tc>
                <w:tcPr>
                  <w:tcW w:w="384" w:type="pct"/>
                  <w:vMerge w:val="continue"/>
                  <w:vAlign w:val="center"/>
                </w:tcPr>
                <w:p>
                  <w:pPr>
                    <w:widowControl/>
                    <w:jc w:val="center"/>
                    <w:rPr>
                      <w:color w:val="auto"/>
                      <w:kern w:val="0"/>
                      <w:szCs w:val="21"/>
                    </w:rPr>
                  </w:pPr>
                </w:p>
              </w:tc>
              <w:tc>
                <w:tcPr>
                  <w:tcW w:w="767" w:type="pct"/>
                  <w:vMerge w:val="continue"/>
                  <w:vAlign w:val="center"/>
                </w:tcPr>
                <w:p>
                  <w:pPr>
                    <w:widowControl/>
                    <w:jc w:val="center"/>
                    <w:rPr>
                      <w:color w:val="auto"/>
                      <w:kern w:val="0"/>
                      <w:szCs w:val="21"/>
                    </w:rPr>
                  </w:pPr>
                </w:p>
              </w:tc>
              <w:tc>
                <w:tcPr>
                  <w:tcW w:w="1020" w:type="pct"/>
                  <w:vMerge w:val="continue"/>
                  <w:vAlign w:val="center"/>
                </w:tcPr>
                <w:p>
                  <w:pPr>
                    <w:jc w:val="center"/>
                    <w:rPr>
                      <w:color w:val="auto"/>
                      <w:szCs w:val="21"/>
                    </w:rPr>
                  </w:pPr>
                </w:p>
              </w:tc>
              <w:tc>
                <w:tcPr>
                  <w:tcW w:w="373" w:type="pct"/>
                  <w:vMerge w:val="continue"/>
                  <w:vAlign w:val="center"/>
                </w:tcPr>
                <w:p>
                  <w:pPr>
                    <w:jc w:val="center"/>
                    <w:rPr>
                      <w:color w:val="auto"/>
                      <w:szCs w:val="21"/>
                    </w:rPr>
                  </w:pPr>
                </w:p>
              </w:tc>
              <w:tc>
                <w:tcPr>
                  <w:tcW w:w="536" w:type="pct"/>
                  <w:vMerge w:val="continue"/>
                  <w:vAlign w:val="center"/>
                </w:tcPr>
                <w:p>
                  <w:pPr>
                    <w:jc w:val="center"/>
                    <w:rPr>
                      <w:color w:val="auto"/>
                      <w:kern w:val="0"/>
                      <w:szCs w:val="21"/>
                    </w:rPr>
                  </w:pPr>
                </w:p>
              </w:tc>
              <w:tc>
                <w:tcPr>
                  <w:tcW w:w="665" w:type="pct"/>
                  <w:vAlign w:val="center"/>
                </w:tcPr>
                <w:p>
                  <w:pPr>
                    <w:jc w:val="center"/>
                    <w:rPr>
                      <w:color w:val="auto"/>
                      <w:kern w:val="0"/>
                      <w:szCs w:val="21"/>
                    </w:rPr>
                  </w:pPr>
                </w:p>
              </w:tc>
              <w:tc>
                <w:tcPr>
                  <w:tcW w:w="498" w:type="pct"/>
                  <w:vAlign w:val="center"/>
                </w:tcPr>
                <w:p>
                  <w:pPr>
                    <w:jc w:val="center"/>
                    <w:rPr>
                      <w:color w:val="auto"/>
                      <w:kern w:val="0"/>
                      <w:szCs w:val="21"/>
                    </w:rPr>
                  </w:pPr>
                </w:p>
              </w:tc>
              <w:tc>
                <w:tcPr>
                  <w:tcW w:w="757" w:type="pct"/>
                  <w:vAlign w:val="center"/>
                </w:tcPr>
                <w:p>
                  <w:pPr>
                    <w:jc w:val="center"/>
                    <w:rPr>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4" w:hRule="atLeast"/>
                <w:jc w:val="center"/>
              </w:trPr>
              <w:tc>
                <w:tcPr>
                  <w:tcW w:w="384" w:type="pct"/>
                  <w:vMerge w:val="restart"/>
                  <w:vAlign w:val="center"/>
                </w:tcPr>
                <w:p>
                  <w:pPr>
                    <w:jc w:val="center"/>
                    <w:rPr>
                      <w:color w:val="auto"/>
                      <w:kern w:val="0"/>
                      <w:szCs w:val="21"/>
                    </w:rPr>
                  </w:pPr>
                </w:p>
              </w:tc>
              <w:tc>
                <w:tcPr>
                  <w:tcW w:w="767" w:type="pct"/>
                  <w:vMerge w:val="restart"/>
                  <w:vAlign w:val="center"/>
                </w:tcPr>
                <w:p>
                  <w:pPr>
                    <w:widowControl/>
                    <w:jc w:val="center"/>
                    <w:rPr>
                      <w:color w:val="auto"/>
                      <w:kern w:val="0"/>
                      <w:szCs w:val="21"/>
                    </w:rPr>
                  </w:pPr>
                </w:p>
              </w:tc>
              <w:tc>
                <w:tcPr>
                  <w:tcW w:w="1020" w:type="pct"/>
                  <w:vMerge w:val="restart"/>
                  <w:vAlign w:val="center"/>
                </w:tcPr>
                <w:p>
                  <w:pPr>
                    <w:keepNext/>
                    <w:keepLines/>
                    <w:adjustRightInd w:val="0"/>
                    <w:snapToGrid w:val="0"/>
                    <w:jc w:val="center"/>
                    <w:outlineLvl w:val="2"/>
                    <w:rPr>
                      <w:bCs/>
                      <w:color w:val="auto"/>
                      <w:szCs w:val="21"/>
                    </w:rPr>
                  </w:pPr>
                </w:p>
              </w:tc>
              <w:tc>
                <w:tcPr>
                  <w:tcW w:w="373" w:type="pct"/>
                  <w:vMerge w:val="restart"/>
                  <w:vAlign w:val="center"/>
                </w:tcPr>
                <w:p>
                  <w:pPr>
                    <w:jc w:val="center"/>
                    <w:rPr>
                      <w:color w:val="auto"/>
                      <w:szCs w:val="21"/>
                    </w:rPr>
                  </w:pPr>
                </w:p>
              </w:tc>
              <w:tc>
                <w:tcPr>
                  <w:tcW w:w="536" w:type="pct"/>
                  <w:vMerge w:val="restart"/>
                  <w:vAlign w:val="center"/>
                </w:tcPr>
                <w:p>
                  <w:pPr>
                    <w:jc w:val="center"/>
                    <w:rPr>
                      <w:color w:val="auto"/>
                      <w:kern w:val="0"/>
                      <w:szCs w:val="21"/>
                    </w:rPr>
                  </w:pPr>
                </w:p>
              </w:tc>
              <w:tc>
                <w:tcPr>
                  <w:tcW w:w="665" w:type="pct"/>
                  <w:vAlign w:val="center"/>
                </w:tcPr>
                <w:p>
                  <w:pPr>
                    <w:widowControl/>
                    <w:jc w:val="center"/>
                    <w:rPr>
                      <w:color w:val="auto"/>
                      <w:kern w:val="0"/>
                      <w:szCs w:val="21"/>
                    </w:rPr>
                  </w:pPr>
                </w:p>
              </w:tc>
              <w:tc>
                <w:tcPr>
                  <w:tcW w:w="498" w:type="pct"/>
                  <w:vAlign w:val="center"/>
                </w:tcPr>
                <w:p>
                  <w:pPr>
                    <w:keepNext/>
                    <w:keepLines/>
                    <w:adjustRightInd w:val="0"/>
                    <w:snapToGrid w:val="0"/>
                    <w:jc w:val="center"/>
                    <w:outlineLvl w:val="2"/>
                    <w:rPr>
                      <w:bCs/>
                      <w:color w:val="auto"/>
                      <w:szCs w:val="21"/>
                    </w:rPr>
                  </w:pPr>
                </w:p>
              </w:tc>
              <w:tc>
                <w:tcPr>
                  <w:tcW w:w="757" w:type="pct"/>
                  <w:vAlign w:val="center"/>
                </w:tcPr>
                <w:p>
                  <w:pPr>
                    <w:jc w:val="center"/>
                    <w:rPr>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9" w:hRule="atLeast"/>
                <w:jc w:val="center"/>
              </w:trPr>
              <w:tc>
                <w:tcPr>
                  <w:tcW w:w="384" w:type="pct"/>
                  <w:vMerge w:val="continue"/>
                  <w:vAlign w:val="center"/>
                </w:tcPr>
                <w:p>
                  <w:pPr>
                    <w:jc w:val="center"/>
                    <w:rPr>
                      <w:color w:val="auto"/>
                      <w:kern w:val="0"/>
                      <w:szCs w:val="21"/>
                    </w:rPr>
                  </w:pPr>
                </w:p>
              </w:tc>
              <w:tc>
                <w:tcPr>
                  <w:tcW w:w="767" w:type="pct"/>
                  <w:vMerge w:val="continue"/>
                  <w:vAlign w:val="center"/>
                </w:tcPr>
                <w:p>
                  <w:pPr>
                    <w:widowControl/>
                    <w:jc w:val="center"/>
                    <w:rPr>
                      <w:color w:val="auto"/>
                      <w:kern w:val="0"/>
                      <w:szCs w:val="21"/>
                    </w:rPr>
                  </w:pPr>
                </w:p>
              </w:tc>
              <w:tc>
                <w:tcPr>
                  <w:tcW w:w="1020" w:type="pct"/>
                  <w:vMerge w:val="continue"/>
                  <w:vAlign w:val="center"/>
                </w:tcPr>
                <w:p>
                  <w:pPr>
                    <w:jc w:val="center"/>
                    <w:rPr>
                      <w:color w:val="auto"/>
                      <w:szCs w:val="21"/>
                    </w:rPr>
                  </w:pPr>
                </w:p>
              </w:tc>
              <w:tc>
                <w:tcPr>
                  <w:tcW w:w="373" w:type="pct"/>
                  <w:vMerge w:val="continue"/>
                  <w:vAlign w:val="center"/>
                </w:tcPr>
                <w:p>
                  <w:pPr>
                    <w:jc w:val="center"/>
                    <w:rPr>
                      <w:color w:val="auto"/>
                      <w:szCs w:val="21"/>
                    </w:rPr>
                  </w:pPr>
                </w:p>
              </w:tc>
              <w:tc>
                <w:tcPr>
                  <w:tcW w:w="536" w:type="pct"/>
                  <w:vMerge w:val="continue"/>
                  <w:vAlign w:val="center"/>
                </w:tcPr>
                <w:p>
                  <w:pPr>
                    <w:jc w:val="center"/>
                    <w:rPr>
                      <w:color w:val="auto"/>
                      <w:kern w:val="0"/>
                      <w:szCs w:val="21"/>
                    </w:rPr>
                  </w:pPr>
                </w:p>
              </w:tc>
              <w:tc>
                <w:tcPr>
                  <w:tcW w:w="665" w:type="pct"/>
                  <w:vAlign w:val="center"/>
                </w:tcPr>
                <w:p>
                  <w:pPr>
                    <w:widowControl/>
                    <w:jc w:val="center"/>
                    <w:rPr>
                      <w:color w:val="auto"/>
                      <w:kern w:val="0"/>
                      <w:szCs w:val="21"/>
                    </w:rPr>
                  </w:pPr>
                </w:p>
              </w:tc>
              <w:tc>
                <w:tcPr>
                  <w:tcW w:w="498" w:type="pct"/>
                  <w:vAlign w:val="center"/>
                </w:tcPr>
                <w:p>
                  <w:pPr>
                    <w:keepNext/>
                    <w:keepLines/>
                    <w:adjustRightInd w:val="0"/>
                    <w:snapToGrid w:val="0"/>
                    <w:jc w:val="center"/>
                    <w:outlineLvl w:val="2"/>
                    <w:rPr>
                      <w:bCs/>
                      <w:color w:val="auto"/>
                      <w:szCs w:val="21"/>
                    </w:rPr>
                  </w:pPr>
                </w:p>
              </w:tc>
              <w:tc>
                <w:tcPr>
                  <w:tcW w:w="757" w:type="pct"/>
                  <w:vAlign w:val="center"/>
                </w:tcPr>
                <w:p>
                  <w:pPr>
                    <w:jc w:val="center"/>
                    <w:rPr>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384" w:type="pct"/>
                  <w:vAlign w:val="center"/>
                </w:tcPr>
                <w:p>
                  <w:pPr>
                    <w:widowControl/>
                    <w:jc w:val="center"/>
                    <w:rPr>
                      <w:color w:val="auto"/>
                      <w:kern w:val="0"/>
                      <w:szCs w:val="21"/>
                    </w:rPr>
                  </w:pPr>
                </w:p>
              </w:tc>
              <w:tc>
                <w:tcPr>
                  <w:tcW w:w="767" w:type="pct"/>
                  <w:vAlign w:val="center"/>
                </w:tcPr>
                <w:p>
                  <w:pPr>
                    <w:widowControl/>
                    <w:jc w:val="center"/>
                    <w:rPr>
                      <w:color w:val="auto"/>
                      <w:kern w:val="0"/>
                      <w:szCs w:val="21"/>
                    </w:rPr>
                  </w:pPr>
                </w:p>
              </w:tc>
              <w:tc>
                <w:tcPr>
                  <w:tcW w:w="1020" w:type="pct"/>
                  <w:vAlign w:val="center"/>
                </w:tcPr>
                <w:p>
                  <w:pPr>
                    <w:jc w:val="center"/>
                    <w:rPr>
                      <w:color w:val="auto"/>
                      <w:szCs w:val="21"/>
                    </w:rPr>
                  </w:pPr>
                </w:p>
              </w:tc>
              <w:tc>
                <w:tcPr>
                  <w:tcW w:w="373" w:type="pct"/>
                  <w:vAlign w:val="center"/>
                </w:tcPr>
                <w:p>
                  <w:pPr>
                    <w:jc w:val="center"/>
                    <w:rPr>
                      <w:color w:val="auto"/>
                      <w:szCs w:val="21"/>
                    </w:rPr>
                  </w:pPr>
                </w:p>
              </w:tc>
              <w:tc>
                <w:tcPr>
                  <w:tcW w:w="536" w:type="pct"/>
                  <w:vAlign w:val="center"/>
                </w:tcPr>
                <w:p>
                  <w:pPr>
                    <w:jc w:val="center"/>
                    <w:rPr>
                      <w:color w:val="auto"/>
                      <w:kern w:val="0"/>
                      <w:szCs w:val="21"/>
                    </w:rPr>
                  </w:pPr>
                </w:p>
              </w:tc>
              <w:tc>
                <w:tcPr>
                  <w:tcW w:w="665" w:type="pct"/>
                  <w:vAlign w:val="center"/>
                </w:tcPr>
                <w:p>
                  <w:pPr>
                    <w:jc w:val="center"/>
                    <w:rPr>
                      <w:color w:val="auto"/>
                      <w:kern w:val="0"/>
                      <w:szCs w:val="21"/>
                    </w:rPr>
                  </w:pPr>
                </w:p>
              </w:tc>
              <w:tc>
                <w:tcPr>
                  <w:tcW w:w="498" w:type="pct"/>
                  <w:vAlign w:val="center"/>
                </w:tcPr>
                <w:p>
                  <w:pPr>
                    <w:jc w:val="center"/>
                    <w:rPr>
                      <w:color w:val="auto"/>
                      <w:kern w:val="0"/>
                      <w:szCs w:val="21"/>
                    </w:rPr>
                  </w:pPr>
                </w:p>
              </w:tc>
              <w:tc>
                <w:tcPr>
                  <w:tcW w:w="757" w:type="pct"/>
                  <w:vAlign w:val="center"/>
                </w:tcPr>
                <w:p>
                  <w:pPr>
                    <w:jc w:val="center"/>
                    <w:rPr>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384" w:type="pct"/>
                  <w:vAlign w:val="center"/>
                </w:tcPr>
                <w:p>
                  <w:pPr>
                    <w:widowControl/>
                    <w:jc w:val="center"/>
                    <w:rPr>
                      <w:color w:val="auto"/>
                      <w:kern w:val="0"/>
                      <w:szCs w:val="21"/>
                    </w:rPr>
                  </w:pPr>
                </w:p>
              </w:tc>
              <w:tc>
                <w:tcPr>
                  <w:tcW w:w="767" w:type="pct"/>
                  <w:vAlign w:val="center"/>
                </w:tcPr>
                <w:p>
                  <w:pPr>
                    <w:widowControl/>
                    <w:jc w:val="center"/>
                    <w:rPr>
                      <w:color w:val="auto"/>
                      <w:kern w:val="0"/>
                      <w:szCs w:val="21"/>
                    </w:rPr>
                  </w:pPr>
                </w:p>
              </w:tc>
              <w:tc>
                <w:tcPr>
                  <w:tcW w:w="1020" w:type="pct"/>
                  <w:vAlign w:val="center"/>
                </w:tcPr>
                <w:p>
                  <w:pPr>
                    <w:jc w:val="center"/>
                    <w:rPr>
                      <w:color w:val="auto"/>
                      <w:szCs w:val="21"/>
                    </w:rPr>
                  </w:pPr>
                </w:p>
              </w:tc>
              <w:tc>
                <w:tcPr>
                  <w:tcW w:w="373" w:type="pct"/>
                  <w:vAlign w:val="center"/>
                </w:tcPr>
                <w:p>
                  <w:pPr>
                    <w:jc w:val="center"/>
                    <w:rPr>
                      <w:color w:val="auto"/>
                      <w:szCs w:val="21"/>
                    </w:rPr>
                  </w:pPr>
                </w:p>
              </w:tc>
              <w:tc>
                <w:tcPr>
                  <w:tcW w:w="536" w:type="pct"/>
                  <w:vAlign w:val="center"/>
                </w:tcPr>
                <w:p>
                  <w:pPr>
                    <w:jc w:val="center"/>
                    <w:rPr>
                      <w:color w:val="auto"/>
                      <w:kern w:val="0"/>
                      <w:szCs w:val="21"/>
                    </w:rPr>
                  </w:pPr>
                </w:p>
              </w:tc>
              <w:tc>
                <w:tcPr>
                  <w:tcW w:w="665" w:type="pct"/>
                  <w:vAlign w:val="center"/>
                </w:tcPr>
                <w:p>
                  <w:pPr>
                    <w:jc w:val="center"/>
                    <w:rPr>
                      <w:color w:val="auto"/>
                      <w:kern w:val="0"/>
                      <w:szCs w:val="21"/>
                    </w:rPr>
                  </w:pPr>
                </w:p>
              </w:tc>
              <w:tc>
                <w:tcPr>
                  <w:tcW w:w="498" w:type="pct"/>
                  <w:vAlign w:val="center"/>
                </w:tcPr>
                <w:p>
                  <w:pPr>
                    <w:jc w:val="center"/>
                    <w:rPr>
                      <w:color w:val="auto"/>
                      <w:kern w:val="0"/>
                      <w:szCs w:val="21"/>
                    </w:rPr>
                  </w:pPr>
                </w:p>
              </w:tc>
              <w:tc>
                <w:tcPr>
                  <w:tcW w:w="757" w:type="pct"/>
                  <w:vAlign w:val="center"/>
                </w:tcPr>
                <w:p>
                  <w:pPr>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384" w:type="pct"/>
                  <w:vAlign w:val="center"/>
                </w:tcPr>
                <w:p>
                  <w:pPr>
                    <w:widowControl/>
                    <w:jc w:val="center"/>
                    <w:rPr>
                      <w:color w:val="auto"/>
                      <w:kern w:val="0"/>
                      <w:szCs w:val="21"/>
                    </w:rPr>
                  </w:pPr>
                </w:p>
              </w:tc>
              <w:tc>
                <w:tcPr>
                  <w:tcW w:w="767" w:type="pct"/>
                  <w:vAlign w:val="center"/>
                </w:tcPr>
                <w:p>
                  <w:pPr>
                    <w:widowControl/>
                    <w:jc w:val="center"/>
                    <w:rPr>
                      <w:color w:val="auto"/>
                      <w:kern w:val="0"/>
                      <w:szCs w:val="21"/>
                    </w:rPr>
                  </w:pPr>
                </w:p>
              </w:tc>
              <w:tc>
                <w:tcPr>
                  <w:tcW w:w="1020" w:type="pct"/>
                  <w:vAlign w:val="center"/>
                </w:tcPr>
                <w:p>
                  <w:pPr>
                    <w:jc w:val="center"/>
                    <w:rPr>
                      <w:color w:val="auto"/>
                      <w:szCs w:val="21"/>
                    </w:rPr>
                  </w:pPr>
                </w:p>
              </w:tc>
              <w:tc>
                <w:tcPr>
                  <w:tcW w:w="373" w:type="pct"/>
                  <w:vAlign w:val="center"/>
                </w:tcPr>
                <w:p>
                  <w:pPr>
                    <w:jc w:val="center"/>
                    <w:rPr>
                      <w:color w:val="auto"/>
                      <w:szCs w:val="21"/>
                    </w:rPr>
                  </w:pPr>
                </w:p>
              </w:tc>
              <w:tc>
                <w:tcPr>
                  <w:tcW w:w="536" w:type="pct"/>
                  <w:vAlign w:val="center"/>
                </w:tcPr>
                <w:p>
                  <w:pPr>
                    <w:jc w:val="center"/>
                    <w:rPr>
                      <w:color w:val="auto"/>
                      <w:kern w:val="0"/>
                      <w:szCs w:val="21"/>
                    </w:rPr>
                  </w:pPr>
                </w:p>
              </w:tc>
              <w:tc>
                <w:tcPr>
                  <w:tcW w:w="665" w:type="pct"/>
                  <w:vAlign w:val="center"/>
                </w:tcPr>
                <w:p>
                  <w:pPr>
                    <w:jc w:val="center"/>
                    <w:rPr>
                      <w:color w:val="auto"/>
                      <w:kern w:val="0"/>
                      <w:szCs w:val="21"/>
                    </w:rPr>
                  </w:pPr>
                </w:p>
              </w:tc>
              <w:tc>
                <w:tcPr>
                  <w:tcW w:w="498" w:type="pct"/>
                  <w:vAlign w:val="center"/>
                </w:tcPr>
                <w:p>
                  <w:pPr>
                    <w:jc w:val="center"/>
                    <w:rPr>
                      <w:color w:val="auto"/>
                      <w:kern w:val="0"/>
                      <w:szCs w:val="21"/>
                    </w:rPr>
                  </w:pPr>
                </w:p>
              </w:tc>
              <w:tc>
                <w:tcPr>
                  <w:tcW w:w="757" w:type="pct"/>
                  <w:vAlign w:val="center"/>
                </w:tcPr>
                <w:p>
                  <w:pPr>
                    <w:jc w:val="center"/>
                    <w:rPr>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384" w:type="pct"/>
                  <w:vAlign w:val="center"/>
                </w:tcPr>
                <w:p>
                  <w:pPr>
                    <w:widowControl/>
                    <w:jc w:val="center"/>
                    <w:rPr>
                      <w:color w:val="auto"/>
                      <w:kern w:val="0"/>
                      <w:szCs w:val="21"/>
                    </w:rPr>
                  </w:pPr>
                </w:p>
              </w:tc>
              <w:tc>
                <w:tcPr>
                  <w:tcW w:w="767" w:type="pct"/>
                  <w:vAlign w:val="center"/>
                </w:tcPr>
                <w:p>
                  <w:pPr>
                    <w:widowControl/>
                    <w:jc w:val="center"/>
                    <w:rPr>
                      <w:color w:val="auto"/>
                      <w:kern w:val="0"/>
                      <w:szCs w:val="21"/>
                    </w:rPr>
                  </w:pPr>
                </w:p>
              </w:tc>
              <w:tc>
                <w:tcPr>
                  <w:tcW w:w="1020" w:type="pct"/>
                  <w:vAlign w:val="center"/>
                </w:tcPr>
                <w:p>
                  <w:pPr>
                    <w:jc w:val="center"/>
                    <w:rPr>
                      <w:color w:val="auto"/>
                      <w:szCs w:val="21"/>
                    </w:rPr>
                  </w:pPr>
                </w:p>
              </w:tc>
              <w:tc>
                <w:tcPr>
                  <w:tcW w:w="373" w:type="pct"/>
                  <w:vAlign w:val="center"/>
                </w:tcPr>
                <w:p>
                  <w:pPr>
                    <w:jc w:val="center"/>
                    <w:rPr>
                      <w:color w:val="auto"/>
                      <w:szCs w:val="21"/>
                    </w:rPr>
                  </w:pPr>
                </w:p>
              </w:tc>
              <w:tc>
                <w:tcPr>
                  <w:tcW w:w="536" w:type="pct"/>
                  <w:vAlign w:val="center"/>
                </w:tcPr>
                <w:p>
                  <w:pPr>
                    <w:jc w:val="center"/>
                    <w:rPr>
                      <w:color w:val="auto"/>
                      <w:kern w:val="0"/>
                      <w:szCs w:val="21"/>
                    </w:rPr>
                  </w:pPr>
                </w:p>
              </w:tc>
              <w:tc>
                <w:tcPr>
                  <w:tcW w:w="665" w:type="pct"/>
                  <w:vAlign w:val="center"/>
                </w:tcPr>
                <w:p>
                  <w:pPr>
                    <w:jc w:val="center"/>
                    <w:rPr>
                      <w:color w:val="auto"/>
                      <w:kern w:val="0"/>
                      <w:szCs w:val="21"/>
                    </w:rPr>
                  </w:pPr>
                </w:p>
              </w:tc>
              <w:tc>
                <w:tcPr>
                  <w:tcW w:w="498" w:type="pct"/>
                  <w:vAlign w:val="center"/>
                </w:tcPr>
                <w:p>
                  <w:pPr>
                    <w:jc w:val="center"/>
                    <w:rPr>
                      <w:color w:val="auto"/>
                      <w:kern w:val="0"/>
                      <w:szCs w:val="21"/>
                    </w:rPr>
                  </w:pPr>
                </w:p>
              </w:tc>
              <w:tc>
                <w:tcPr>
                  <w:tcW w:w="757" w:type="pct"/>
                  <w:vAlign w:val="center"/>
                </w:tcPr>
                <w:p>
                  <w:pPr>
                    <w:jc w:val="center"/>
                    <w:rPr>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384" w:type="pct"/>
                  <w:vAlign w:val="center"/>
                </w:tcPr>
                <w:p>
                  <w:pPr>
                    <w:widowControl/>
                    <w:jc w:val="center"/>
                    <w:rPr>
                      <w:color w:val="auto"/>
                      <w:kern w:val="0"/>
                      <w:szCs w:val="21"/>
                    </w:rPr>
                  </w:pPr>
                </w:p>
              </w:tc>
              <w:tc>
                <w:tcPr>
                  <w:tcW w:w="767" w:type="pct"/>
                  <w:vAlign w:val="center"/>
                </w:tcPr>
                <w:p>
                  <w:pPr>
                    <w:widowControl/>
                    <w:jc w:val="center"/>
                    <w:rPr>
                      <w:color w:val="auto"/>
                      <w:kern w:val="0"/>
                      <w:szCs w:val="21"/>
                    </w:rPr>
                  </w:pPr>
                </w:p>
              </w:tc>
              <w:tc>
                <w:tcPr>
                  <w:tcW w:w="1020" w:type="pct"/>
                  <w:vAlign w:val="center"/>
                </w:tcPr>
                <w:p>
                  <w:pPr>
                    <w:jc w:val="center"/>
                    <w:rPr>
                      <w:color w:val="auto"/>
                      <w:szCs w:val="21"/>
                    </w:rPr>
                  </w:pPr>
                </w:p>
              </w:tc>
              <w:tc>
                <w:tcPr>
                  <w:tcW w:w="373" w:type="pct"/>
                  <w:vAlign w:val="center"/>
                </w:tcPr>
                <w:p>
                  <w:pPr>
                    <w:jc w:val="center"/>
                    <w:rPr>
                      <w:color w:val="auto"/>
                      <w:szCs w:val="21"/>
                    </w:rPr>
                  </w:pPr>
                </w:p>
              </w:tc>
              <w:tc>
                <w:tcPr>
                  <w:tcW w:w="536" w:type="pct"/>
                  <w:vAlign w:val="center"/>
                </w:tcPr>
                <w:p>
                  <w:pPr>
                    <w:jc w:val="center"/>
                    <w:rPr>
                      <w:color w:val="auto"/>
                      <w:kern w:val="0"/>
                      <w:szCs w:val="21"/>
                    </w:rPr>
                  </w:pPr>
                </w:p>
              </w:tc>
              <w:tc>
                <w:tcPr>
                  <w:tcW w:w="665" w:type="pct"/>
                  <w:vAlign w:val="center"/>
                </w:tcPr>
                <w:p>
                  <w:pPr>
                    <w:jc w:val="center"/>
                    <w:rPr>
                      <w:color w:val="auto"/>
                      <w:kern w:val="0"/>
                      <w:szCs w:val="21"/>
                    </w:rPr>
                  </w:pPr>
                </w:p>
              </w:tc>
              <w:tc>
                <w:tcPr>
                  <w:tcW w:w="498" w:type="pct"/>
                  <w:vAlign w:val="center"/>
                </w:tcPr>
                <w:p>
                  <w:pPr>
                    <w:jc w:val="center"/>
                    <w:rPr>
                      <w:color w:val="auto"/>
                      <w:kern w:val="0"/>
                      <w:szCs w:val="21"/>
                    </w:rPr>
                  </w:pPr>
                </w:p>
              </w:tc>
              <w:tc>
                <w:tcPr>
                  <w:tcW w:w="757" w:type="pct"/>
                  <w:vAlign w:val="center"/>
                </w:tcPr>
                <w:p>
                  <w:pPr>
                    <w:jc w:val="center"/>
                    <w:rPr>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384" w:type="pct"/>
                  <w:vAlign w:val="center"/>
                </w:tcPr>
                <w:p>
                  <w:pPr>
                    <w:widowControl/>
                    <w:jc w:val="center"/>
                    <w:rPr>
                      <w:color w:val="auto"/>
                      <w:kern w:val="0"/>
                      <w:szCs w:val="21"/>
                    </w:rPr>
                  </w:pPr>
                </w:p>
              </w:tc>
              <w:tc>
                <w:tcPr>
                  <w:tcW w:w="767" w:type="pct"/>
                  <w:vAlign w:val="center"/>
                </w:tcPr>
                <w:p>
                  <w:pPr>
                    <w:widowControl/>
                    <w:jc w:val="center"/>
                    <w:rPr>
                      <w:color w:val="auto"/>
                      <w:kern w:val="0"/>
                      <w:szCs w:val="21"/>
                    </w:rPr>
                  </w:pPr>
                </w:p>
              </w:tc>
              <w:tc>
                <w:tcPr>
                  <w:tcW w:w="1020" w:type="pct"/>
                  <w:vAlign w:val="center"/>
                </w:tcPr>
                <w:p>
                  <w:pPr>
                    <w:jc w:val="center"/>
                    <w:rPr>
                      <w:color w:val="auto"/>
                      <w:szCs w:val="21"/>
                    </w:rPr>
                  </w:pPr>
                </w:p>
              </w:tc>
              <w:tc>
                <w:tcPr>
                  <w:tcW w:w="373" w:type="pct"/>
                  <w:vAlign w:val="center"/>
                </w:tcPr>
                <w:p>
                  <w:pPr>
                    <w:jc w:val="center"/>
                    <w:rPr>
                      <w:color w:val="auto"/>
                      <w:szCs w:val="21"/>
                    </w:rPr>
                  </w:pPr>
                </w:p>
              </w:tc>
              <w:tc>
                <w:tcPr>
                  <w:tcW w:w="536" w:type="pct"/>
                  <w:vAlign w:val="center"/>
                </w:tcPr>
                <w:p>
                  <w:pPr>
                    <w:jc w:val="center"/>
                    <w:rPr>
                      <w:color w:val="auto"/>
                      <w:kern w:val="0"/>
                      <w:szCs w:val="21"/>
                    </w:rPr>
                  </w:pPr>
                </w:p>
              </w:tc>
              <w:tc>
                <w:tcPr>
                  <w:tcW w:w="665" w:type="pct"/>
                  <w:vAlign w:val="center"/>
                </w:tcPr>
                <w:p>
                  <w:pPr>
                    <w:jc w:val="center"/>
                    <w:rPr>
                      <w:color w:val="auto"/>
                      <w:kern w:val="0"/>
                      <w:szCs w:val="21"/>
                    </w:rPr>
                  </w:pPr>
                </w:p>
              </w:tc>
              <w:tc>
                <w:tcPr>
                  <w:tcW w:w="498" w:type="pct"/>
                  <w:vAlign w:val="center"/>
                </w:tcPr>
                <w:p>
                  <w:pPr>
                    <w:jc w:val="center"/>
                    <w:rPr>
                      <w:color w:val="auto"/>
                      <w:kern w:val="0"/>
                      <w:szCs w:val="21"/>
                    </w:rPr>
                  </w:pPr>
                </w:p>
              </w:tc>
              <w:tc>
                <w:tcPr>
                  <w:tcW w:w="757" w:type="pct"/>
                  <w:vAlign w:val="center"/>
                </w:tcPr>
                <w:p>
                  <w:pPr>
                    <w:jc w:val="center"/>
                    <w:rPr>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384" w:type="pct"/>
                  <w:vAlign w:val="center"/>
                </w:tcPr>
                <w:p>
                  <w:pPr>
                    <w:widowControl/>
                    <w:jc w:val="center"/>
                    <w:rPr>
                      <w:color w:val="auto"/>
                      <w:kern w:val="0"/>
                      <w:szCs w:val="21"/>
                    </w:rPr>
                  </w:pPr>
                </w:p>
              </w:tc>
              <w:tc>
                <w:tcPr>
                  <w:tcW w:w="767" w:type="pct"/>
                  <w:vAlign w:val="center"/>
                </w:tcPr>
                <w:p>
                  <w:pPr>
                    <w:widowControl/>
                    <w:jc w:val="center"/>
                    <w:rPr>
                      <w:color w:val="auto"/>
                      <w:kern w:val="0"/>
                      <w:szCs w:val="21"/>
                    </w:rPr>
                  </w:pPr>
                </w:p>
              </w:tc>
              <w:tc>
                <w:tcPr>
                  <w:tcW w:w="1020" w:type="pct"/>
                  <w:vAlign w:val="center"/>
                </w:tcPr>
                <w:p>
                  <w:pPr>
                    <w:jc w:val="center"/>
                    <w:rPr>
                      <w:color w:val="auto"/>
                      <w:szCs w:val="21"/>
                    </w:rPr>
                  </w:pPr>
                </w:p>
              </w:tc>
              <w:tc>
                <w:tcPr>
                  <w:tcW w:w="373" w:type="pct"/>
                  <w:vAlign w:val="center"/>
                </w:tcPr>
                <w:p>
                  <w:pPr>
                    <w:jc w:val="center"/>
                    <w:rPr>
                      <w:color w:val="auto"/>
                      <w:szCs w:val="21"/>
                    </w:rPr>
                  </w:pPr>
                </w:p>
              </w:tc>
              <w:tc>
                <w:tcPr>
                  <w:tcW w:w="536" w:type="pct"/>
                  <w:vAlign w:val="center"/>
                </w:tcPr>
                <w:p>
                  <w:pPr>
                    <w:jc w:val="center"/>
                    <w:rPr>
                      <w:color w:val="auto"/>
                      <w:kern w:val="0"/>
                      <w:szCs w:val="21"/>
                    </w:rPr>
                  </w:pPr>
                </w:p>
              </w:tc>
              <w:tc>
                <w:tcPr>
                  <w:tcW w:w="665" w:type="pct"/>
                  <w:vAlign w:val="center"/>
                </w:tcPr>
                <w:p>
                  <w:pPr>
                    <w:jc w:val="center"/>
                    <w:rPr>
                      <w:color w:val="auto"/>
                      <w:kern w:val="0"/>
                      <w:szCs w:val="21"/>
                    </w:rPr>
                  </w:pPr>
                </w:p>
              </w:tc>
              <w:tc>
                <w:tcPr>
                  <w:tcW w:w="498" w:type="pct"/>
                  <w:vAlign w:val="center"/>
                </w:tcPr>
                <w:p>
                  <w:pPr>
                    <w:jc w:val="center"/>
                    <w:rPr>
                      <w:color w:val="auto"/>
                      <w:kern w:val="0"/>
                      <w:szCs w:val="21"/>
                    </w:rPr>
                  </w:pPr>
                </w:p>
              </w:tc>
              <w:tc>
                <w:tcPr>
                  <w:tcW w:w="757" w:type="pct"/>
                  <w:vAlign w:val="center"/>
                </w:tcPr>
                <w:p>
                  <w:pPr>
                    <w:jc w:val="center"/>
                    <w:rPr>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384" w:type="pct"/>
                  <w:vAlign w:val="center"/>
                </w:tcPr>
                <w:p>
                  <w:pPr>
                    <w:widowControl/>
                    <w:jc w:val="center"/>
                    <w:rPr>
                      <w:color w:val="auto"/>
                      <w:kern w:val="0"/>
                      <w:szCs w:val="21"/>
                    </w:rPr>
                  </w:pPr>
                </w:p>
              </w:tc>
              <w:tc>
                <w:tcPr>
                  <w:tcW w:w="767" w:type="pct"/>
                  <w:vAlign w:val="center"/>
                </w:tcPr>
                <w:p>
                  <w:pPr>
                    <w:widowControl/>
                    <w:jc w:val="center"/>
                    <w:rPr>
                      <w:color w:val="auto"/>
                      <w:kern w:val="0"/>
                      <w:szCs w:val="21"/>
                    </w:rPr>
                  </w:pPr>
                </w:p>
              </w:tc>
              <w:tc>
                <w:tcPr>
                  <w:tcW w:w="1020" w:type="pct"/>
                  <w:vAlign w:val="center"/>
                </w:tcPr>
                <w:p>
                  <w:pPr>
                    <w:jc w:val="center"/>
                    <w:rPr>
                      <w:color w:val="auto"/>
                      <w:szCs w:val="21"/>
                    </w:rPr>
                  </w:pPr>
                </w:p>
              </w:tc>
              <w:tc>
                <w:tcPr>
                  <w:tcW w:w="373" w:type="pct"/>
                  <w:vAlign w:val="center"/>
                </w:tcPr>
                <w:p>
                  <w:pPr>
                    <w:jc w:val="center"/>
                    <w:rPr>
                      <w:color w:val="auto"/>
                      <w:szCs w:val="21"/>
                    </w:rPr>
                  </w:pPr>
                </w:p>
              </w:tc>
              <w:tc>
                <w:tcPr>
                  <w:tcW w:w="536" w:type="pct"/>
                  <w:vAlign w:val="center"/>
                </w:tcPr>
                <w:p>
                  <w:pPr>
                    <w:jc w:val="center"/>
                    <w:rPr>
                      <w:color w:val="auto"/>
                      <w:kern w:val="0"/>
                      <w:szCs w:val="21"/>
                    </w:rPr>
                  </w:pPr>
                </w:p>
              </w:tc>
              <w:tc>
                <w:tcPr>
                  <w:tcW w:w="665" w:type="pct"/>
                  <w:vAlign w:val="center"/>
                </w:tcPr>
                <w:p>
                  <w:pPr>
                    <w:jc w:val="center"/>
                    <w:rPr>
                      <w:color w:val="auto"/>
                      <w:kern w:val="0"/>
                      <w:szCs w:val="21"/>
                    </w:rPr>
                  </w:pPr>
                </w:p>
              </w:tc>
              <w:tc>
                <w:tcPr>
                  <w:tcW w:w="498" w:type="pct"/>
                  <w:vAlign w:val="center"/>
                </w:tcPr>
                <w:p>
                  <w:pPr>
                    <w:jc w:val="center"/>
                    <w:rPr>
                      <w:color w:val="auto"/>
                      <w:kern w:val="0"/>
                      <w:szCs w:val="21"/>
                    </w:rPr>
                  </w:pPr>
                </w:p>
              </w:tc>
              <w:tc>
                <w:tcPr>
                  <w:tcW w:w="757" w:type="pct"/>
                  <w:vAlign w:val="center"/>
                </w:tcPr>
                <w:p>
                  <w:pPr>
                    <w:jc w:val="center"/>
                    <w:rPr>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384" w:type="pct"/>
                  <w:vAlign w:val="center"/>
                </w:tcPr>
                <w:p>
                  <w:pPr>
                    <w:widowControl/>
                    <w:jc w:val="center"/>
                    <w:rPr>
                      <w:color w:val="auto"/>
                      <w:kern w:val="0"/>
                      <w:szCs w:val="21"/>
                    </w:rPr>
                  </w:pPr>
                </w:p>
              </w:tc>
              <w:tc>
                <w:tcPr>
                  <w:tcW w:w="767" w:type="pct"/>
                  <w:vAlign w:val="center"/>
                </w:tcPr>
                <w:p>
                  <w:pPr>
                    <w:widowControl/>
                    <w:jc w:val="center"/>
                    <w:rPr>
                      <w:color w:val="auto"/>
                      <w:kern w:val="0"/>
                      <w:szCs w:val="21"/>
                    </w:rPr>
                  </w:pPr>
                </w:p>
              </w:tc>
              <w:tc>
                <w:tcPr>
                  <w:tcW w:w="1020" w:type="pct"/>
                  <w:vAlign w:val="center"/>
                </w:tcPr>
                <w:p>
                  <w:pPr>
                    <w:jc w:val="center"/>
                    <w:rPr>
                      <w:color w:val="auto"/>
                      <w:szCs w:val="21"/>
                    </w:rPr>
                  </w:pPr>
                </w:p>
              </w:tc>
              <w:tc>
                <w:tcPr>
                  <w:tcW w:w="373" w:type="pct"/>
                  <w:vAlign w:val="center"/>
                </w:tcPr>
                <w:p>
                  <w:pPr>
                    <w:jc w:val="center"/>
                    <w:rPr>
                      <w:color w:val="auto"/>
                      <w:szCs w:val="21"/>
                    </w:rPr>
                  </w:pPr>
                </w:p>
              </w:tc>
              <w:tc>
                <w:tcPr>
                  <w:tcW w:w="536" w:type="pct"/>
                  <w:vAlign w:val="center"/>
                </w:tcPr>
                <w:p>
                  <w:pPr>
                    <w:jc w:val="center"/>
                    <w:rPr>
                      <w:color w:val="auto"/>
                      <w:kern w:val="0"/>
                      <w:szCs w:val="21"/>
                    </w:rPr>
                  </w:pPr>
                </w:p>
              </w:tc>
              <w:tc>
                <w:tcPr>
                  <w:tcW w:w="665" w:type="pct"/>
                  <w:vAlign w:val="center"/>
                </w:tcPr>
                <w:p>
                  <w:pPr>
                    <w:jc w:val="center"/>
                    <w:rPr>
                      <w:color w:val="auto"/>
                      <w:kern w:val="0"/>
                      <w:szCs w:val="21"/>
                    </w:rPr>
                  </w:pPr>
                </w:p>
              </w:tc>
              <w:tc>
                <w:tcPr>
                  <w:tcW w:w="498" w:type="pct"/>
                  <w:vAlign w:val="center"/>
                </w:tcPr>
                <w:p>
                  <w:pPr>
                    <w:jc w:val="center"/>
                    <w:rPr>
                      <w:color w:val="auto"/>
                      <w:kern w:val="0"/>
                      <w:szCs w:val="21"/>
                    </w:rPr>
                  </w:pPr>
                </w:p>
              </w:tc>
              <w:tc>
                <w:tcPr>
                  <w:tcW w:w="757" w:type="pct"/>
                  <w:vAlign w:val="center"/>
                </w:tcPr>
                <w:p>
                  <w:pPr>
                    <w:jc w:val="center"/>
                    <w:rPr>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384" w:type="pct"/>
                  <w:vAlign w:val="center"/>
                </w:tcPr>
                <w:p>
                  <w:pPr>
                    <w:widowControl/>
                    <w:jc w:val="center"/>
                    <w:rPr>
                      <w:color w:val="auto"/>
                      <w:kern w:val="0"/>
                      <w:szCs w:val="21"/>
                    </w:rPr>
                  </w:pPr>
                </w:p>
              </w:tc>
              <w:tc>
                <w:tcPr>
                  <w:tcW w:w="767" w:type="pct"/>
                  <w:vAlign w:val="center"/>
                </w:tcPr>
                <w:p>
                  <w:pPr>
                    <w:widowControl/>
                    <w:jc w:val="center"/>
                    <w:rPr>
                      <w:color w:val="auto"/>
                      <w:kern w:val="0"/>
                      <w:szCs w:val="21"/>
                    </w:rPr>
                  </w:pPr>
                </w:p>
              </w:tc>
              <w:tc>
                <w:tcPr>
                  <w:tcW w:w="1020" w:type="pct"/>
                  <w:vAlign w:val="center"/>
                </w:tcPr>
                <w:p>
                  <w:pPr>
                    <w:jc w:val="center"/>
                    <w:rPr>
                      <w:color w:val="auto"/>
                      <w:szCs w:val="21"/>
                    </w:rPr>
                  </w:pPr>
                </w:p>
              </w:tc>
              <w:tc>
                <w:tcPr>
                  <w:tcW w:w="373" w:type="pct"/>
                  <w:vAlign w:val="center"/>
                </w:tcPr>
                <w:p>
                  <w:pPr>
                    <w:jc w:val="center"/>
                    <w:rPr>
                      <w:color w:val="auto"/>
                      <w:szCs w:val="21"/>
                    </w:rPr>
                  </w:pPr>
                </w:p>
              </w:tc>
              <w:tc>
                <w:tcPr>
                  <w:tcW w:w="536" w:type="pct"/>
                  <w:vAlign w:val="center"/>
                </w:tcPr>
                <w:p>
                  <w:pPr>
                    <w:jc w:val="center"/>
                    <w:rPr>
                      <w:color w:val="auto"/>
                      <w:kern w:val="0"/>
                      <w:szCs w:val="21"/>
                    </w:rPr>
                  </w:pPr>
                </w:p>
              </w:tc>
              <w:tc>
                <w:tcPr>
                  <w:tcW w:w="665" w:type="pct"/>
                  <w:vAlign w:val="center"/>
                </w:tcPr>
                <w:p>
                  <w:pPr>
                    <w:jc w:val="center"/>
                    <w:rPr>
                      <w:color w:val="auto"/>
                      <w:kern w:val="0"/>
                      <w:szCs w:val="21"/>
                    </w:rPr>
                  </w:pPr>
                </w:p>
              </w:tc>
              <w:tc>
                <w:tcPr>
                  <w:tcW w:w="498" w:type="pct"/>
                  <w:vAlign w:val="center"/>
                </w:tcPr>
                <w:p>
                  <w:pPr>
                    <w:jc w:val="center"/>
                    <w:rPr>
                      <w:color w:val="auto"/>
                      <w:kern w:val="0"/>
                      <w:szCs w:val="21"/>
                    </w:rPr>
                  </w:pPr>
                </w:p>
              </w:tc>
              <w:tc>
                <w:tcPr>
                  <w:tcW w:w="757" w:type="pct"/>
                  <w:vAlign w:val="center"/>
                </w:tcPr>
                <w:p>
                  <w:pPr>
                    <w:jc w:val="center"/>
                    <w:rPr>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384" w:type="pct"/>
                  <w:vAlign w:val="center"/>
                </w:tcPr>
                <w:p>
                  <w:pPr>
                    <w:widowControl/>
                    <w:jc w:val="center"/>
                    <w:rPr>
                      <w:color w:val="auto"/>
                      <w:kern w:val="0"/>
                      <w:szCs w:val="21"/>
                    </w:rPr>
                  </w:pPr>
                </w:p>
              </w:tc>
              <w:tc>
                <w:tcPr>
                  <w:tcW w:w="767" w:type="pct"/>
                  <w:vAlign w:val="center"/>
                </w:tcPr>
                <w:p>
                  <w:pPr>
                    <w:widowControl/>
                    <w:jc w:val="center"/>
                    <w:rPr>
                      <w:color w:val="auto"/>
                      <w:kern w:val="0"/>
                      <w:szCs w:val="21"/>
                    </w:rPr>
                  </w:pPr>
                </w:p>
              </w:tc>
              <w:tc>
                <w:tcPr>
                  <w:tcW w:w="1020" w:type="pct"/>
                  <w:vAlign w:val="center"/>
                </w:tcPr>
                <w:p>
                  <w:pPr>
                    <w:jc w:val="center"/>
                    <w:rPr>
                      <w:color w:val="auto"/>
                      <w:szCs w:val="21"/>
                    </w:rPr>
                  </w:pPr>
                </w:p>
              </w:tc>
              <w:tc>
                <w:tcPr>
                  <w:tcW w:w="373" w:type="pct"/>
                  <w:vAlign w:val="center"/>
                </w:tcPr>
                <w:p>
                  <w:pPr>
                    <w:jc w:val="center"/>
                    <w:rPr>
                      <w:color w:val="auto"/>
                      <w:szCs w:val="21"/>
                    </w:rPr>
                  </w:pPr>
                </w:p>
              </w:tc>
              <w:tc>
                <w:tcPr>
                  <w:tcW w:w="536" w:type="pct"/>
                  <w:vAlign w:val="center"/>
                </w:tcPr>
                <w:p>
                  <w:pPr>
                    <w:jc w:val="center"/>
                    <w:rPr>
                      <w:color w:val="auto"/>
                      <w:kern w:val="0"/>
                      <w:szCs w:val="21"/>
                    </w:rPr>
                  </w:pPr>
                </w:p>
              </w:tc>
              <w:tc>
                <w:tcPr>
                  <w:tcW w:w="665" w:type="pct"/>
                  <w:vAlign w:val="center"/>
                </w:tcPr>
                <w:p>
                  <w:pPr>
                    <w:jc w:val="center"/>
                    <w:rPr>
                      <w:color w:val="auto"/>
                      <w:kern w:val="0"/>
                      <w:szCs w:val="21"/>
                    </w:rPr>
                  </w:pPr>
                </w:p>
              </w:tc>
              <w:tc>
                <w:tcPr>
                  <w:tcW w:w="498" w:type="pct"/>
                  <w:vAlign w:val="center"/>
                </w:tcPr>
                <w:p>
                  <w:pPr>
                    <w:jc w:val="center"/>
                    <w:rPr>
                      <w:color w:val="auto"/>
                      <w:kern w:val="0"/>
                      <w:szCs w:val="21"/>
                    </w:rPr>
                  </w:pPr>
                </w:p>
              </w:tc>
              <w:tc>
                <w:tcPr>
                  <w:tcW w:w="757" w:type="pct"/>
                  <w:vAlign w:val="center"/>
                </w:tcPr>
                <w:p>
                  <w:pPr>
                    <w:jc w:val="center"/>
                    <w:rPr>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384" w:type="pct"/>
                  <w:vAlign w:val="center"/>
                </w:tcPr>
                <w:p>
                  <w:pPr>
                    <w:jc w:val="center"/>
                    <w:rPr>
                      <w:color w:val="auto"/>
                      <w:kern w:val="0"/>
                      <w:szCs w:val="21"/>
                    </w:rPr>
                  </w:pPr>
                </w:p>
              </w:tc>
              <w:tc>
                <w:tcPr>
                  <w:tcW w:w="767" w:type="pct"/>
                  <w:vAlign w:val="center"/>
                </w:tcPr>
                <w:p>
                  <w:pPr>
                    <w:jc w:val="center"/>
                    <w:rPr>
                      <w:color w:val="auto"/>
                      <w:kern w:val="0"/>
                      <w:szCs w:val="21"/>
                    </w:rPr>
                  </w:pPr>
                </w:p>
              </w:tc>
              <w:tc>
                <w:tcPr>
                  <w:tcW w:w="1020" w:type="pct"/>
                  <w:vAlign w:val="center"/>
                </w:tcPr>
                <w:p>
                  <w:pPr>
                    <w:jc w:val="center"/>
                    <w:rPr>
                      <w:color w:val="auto"/>
                      <w:szCs w:val="21"/>
                    </w:rPr>
                  </w:pPr>
                </w:p>
              </w:tc>
              <w:tc>
                <w:tcPr>
                  <w:tcW w:w="373" w:type="pct"/>
                  <w:vAlign w:val="center"/>
                </w:tcPr>
                <w:p>
                  <w:pPr>
                    <w:jc w:val="center"/>
                    <w:rPr>
                      <w:color w:val="auto"/>
                      <w:szCs w:val="21"/>
                    </w:rPr>
                  </w:pPr>
                </w:p>
              </w:tc>
              <w:tc>
                <w:tcPr>
                  <w:tcW w:w="536" w:type="pct"/>
                  <w:vAlign w:val="center"/>
                </w:tcPr>
                <w:p>
                  <w:pPr>
                    <w:jc w:val="center"/>
                    <w:rPr>
                      <w:color w:val="auto"/>
                      <w:kern w:val="0"/>
                      <w:szCs w:val="21"/>
                    </w:rPr>
                  </w:pPr>
                </w:p>
              </w:tc>
              <w:tc>
                <w:tcPr>
                  <w:tcW w:w="665" w:type="pct"/>
                  <w:vAlign w:val="center"/>
                </w:tcPr>
                <w:p>
                  <w:pPr>
                    <w:jc w:val="center"/>
                    <w:rPr>
                      <w:color w:val="auto"/>
                      <w:kern w:val="0"/>
                      <w:szCs w:val="21"/>
                    </w:rPr>
                  </w:pPr>
                </w:p>
              </w:tc>
              <w:tc>
                <w:tcPr>
                  <w:tcW w:w="498" w:type="pct"/>
                  <w:vAlign w:val="center"/>
                </w:tcPr>
                <w:p>
                  <w:pPr>
                    <w:jc w:val="center"/>
                    <w:rPr>
                      <w:color w:val="auto"/>
                      <w:kern w:val="0"/>
                      <w:szCs w:val="21"/>
                    </w:rPr>
                  </w:pPr>
                </w:p>
              </w:tc>
              <w:tc>
                <w:tcPr>
                  <w:tcW w:w="757" w:type="pct"/>
                  <w:vAlign w:val="center"/>
                </w:tcPr>
                <w:p>
                  <w:pPr>
                    <w:jc w:val="center"/>
                    <w:rPr>
                      <w:color w:val="auto"/>
                      <w:kern w:val="0"/>
                      <w:szCs w:val="21"/>
                    </w:rPr>
                  </w:pPr>
                </w:p>
              </w:tc>
            </w:tr>
          </w:tbl>
          <w:p>
            <w:pPr>
              <w:snapToGrid w:val="0"/>
              <w:spacing w:beforeLines="50" w:line="360" w:lineRule="auto"/>
              <w:jc w:val="center"/>
              <w:rPr>
                <w:b/>
                <w:bCs/>
                <w:color w:val="auto"/>
                <w:sz w:val="24"/>
              </w:rPr>
            </w:pPr>
            <w:r>
              <w:rPr>
                <w:b/>
                <w:bCs/>
                <w:color w:val="auto"/>
                <w:sz w:val="24"/>
              </w:rPr>
              <w:t>表2-</w:t>
            </w:r>
            <w:r>
              <w:rPr>
                <w:rFonts w:hint="eastAsia"/>
                <w:b/>
                <w:bCs/>
                <w:color w:val="auto"/>
                <w:sz w:val="24"/>
              </w:rPr>
              <w:t>5</w:t>
            </w:r>
            <w:r>
              <w:rPr>
                <w:b/>
                <w:bCs/>
                <w:color w:val="auto"/>
                <w:sz w:val="24"/>
              </w:rPr>
              <w:t xml:space="preserve">  主要原辅材料理化性质</w:t>
            </w:r>
          </w:p>
          <w:tbl>
            <w:tblPr>
              <w:tblStyle w:val="3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9"/>
              <w:gridCol w:w="1077"/>
              <w:gridCol w:w="972"/>
              <w:gridCol w:w="2432"/>
              <w:gridCol w:w="2046"/>
              <w:gridCol w:w="15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05" w:hRule="atLeast"/>
                <w:jc w:val="center"/>
              </w:trPr>
              <w:tc>
                <w:tcPr>
                  <w:tcW w:w="290" w:type="pct"/>
                  <w:vAlign w:val="center"/>
                </w:tcPr>
                <w:p>
                  <w:pPr>
                    <w:jc w:val="center"/>
                    <w:rPr>
                      <w:bCs/>
                      <w:color w:val="auto"/>
                      <w:kern w:val="0"/>
                      <w:szCs w:val="21"/>
                    </w:rPr>
                  </w:pPr>
                  <w:r>
                    <w:rPr>
                      <w:bCs/>
                      <w:color w:val="auto"/>
                      <w:kern w:val="0"/>
                      <w:szCs w:val="21"/>
                    </w:rPr>
                    <w:t>序号</w:t>
                  </w:r>
                </w:p>
              </w:tc>
              <w:tc>
                <w:tcPr>
                  <w:tcW w:w="625" w:type="pct"/>
                  <w:vAlign w:val="center"/>
                </w:tcPr>
                <w:p>
                  <w:pPr>
                    <w:jc w:val="center"/>
                    <w:rPr>
                      <w:bCs/>
                      <w:color w:val="auto"/>
                      <w:kern w:val="0"/>
                      <w:szCs w:val="21"/>
                    </w:rPr>
                  </w:pPr>
                  <w:r>
                    <w:rPr>
                      <w:bCs/>
                      <w:color w:val="auto"/>
                      <w:kern w:val="0"/>
                      <w:szCs w:val="21"/>
                    </w:rPr>
                    <w:t>品名</w:t>
                  </w:r>
                </w:p>
              </w:tc>
              <w:tc>
                <w:tcPr>
                  <w:tcW w:w="564" w:type="pct"/>
                  <w:vAlign w:val="center"/>
                </w:tcPr>
                <w:p>
                  <w:pPr>
                    <w:jc w:val="center"/>
                    <w:rPr>
                      <w:bCs/>
                      <w:color w:val="auto"/>
                      <w:szCs w:val="21"/>
                    </w:rPr>
                  </w:pPr>
                  <w:r>
                    <w:rPr>
                      <w:bCs/>
                      <w:color w:val="auto"/>
                      <w:szCs w:val="21"/>
                    </w:rPr>
                    <w:t>分子式</w:t>
                  </w:r>
                </w:p>
              </w:tc>
              <w:tc>
                <w:tcPr>
                  <w:tcW w:w="1411" w:type="pct"/>
                  <w:vAlign w:val="center"/>
                </w:tcPr>
                <w:p>
                  <w:pPr>
                    <w:jc w:val="center"/>
                    <w:rPr>
                      <w:bCs/>
                      <w:color w:val="auto"/>
                      <w:kern w:val="0"/>
                      <w:szCs w:val="21"/>
                    </w:rPr>
                  </w:pPr>
                  <w:r>
                    <w:rPr>
                      <w:bCs/>
                      <w:color w:val="auto"/>
                      <w:kern w:val="0"/>
                      <w:szCs w:val="21"/>
                    </w:rPr>
                    <w:t>理化性质</w:t>
                  </w:r>
                </w:p>
              </w:tc>
              <w:tc>
                <w:tcPr>
                  <w:tcW w:w="1187" w:type="pct"/>
                  <w:vAlign w:val="center"/>
                </w:tcPr>
                <w:p>
                  <w:pPr>
                    <w:jc w:val="center"/>
                    <w:rPr>
                      <w:bCs/>
                      <w:color w:val="auto"/>
                      <w:kern w:val="0"/>
                      <w:szCs w:val="21"/>
                    </w:rPr>
                  </w:pPr>
                  <w:r>
                    <w:rPr>
                      <w:bCs/>
                      <w:color w:val="auto"/>
                      <w:kern w:val="0"/>
                      <w:szCs w:val="21"/>
                    </w:rPr>
                    <w:t>毒性</w:t>
                  </w:r>
                </w:p>
              </w:tc>
              <w:tc>
                <w:tcPr>
                  <w:tcW w:w="923" w:type="pct"/>
                  <w:vAlign w:val="center"/>
                </w:tcPr>
                <w:p>
                  <w:pPr>
                    <w:jc w:val="center"/>
                    <w:rPr>
                      <w:bCs/>
                      <w:color w:val="auto"/>
                      <w:kern w:val="0"/>
                      <w:szCs w:val="21"/>
                    </w:rPr>
                  </w:pPr>
                  <w:r>
                    <w:rPr>
                      <w:bCs/>
                      <w:color w:val="auto"/>
                      <w:kern w:val="0"/>
                      <w:szCs w:val="21"/>
                    </w:rPr>
                    <w:t>燃烧爆炸性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290" w:type="pct"/>
                  <w:vAlign w:val="center"/>
                </w:tcPr>
                <w:p>
                  <w:pPr>
                    <w:widowControl/>
                    <w:numPr>
                      <w:ilvl w:val="0"/>
                      <w:numId w:val="3"/>
                    </w:numPr>
                    <w:jc w:val="center"/>
                    <w:rPr>
                      <w:color w:val="auto"/>
                      <w:kern w:val="0"/>
                      <w:szCs w:val="21"/>
                    </w:rPr>
                  </w:pPr>
                </w:p>
              </w:tc>
              <w:tc>
                <w:tcPr>
                  <w:tcW w:w="625" w:type="pct"/>
                  <w:vAlign w:val="center"/>
                </w:tcPr>
                <w:p>
                  <w:pPr>
                    <w:widowControl/>
                    <w:jc w:val="center"/>
                    <w:rPr>
                      <w:color w:val="auto"/>
                      <w:kern w:val="0"/>
                      <w:szCs w:val="21"/>
                    </w:rPr>
                  </w:pPr>
                  <w:r>
                    <w:rPr>
                      <w:color w:val="auto"/>
                      <w:kern w:val="0"/>
                      <w:szCs w:val="21"/>
                    </w:rPr>
                    <w:t>无水乙醇</w:t>
                  </w:r>
                </w:p>
              </w:tc>
              <w:tc>
                <w:tcPr>
                  <w:tcW w:w="564" w:type="pct"/>
                  <w:vAlign w:val="center"/>
                </w:tcPr>
                <w:p>
                  <w:pPr>
                    <w:jc w:val="center"/>
                    <w:rPr>
                      <w:color w:val="auto"/>
                      <w:szCs w:val="21"/>
                    </w:rPr>
                  </w:pPr>
                  <w:r>
                    <w:rPr>
                      <w:color w:val="auto"/>
                      <w:szCs w:val="21"/>
                    </w:rPr>
                    <w:t>C</w:t>
                  </w:r>
                  <w:r>
                    <w:rPr>
                      <w:color w:val="auto"/>
                      <w:szCs w:val="21"/>
                      <w:vertAlign w:val="subscript"/>
                    </w:rPr>
                    <w:t>2</w:t>
                  </w:r>
                  <w:r>
                    <w:rPr>
                      <w:color w:val="auto"/>
                      <w:szCs w:val="21"/>
                    </w:rPr>
                    <w:t>H</w:t>
                  </w:r>
                  <w:r>
                    <w:rPr>
                      <w:color w:val="auto"/>
                      <w:szCs w:val="21"/>
                      <w:vertAlign w:val="subscript"/>
                    </w:rPr>
                    <w:t>6</w:t>
                  </w:r>
                  <w:r>
                    <w:rPr>
                      <w:color w:val="auto"/>
                      <w:szCs w:val="21"/>
                    </w:rPr>
                    <w:t>O</w:t>
                  </w:r>
                </w:p>
              </w:tc>
              <w:tc>
                <w:tcPr>
                  <w:tcW w:w="1411" w:type="pct"/>
                  <w:vAlign w:val="center"/>
                </w:tcPr>
                <w:p>
                  <w:pPr>
                    <w:jc w:val="center"/>
                    <w:rPr>
                      <w:color w:val="auto"/>
                      <w:kern w:val="0"/>
                      <w:szCs w:val="21"/>
                    </w:rPr>
                  </w:pPr>
                  <w:r>
                    <w:rPr>
                      <w:color w:val="auto"/>
                      <w:kern w:val="0"/>
                      <w:szCs w:val="21"/>
                    </w:rPr>
                    <w:t>外观与性状：无色液体，有酒香。熔点（</w:t>
                  </w:r>
                  <w:r>
                    <w:rPr>
                      <w:rFonts w:hint="eastAsia" w:ascii="宋体" w:hAnsi="宋体" w:cs="宋体"/>
                      <w:color w:val="auto"/>
                      <w:kern w:val="0"/>
                      <w:szCs w:val="21"/>
                    </w:rPr>
                    <w:t>℃</w:t>
                  </w:r>
                  <w:r>
                    <w:rPr>
                      <w:color w:val="auto"/>
                      <w:kern w:val="0"/>
                      <w:szCs w:val="21"/>
                    </w:rPr>
                    <w:t>）：-114.1</w:t>
                  </w:r>
                  <w:r>
                    <w:rPr>
                      <w:rFonts w:hint="eastAsia"/>
                      <w:color w:val="auto"/>
                      <w:kern w:val="0"/>
                      <w:szCs w:val="21"/>
                    </w:rPr>
                    <w:t>，</w:t>
                  </w:r>
                  <w:r>
                    <w:rPr>
                      <w:color w:val="auto"/>
                      <w:kern w:val="0"/>
                      <w:szCs w:val="21"/>
                    </w:rPr>
                    <w:t>相对密度（水＝1）：0.79（20</w:t>
                  </w:r>
                  <w:r>
                    <w:rPr>
                      <w:rFonts w:hint="eastAsia" w:ascii="宋体" w:hAnsi="宋体" w:cs="宋体"/>
                      <w:color w:val="auto"/>
                      <w:kern w:val="0"/>
                      <w:szCs w:val="21"/>
                    </w:rPr>
                    <w:t>℃</w:t>
                  </w:r>
                  <w:r>
                    <w:rPr>
                      <w:color w:val="auto"/>
                      <w:kern w:val="0"/>
                      <w:szCs w:val="21"/>
                    </w:rPr>
                    <w:t>）沸点（</w:t>
                  </w:r>
                  <w:r>
                    <w:rPr>
                      <w:rFonts w:hint="eastAsia" w:ascii="宋体" w:hAnsi="宋体" w:cs="宋体"/>
                      <w:color w:val="auto"/>
                      <w:kern w:val="0"/>
                      <w:szCs w:val="21"/>
                    </w:rPr>
                    <w:t>℃</w:t>
                  </w:r>
                  <w:r>
                    <w:rPr>
                      <w:color w:val="auto"/>
                      <w:kern w:val="0"/>
                      <w:szCs w:val="21"/>
                    </w:rPr>
                    <w:t>）：78.3相对蒸气密度（空气＝1）：1.59辛醇/水分配系数0.32</w:t>
                  </w:r>
                  <w:r>
                    <w:rPr>
                      <w:rFonts w:hint="eastAsia"/>
                      <w:color w:val="auto"/>
                      <w:kern w:val="0"/>
                      <w:szCs w:val="21"/>
                    </w:rPr>
                    <w:t>，</w:t>
                  </w:r>
                </w:p>
                <w:p>
                  <w:pPr>
                    <w:jc w:val="center"/>
                    <w:rPr>
                      <w:color w:val="auto"/>
                      <w:kern w:val="0"/>
                      <w:szCs w:val="21"/>
                    </w:rPr>
                  </w:pPr>
                  <w:r>
                    <w:rPr>
                      <w:color w:val="auto"/>
                      <w:kern w:val="0"/>
                      <w:szCs w:val="21"/>
                    </w:rPr>
                    <w:t>闪点（</w:t>
                  </w:r>
                  <w:r>
                    <w:rPr>
                      <w:rFonts w:hint="eastAsia"/>
                      <w:color w:val="auto"/>
                      <w:kern w:val="0"/>
                      <w:szCs w:val="21"/>
                    </w:rPr>
                    <w:t>℃</w:t>
                  </w:r>
                  <w:r>
                    <w:rPr>
                      <w:color w:val="auto"/>
                      <w:kern w:val="0"/>
                      <w:szCs w:val="21"/>
                    </w:rPr>
                    <w:t>）：13（CC）；17（OC），引燃温度（</w:t>
                  </w:r>
                  <w:r>
                    <w:rPr>
                      <w:rFonts w:hint="eastAsia" w:ascii="宋体" w:hAnsi="宋体" w:cs="宋体"/>
                      <w:color w:val="auto"/>
                      <w:kern w:val="0"/>
                      <w:szCs w:val="21"/>
                    </w:rPr>
                    <w:t>℃</w:t>
                  </w:r>
                  <w:r>
                    <w:rPr>
                      <w:color w:val="auto"/>
                      <w:kern w:val="0"/>
                      <w:szCs w:val="21"/>
                    </w:rPr>
                    <w:t>）：363，燃烧热（kJ/mol）：-1365.5</w:t>
                  </w:r>
                  <w:r>
                    <w:rPr>
                      <w:color w:val="auto"/>
                      <w:kern w:val="0"/>
                      <w:szCs w:val="21"/>
                    </w:rPr>
                    <w:tab/>
                  </w:r>
                  <w:r>
                    <w:rPr>
                      <w:color w:val="auto"/>
                      <w:kern w:val="0"/>
                      <w:szCs w:val="21"/>
                    </w:rPr>
                    <w:t>临界温度（</w:t>
                  </w:r>
                  <w:r>
                    <w:rPr>
                      <w:rFonts w:hint="eastAsia" w:ascii="宋体" w:hAnsi="宋体" w:cs="宋体"/>
                      <w:color w:val="auto"/>
                      <w:kern w:val="0"/>
                      <w:szCs w:val="21"/>
                    </w:rPr>
                    <w:t>℃</w:t>
                  </w:r>
                  <w:r>
                    <w:rPr>
                      <w:color w:val="auto"/>
                      <w:kern w:val="0"/>
                      <w:szCs w:val="21"/>
                    </w:rPr>
                    <w:t>）</w:t>
                  </w:r>
                  <w:r>
                    <w:rPr>
                      <w:color w:val="auto"/>
                      <w:kern w:val="0"/>
                      <w:szCs w:val="21"/>
                    </w:rPr>
                    <w:cr/>
                  </w:r>
                  <w:r>
                    <w:rPr>
                      <w:color w:val="auto"/>
                      <w:kern w:val="0"/>
                      <w:szCs w:val="21"/>
                    </w:rPr>
                    <w:t>243.1，临界压力（MPa）：6.38，饱和蒸气压（KPa）：5.8（20</w:t>
                  </w:r>
                  <w:r>
                    <w:rPr>
                      <w:rFonts w:hint="eastAsia" w:ascii="宋体" w:hAnsi="宋体" w:cs="宋体"/>
                      <w:color w:val="auto"/>
                      <w:kern w:val="0"/>
                      <w:szCs w:val="21"/>
                    </w:rPr>
                    <w:t>℃</w:t>
                  </w:r>
                  <w:r>
                    <w:rPr>
                      <w:color w:val="auto"/>
                      <w:kern w:val="0"/>
                      <w:szCs w:val="21"/>
                    </w:rPr>
                    <w:t>），溶解性：与水混溶，可混溶于醚、氯仿、甘油、甲醇等多数有机溶剂。</w:t>
                  </w:r>
                </w:p>
              </w:tc>
              <w:tc>
                <w:tcPr>
                  <w:tcW w:w="1187" w:type="pct"/>
                  <w:vAlign w:val="center"/>
                </w:tcPr>
                <w:p>
                  <w:pPr>
                    <w:jc w:val="center"/>
                    <w:rPr>
                      <w:color w:val="auto"/>
                      <w:kern w:val="0"/>
                      <w:szCs w:val="21"/>
                    </w:rPr>
                  </w:pPr>
                  <w:r>
                    <w:rPr>
                      <w:color w:val="auto"/>
                      <w:kern w:val="0"/>
                      <w:szCs w:val="21"/>
                    </w:rPr>
                    <w:t>急性毒性：LD</w:t>
                  </w:r>
                  <w:r>
                    <w:rPr>
                      <w:color w:val="auto"/>
                      <w:kern w:val="0"/>
                      <w:szCs w:val="21"/>
                      <w:vertAlign w:val="subscript"/>
                    </w:rPr>
                    <w:t>50</w:t>
                  </w:r>
                  <w:r>
                    <w:rPr>
                      <w:color w:val="auto"/>
                      <w:kern w:val="0"/>
                      <w:szCs w:val="21"/>
                    </w:rPr>
                    <w:t>：7060mg/kg（大鼠经口）7060mg/kg(兔经口)；7430mg/kg(兔经皮)</w:t>
                  </w:r>
                </w:p>
                <w:p>
                  <w:pPr>
                    <w:jc w:val="center"/>
                    <w:rPr>
                      <w:color w:val="auto"/>
                      <w:kern w:val="0"/>
                      <w:szCs w:val="21"/>
                    </w:rPr>
                  </w:pPr>
                  <w:r>
                    <w:rPr>
                      <w:color w:val="auto"/>
                      <w:kern w:val="0"/>
                      <w:szCs w:val="21"/>
                    </w:rPr>
                    <w:t>LC</w:t>
                  </w:r>
                  <w:r>
                    <w:rPr>
                      <w:color w:val="auto"/>
                      <w:kern w:val="0"/>
                      <w:szCs w:val="21"/>
                      <w:vertAlign w:val="subscript"/>
                    </w:rPr>
                    <w:t>50</w:t>
                  </w:r>
                  <w:r>
                    <w:rPr>
                      <w:color w:val="auto"/>
                      <w:kern w:val="0"/>
                      <w:szCs w:val="21"/>
                    </w:rPr>
                    <w:t>：20000ppm，10小时(大鼠吸入)</w:t>
                  </w:r>
                </w:p>
              </w:tc>
              <w:tc>
                <w:tcPr>
                  <w:tcW w:w="923" w:type="pct"/>
                  <w:vAlign w:val="center"/>
                </w:tcPr>
                <w:p>
                  <w:pPr>
                    <w:jc w:val="center"/>
                    <w:rPr>
                      <w:color w:val="auto"/>
                      <w:kern w:val="0"/>
                      <w:szCs w:val="21"/>
                    </w:rPr>
                  </w:pPr>
                  <w:r>
                    <w:rPr>
                      <w:color w:val="auto"/>
                      <w:kern w:val="0"/>
                      <w:szCs w:val="21"/>
                    </w:rPr>
                    <w:t>爆炸上限[％（V/V）]：19.0，爆</w:t>
                  </w:r>
                  <w:r>
                    <w:rPr>
                      <w:color w:val="auto"/>
                      <w:kern w:val="0"/>
                      <w:szCs w:val="21"/>
                    </w:rPr>
                    <w:cr/>
                  </w:r>
                  <w:r>
                    <w:rPr>
                      <w:color w:val="auto"/>
                      <w:kern w:val="0"/>
                      <w:szCs w:val="21"/>
                    </w:rPr>
                    <w:t>下限[％（V/V）]：3.3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290" w:type="pct"/>
                  <w:vAlign w:val="center"/>
                </w:tcPr>
                <w:p>
                  <w:pPr>
                    <w:widowControl/>
                    <w:numPr>
                      <w:ilvl w:val="0"/>
                      <w:numId w:val="3"/>
                    </w:numPr>
                    <w:jc w:val="center"/>
                    <w:rPr>
                      <w:color w:val="auto"/>
                      <w:kern w:val="0"/>
                      <w:szCs w:val="21"/>
                    </w:rPr>
                  </w:pPr>
                </w:p>
              </w:tc>
              <w:tc>
                <w:tcPr>
                  <w:tcW w:w="625" w:type="pct"/>
                  <w:vAlign w:val="center"/>
                </w:tcPr>
                <w:p>
                  <w:pPr>
                    <w:widowControl/>
                    <w:jc w:val="center"/>
                    <w:rPr>
                      <w:color w:val="auto"/>
                      <w:kern w:val="0"/>
                      <w:szCs w:val="21"/>
                    </w:rPr>
                  </w:pPr>
                  <w:r>
                    <w:rPr>
                      <w:color w:val="auto"/>
                      <w:kern w:val="0"/>
                      <w:szCs w:val="21"/>
                    </w:rPr>
                    <w:t>丙酮</w:t>
                  </w:r>
                </w:p>
              </w:tc>
              <w:tc>
                <w:tcPr>
                  <w:tcW w:w="564" w:type="pct"/>
                  <w:vAlign w:val="center"/>
                </w:tcPr>
                <w:p>
                  <w:pPr>
                    <w:jc w:val="center"/>
                    <w:rPr>
                      <w:color w:val="auto"/>
                      <w:szCs w:val="21"/>
                    </w:rPr>
                  </w:pPr>
                  <w:r>
                    <w:rPr>
                      <w:color w:val="auto"/>
                      <w:szCs w:val="21"/>
                    </w:rPr>
                    <w:t>C</w:t>
                  </w:r>
                  <w:r>
                    <w:rPr>
                      <w:color w:val="auto"/>
                      <w:szCs w:val="21"/>
                      <w:vertAlign w:val="subscript"/>
                    </w:rPr>
                    <w:t>3</w:t>
                  </w:r>
                  <w:r>
                    <w:rPr>
                      <w:color w:val="auto"/>
                      <w:szCs w:val="21"/>
                    </w:rPr>
                    <w:t>H</w:t>
                  </w:r>
                  <w:r>
                    <w:rPr>
                      <w:color w:val="auto"/>
                      <w:szCs w:val="21"/>
                      <w:vertAlign w:val="subscript"/>
                    </w:rPr>
                    <w:t>6</w:t>
                  </w:r>
                  <w:r>
                    <w:rPr>
                      <w:color w:val="auto"/>
                      <w:szCs w:val="21"/>
                    </w:rPr>
                    <w:t>O</w:t>
                  </w:r>
                </w:p>
              </w:tc>
              <w:tc>
                <w:tcPr>
                  <w:tcW w:w="1411" w:type="pct"/>
                  <w:vAlign w:val="center"/>
                </w:tcPr>
                <w:p>
                  <w:pPr>
                    <w:jc w:val="center"/>
                    <w:rPr>
                      <w:color w:val="auto"/>
                      <w:kern w:val="0"/>
                      <w:szCs w:val="21"/>
                    </w:rPr>
                  </w:pPr>
                  <w:r>
                    <w:rPr>
                      <w:color w:val="auto"/>
                      <w:kern w:val="0"/>
                      <w:szCs w:val="21"/>
                    </w:rPr>
                    <w:t>外观与性状：无色透明易流动液体，有芳香气味，极易挥发。熔点（</w:t>
                  </w:r>
                  <w:r>
                    <w:rPr>
                      <w:rFonts w:hint="eastAsia" w:ascii="宋体" w:hAnsi="宋体" w:cs="宋体"/>
                      <w:color w:val="auto"/>
                      <w:kern w:val="0"/>
                      <w:szCs w:val="21"/>
                    </w:rPr>
                    <w:t>℃</w:t>
                  </w:r>
                  <w:r>
                    <w:rPr>
                      <w:color w:val="auto"/>
                      <w:kern w:val="0"/>
                      <w:szCs w:val="21"/>
                    </w:rPr>
                    <w:t>）：-95，相对密度（水＝1）：0.80，沸点（</w:t>
                  </w:r>
                  <w:r>
                    <w:rPr>
                      <w:rFonts w:hint="eastAsia" w:ascii="宋体" w:hAnsi="宋体" w:cs="宋体"/>
                      <w:color w:val="auto"/>
                      <w:kern w:val="0"/>
                      <w:szCs w:val="21"/>
                    </w:rPr>
                    <w:t>℃</w:t>
                  </w:r>
                  <w:r>
                    <w:rPr>
                      <w:color w:val="auto"/>
                      <w:kern w:val="0"/>
                      <w:szCs w:val="21"/>
                    </w:rPr>
                    <w:t>）：56.5，相对蒸气密度（空气＝1）：2.00，辛醇/水分配系数：-0.24，饱和蒸气压（kPa）：24（20</w:t>
                  </w:r>
                  <w:r>
                    <w:rPr>
                      <w:rFonts w:hint="eastAsia" w:ascii="宋体" w:hAnsi="宋体" w:cs="宋体"/>
                      <w:color w:val="auto"/>
                      <w:kern w:val="0"/>
                      <w:szCs w:val="21"/>
                    </w:rPr>
                    <w:t>℃</w:t>
                  </w:r>
                  <w:r>
                    <w:rPr>
                      <w:color w:val="auto"/>
                      <w:kern w:val="0"/>
                      <w:szCs w:val="21"/>
                    </w:rPr>
                    <w:t>），临界压力（MPa）：4.72，</w:t>
                  </w:r>
                </w:p>
                <w:p>
                  <w:pPr>
                    <w:jc w:val="center"/>
                    <w:rPr>
                      <w:color w:val="auto"/>
                      <w:kern w:val="0"/>
                      <w:szCs w:val="21"/>
                    </w:rPr>
                  </w:pPr>
                  <w:r>
                    <w:rPr>
                      <w:color w:val="auto"/>
                      <w:kern w:val="0"/>
                      <w:szCs w:val="21"/>
                    </w:rPr>
                    <w:t>闪点（</w:t>
                  </w:r>
                  <w:r>
                    <w:rPr>
                      <w:rFonts w:hint="eastAsia" w:ascii="宋体" w:hAnsi="宋体" w:cs="宋体"/>
                      <w:color w:val="auto"/>
                      <w:kern w:val="0"/>
                      <w:szCs w:val="21"/>
                    </w:rPr>
                    <w:t>℃</w:t>
                  </w:r>
                  <w:r>
                    <w:rPr>
                      <w:color w:val="auto"/>
                      <w:kern w:val="0"/>
                      <w:szCs w:val="21"/>
                    </w:rPr>
                    <w:t>）：-18（CC）;-9.4(OC)，引燃温度（</w:t>
                  </w:r>
                  <w:r>
                    <w:rPr>
                      <w:rFonts w:hint="eastAsia" w:ascii="宋体" w:hAnsi="宋体" w:cs="宋体"/>
                      <w:color w:val="auto"/>
                      <w:kern w:val="0"/>
                      <w:szCs w:val="21"/>
                    </w:rPr>
                    <w:t>℃</w:t>
                  </w:r>
                  <w:r>
                    <w:rPr>
                      <w:color w:val="auto"/>
                      <w:kern w:val="0"/>
                      <w:szCs w:val="21"/>
                    </w:rPr>
                    <w:t>）：465</w:t>
                  </w:r>
                </w:p>
                <w:p>
                  <w:pPr>
                    <w:jc w:val="center"/>
                    <w:rPr>
                      <w:color w:val="auto"/>
                      <w:kern w:val="0"/>
                      <w:szCs w:val="21"/>
                    </w:rPr>
                  </w:pPr>
                  <w:r>
                    <w:rPr>
                      <w:color w:val="auto"/>
                      <w:kern w:val="0"/>
                      <w:szCs w:val="21"/>
                    </w:rPr>
                    <w:t>燃烧热（kJ/mol）：-1788.7，临界温度（</w:t>
                  </w:r>
                  <w:r>
                    <w:rPr>
                      <w:rFonts w:hint="eastAsia" w:ascii="宋体" w:hAnsi="宋体" w:cs="宋体"/>
                      <w:color w:val="auto"/>
                      <w:kern w:val="0"/>
                      <w:szCs w:val="21"/>
                    </w:rPr>
                    <w:t>℃</w:t>
                  </w:r>
                  <w:r>
                    <w:rPr>
                      <w:color w:val="auto"/>
                      <w:kern w:val="0"/>
                      <w:szCs w:val="21"/>
                    </w:rPr>
                    <w:t>）：235.5，溶解性：与水混溶，可混溶于乙醇、乙醚、氯仿、油类、烃类等多数有机溶剂。</w:t>
                  </w:r>
                </w:p>
              </w:tc>
              <w:tc>
                <w:tcPr>
                  <w:tcW w:w="1187" w:type="pct"/>
                  <w:vAlign w:val="center"/>
                </w:tcPr>
                <w:p>
                  <w:pPr>
                    <w:jc w:val="center"/>
                    <w:rPr>
                      <w:color w:val="auto"/>
                      <w:kern w:val="0"/>
                      <w:szCs w:val="21"/>
                    </w:rPr>
                  </w:pPr>
                  <w:r>
                    <w:rPr>
                      <w:color w:val="auto"/>
                      <w:kern w:val="0"/>
                      <w:szCs w:val="21"/>
                    </w:rPr>
                    <w:t>急性毒性：LD50：5800mg/kg(大鼠经口)；5340mg/kg(兔经口)。</w:t>
                  </w:r>
                </w:p>
              </w:tc>
              <w:tc>
                <w:tcPr>
                  <w:tcW w:w="923" w:type="pct"/>
                  <w:vAlign w:val="center"/>
                </w:tcPr>
                <w:p>
                  <w:pPr>
                    <w:jc w:val="center"/>
                    <w:rPr>
                      <w:color w:val="auto"/>
                      <w:kern w:val="0"/>
                      <w:szCs w:val="21"/>
                    </w:rPr>
                  </w:pPr>
                  <w:r>
                    <w:rPr>
                      <w:color w:val="auto"/>
                      <w:kern w:val="0"/>
                      <w:szCs w:val="21"/>
                    </w:rPr>
                    <w:t>爆炸上限[％（V/V）]：13.0爆炸下限[％（V/V）]：2.2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20" w:hRule="atLeast"/>
                <w:jc w:val="center"/>
              </w:trPr>
              <w:tc>
                <w:tcPr>
                  <w:tcW w:w="290" w:type="pct"/>
                  <w:vAlign w:val="center"/>
                </w:tcPr>
                <w:p>
                  <w:pPr>
                    <w:widowControl/>
                    <w:numPr>
                      <w:ilvl w:val="0"/>
                      <w:numId w:val="3"/>
                    </w:numPr>
                    <w:jc w:val="center"/>
                    <w:rPr>
                      <w:color w:val="auto"/>
                      <w:kern w:val="0"/>
                      <w:szCs w:val="21"/>
                    </w:rPr>
                  </w:pPr>
                </w:p>
              </w:tc>
              <w:tc>
                <w:tcPr>
                  <w:tcW w:w="625" w:type="pct"/>
                  <w:vAlign w:val="center"/>
                </w:tcPr>
                <w:p>
                  <w:pPr>
                    <w:widowControl/>
                    <w:jc w:val="center"/>
                    <w:rPr>
                      <w:color w:val="auto"/>
                      <w:kern w:val="0"/>
                      <w:szCs w:val="21"/>
                    </w:rPr>
                  </w:pPr>
                  <w:r>
                    <w:rPr>
                      <w:color w:val="auto"/>
                      <w:kern w:val="0"/>
                      <w:szCs w:val="21"/>
                    </w:rPr>
                    <w:t>十氟戊烷</w:t>
                  </w:r>
                </w:p>
              </w:tc>
              <w:tc>
                <w:tcPr>
                  <w:tcW w:w="564" w:type="pct"/>
                  <w:vAlign w:val="center"/>
                </w:tcPr>
                <w:p>
                  <w:pPr>
                    <w:jc w:val="center"/>
                    <w:rPr>
                      <w:color w:val="auto"/>
                      <w:szCs w:val="21"/>
                    </w:rPr>
                  </w:pPr>
                  <w:r>
                    <w:rPr>
                      <w:color w:val="auto"/>
                      <w:szCs w:val="21"/>
                    </w:rPr>
                    <w:t>C</w:t>
                  </w:r>
                  <w:r>
                    <w:rPr>
                      <w:color w:val="auto"/>
                      <w:szCs w:val="21"/>
                      <w:vertAlign w:val="subscript"/>
                    </w:rPr>
                    <w:t>5</w:t>
                  </w:r>
                  <w:r>
                    <w:rPr>
                      <w:color w:val="auto"/>
                      <w:szCs w:val="21"/>
                    </w:rPr>
                    <w:t>H</w:t>
                  </w:r>
                  <w:r>
                    <w:rPr>
                      <w:color w:val="auto"/>
                      <w:szCs w:val="21"/>
                      <w:vertAlign w:val="subscript"/>
                    </w:rPr>
                    <w:t>2</w:t>
                  </w:r>
                  <w:r>
                    <w:rPr>
                      <w:color w:val="auto"/>
                      <w:szCs w:val="21"/>
                    </w:rPr>
                    <w:t>F</w:t>
                  </w:r>
                  <w:r>
                    <w:rPr>
                      <w:color w:val="auto"/>
                      <w:szCs w:val="21"/>
                      <w:vertAlign w:val="subscript"/>
                    </w:rPr>
                    <w:t>10</w:t>
                  </w:r>
                </w:p>
              </w:tc>
              <w:tc>
                <w:tcPr>
                  <w:tcW w:w="1411" w:type="pct"/>
                  <w:vAlign w:val="center"/>
                </w:tcPr>
                <w:p>
                  <w:pPr>
                    <w:jc w:val="center"/>
                    <w:rPr>
                      <w:color w:val="auto"/>
                      <w:kern w:val="0"/>
                      <w:szCs w:val="21"/>
                    </w:rPr>
                  </w:pPr>
                  <w:r>
                    <w:rPr>
                      <w:color w:val="auto"/>
                      <w:kern w:val="0"/>
                      <w:szCs w:val="21"/>
                    </w:rPr>
                    <w:t>性状：无色液体，密度（g/mL，20</w:t>
                  </w:r>
                  <w:r>
                    <w:rPr>
                      <w:rFonts w:hint="eastAsia" w:ascii="宋体" w:hAnsi="宋体" w:cs="宋体"/>
                      <w:color w:val="auto"/>
                      <w:kern w:val="0"/>
                      <w:szCs w:val="21"/>
                    </w:rPr>
                    <w:t>℃</w:t>
                  </w:r>
                  <w:r>
                    <w:rPr>
                      <w:color w:val="auto"/>
                      <w:kern w:val="0"/>
                      <w:szCs w:val="21"/>
                    </w:rPr>
                    <w:t>）：1.6，熔点（ºC）：-80，沸点（ºC，常压）：5</w:t>
                  </w:r>
                  <w:r>
                    <w:rPr>
                      <w:rFonts w:hint="eastAsia"/>
                      <w:color w:val="auto"/>
                      <w:kern w:val="0"/>
                      <w:szCs w:val="21"/>
                    </w:rPr>
                    <w:t>0</w:t>
                  </w:r>
                  <w:r>
                    <w:rPr>
                      <w:color w:val="auto"/>
                      <w:kern w:val="0"/>
                      <w:szCs w:val="21"/>
                    </w:rPr>
                    <w:t>，闪点（ºC）：&gt;125，溶解性：不溶于水。</w:t>
                  </w:r>
                </w:p>
              </w:tc>
              <w:tc>
                <w:tcPr>
                  <w:tcW w:w="1187" w:type="pct"/>
                  <w:vAlign w:val="center"/>
                </w:tcPr>
                <w:p>
                  <w:pPr>
                    <w:jc w:val="center"/>
                    <w:rPr>
                      <w:color w:val="auto"/>
                      <w:kern w:val="0"/>
                      <w:szCs w:val="21"/>
                    </w:rPr>
                  </w:pPr>
                  <w:r>
                    <w:rPr>
                      <w:color w:val="auto"/>
                      <w:kern w:val="0"/>
                      <w:szCs w:val="21"/>
                    </w:rPr>
                    <w:t>急毒性:LD</w:t>
                  </w:r>
                  <w:r>
                    <w:rPr>
                      <w:color w:val="auto"/>
                      <w:kern w:val="0"/>
                      <w:szCs w:val="21"/>
                      <w:vertAlign w:val="subscript"/>
                    </w:rPr>
                    <w:t>50</w:t>
                  </w:r>
                  <w:r>
                    <w:rPr>
                      <w:color w:val="auto"/>
                      <w:kern w:val="0"/>
                      <w:szCs w:val="21"/>
                    </w:rPr>
                    <w:t>（测试动物、暴露途径）：</w:t>
                  </w:r>
                </w:p>
                <w:p>
                  <w:pPr>
                    <w:jc w:val="center"/>
                    <w:rPr>
                      <w:color w:val="auto"/>
                      <w:kern w:val="0"/>
                      <w:szCs w:val="21"/>
                    </w:rPr>
                  </w:pPr>
                  <w:r>
                    <w:rPr>
                      <w:color w:val="auto"/>
                      <w:kern w:val="0"/>
                      <w:szCs w:val="21"/>
                    </w:rPr>
                    <w:t>&gt;5000mg/kg（大鼠、喂食）</w:t>
                  </w:r>
                  <w:r>
                    <w:rPr>
                      <w:rFonts w:hint="eastAsia"/>
                      <w:color w:val="auto"/>
                      <w:kern w:val="0"/>
                      <w:szCs w:val="21"/>
                    </w:rPr>
                    <w:t>。</w:t>
                  </w:r>
                </w:p>
              </w:tc>
              <w:tc>
                <w:tcPr>
                  <w:tcW w:w="923" w:type="pct"/>
                  <w:vAlign w:val="center"/>
                </w:tcPr>
                <w:p>
                  <w:pPr>
                    <w:jc w:val="center"/>
                    <w:rPr>
                      <w:color w:val="auto"/>
                      <w:kern w:val="0"/>
                      <w:szCs w:val="21"/>
                    </w:rPr>
                  </w:pPr>
                </w:p>
                <w:p>
                  <w:pPr>
                    <w:jc w:val="center"/>
                    <w:rPr>
                      <w:color w:val="auto"/>
                      <w:kern w:val="0"/>
                      <w:szCs w:val="21"/>
                    </w:rPr>
                  </w:pPr>
                  <w:r>
                    <w:rPr>
                      <w:color w:val="auto"/>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62" w:hRule="atLeast"/>
                <w:jc w:val="center"/>
              </w:trPr>
              <w:tc>
                <w:tcPr>
                  <w:tcW w:w="290" w:type="pct"/>
                  <w:vAlign w:val="center"/>
                </w:tcPr>
                <w:p>
                  <w:pPr>
                    <w:widowControl/>
                    <w:numPr>
                      <w:ilvl w:val="0"/>
                      <w:numId w:val="3"/>
                    </w:numPr>
                    <w:jc w:val="center"/>
                    <w:rPr>
                      <w:color w:val="auto"/>
                      <w:kern w:val="0"/>
                      <w:szCs w:val="21"/>
                    </w:rPr>
                  </w:pPr>
                </w:p>
              </w:tc>
              <w:tc>
                <w:tcPr>
                  <w:tcW w:w="625" w:type="pct"/>
                  <w:vAlign w:val="center"/>
                </w:tcPr>
                <w:p>
                  <w:pPr>
                    <w:widowControl/>
                    <w:jc w:val="center"/>
                    <w:rPr>
                      <w:color w:val="auto"/>
                      <w:kern w:val="0"/>
                      <w:szCs w:val="21"/>
                    </w:rPr>
                  </w:pPr>
                  <w:r>
                    <w:rPr>
                      <w:color w:val="auto"/>
                      <w:kern w:val="0"/>
                      <w:szCs w:val="21"/>
                    </w:rPr>
                    <w:t>液化石油气</w:t>
                  </w:r>
                </w:p>
              </w:tc>
              <w:tc>
                <w:tcPr>
                  <w:tcW w:w="564" w:type="pct"/>
                  <w:vAlign w:val="center"/>
                </w:tcPr>
                <w:p>
                  <w:pPr>
                    <w:jc w:val="center"/>
                    <w:rPr>
                      <w:color w:val="auto"/>
                      <w:szCs w:val="21"/>
                    </w:rPr>
                  </w:pPr>
                  <w:r>
                    <w:rPr>
                      <w:rFonts w:hint="eastAsia"/>
                      <w:color w:val="auto"/>
                      <w:szCs w:val="21"/>
                    </w:rPr>
                    <w:t>--</w:t>
                  </w:r>
                </w:p>
              </w:tc>
              <w:tc>
                <w:tcPr>
                  <w:tcW w:w="1411" w:type="pct"/>
                  <w:vAlign w:val="center"/>
                </w:tcPr>
                <w:p>
                  <w:pPr>
                    <w:jc w:val="center"/>
                    <w:rPr>
                      <w:color w:val="auto"/>
                      <w:kern w:val="0"/>
                      <w:szCs w:val="21"/>
                    </w:rPr>
                  </w:pPr>
                  <w:r>
                    <w:rPr>
                      <w:color w:val="auto"/>
                      <w:kern w:val="0"/>
                      <w:szCs w:val="21"/>
                    </w:rPr>
                    <w:t>外观与性状：无色气体或黄棕色油状液体,有特殊臭味。熔点（</w:t>
                  </w:r>
                  <w:r>
                    <w:rPr>
                      <w:rFonts w:hint="eastAsia" w:ascii="宋体" w:hAnsi="宋体" w:cs="宋体"/>
                      <w:color w:val="auto"/>
                      <w:kern w:val="0"/>
                      <w:szCs w:val="21"/>
                    </w:rPr>
                    <w:t>℃</w:t>
                  </w:r>
                  <w:r>
                    <w:rPr>
                      <w:color w:val="auto"/>
                      <w:kern w:val="0"/>
                      <w:szCs w:val="21"/>
                    </w:rPr>
                    <w:t>）：-160~-107，相对密度（水＝1）：0.5~0.6</w:t>
                  </w:r>
                  <w:r>
                    <w:rPr>
                      <w:color w:val="auto"/>
                      <w:kern w:val="0"/>
                      <w:szCs w:val="21"/>
                    </w:rPr>
                    <w:tab/>
                  </w:r>
                  <w:r>
                    <w:rPr>
                      <w:color w:val="auto"/>
                      <w:kern w:val="0"/>
                      <w:szCs w:val="21"/>
                    </w:rPr>
                    <w:t>沸点（</w:t>
                  </w:r>
                  <w:r>
                    <w:rPr>
                      <w:rFonts w:hint="eastAsia" w:ascii="宋体" w:hAnsi="宋体" w:cs="宋体"/>
                      <w:color w:val="auto"/>
                      <w:kern w:val="0"/>
                      <w:szCs w:val="21"/>
                    </w:rPr>
                    <w:t>℃</w:t>
                  </w:r>
                  <w:r>
                    <w:rPr>
                      <w:color w:val="auto"/>
                      <w:kern w:val="0"/>
                      <w:szCs w:val="21"/>
                    </w:rPr>
                    <w:t>）：-12~4，相对蒸气密度（空气＝1）：1.5~2.0，闪点（</w:t>
                  </w:r>
                  <w:r>
                    <w:rPr>
                      <w:rFonts w:hint="eastAsia" w:ascii="宋体" w:hAnsi="宋体" w:cs="宋体"/>
                      <w:color w:val="auto"/>
                      <w:kern w:val="0"/>
                      <w:szCs w:val="21"/>
                    </w:rPr>
                    <w:t>℃</w:t>
                  </w:r>
                  <w:r>
                    <w:rPr>
                      <w:color w:val="auto"/>
                      <w:kern w:val="0"/>
                      <w:szCs w:val="21"/>
                    </w:rPr>
                    <w:t>）：-80~-60，引燃温度（</w:t>
                  </w:r>
                  <w:r>
                    <w:rPr>
                      <w:rFonts w:hint="eastAsia" w:ascii="宋体" w:hAnsi="宋体" w:cs="宋体"/>
                      <w:color w:val="auto"/>
                      <w:kern w:val="0"/>
                      <w:szCs w:val="21"/>
                    </w:rPr>
                    <w:t>℃</w:t>
                  </w:r>
                  <w:r>
                    <w:rPr>
                      <w:color w:val="auto"/>
                      <w:kern w:val="0"/>
                      <w:szCs w:val="21"/>
                    </w:rPr>
                    <w:t>）：426～537，饱和蒸气压（kPa）：≤1380kPa（37.8</w:t>
                  </w:r>
                  <w:r>
                    <w:rPr>
                      <w:rFonts w:hint="eastAsia" w:ascii="宋体" w:hAnsi="宋体" w:cs="宋体"/>
                      <w:color w:val="auto"/>
                      <w:kern w:val="0"/>
                      <w:szCs w:val="21"/>
                    </w:rPr>
                    <w:t>℃</w:t>
                  </w:r>
                  <w:r>
                    <w:rPr>
                      <w:color w:val="auto"/>
                      <w:kern w:val="0"/>
                      <w:szCs w:val="21"/>
                    </w:rPr>
                    <w:t>）</w:t>
                  </w:r>
                  <w:r>
                    <w:rPr>
                      <w:rFonts w:hint="eastAsia"/>
                      <w:color w:val="auto"/>
                      <w:kern w:val="0"/>
                      <w:szCs w:val="21"/>
                    </w:rPr>
                    <w:t>，</w:t>
                  </w:r>
                  <w:r>
                    <w:rPr>
                      <w:color w:val="auto"/>
                      <w:kern w:val="0"/>
                      <w:szCs w:val="21"/>
                    </w:rPr>
                    <w:t>溶解性：微溶于水</w:t>
                  </w:r>
                  <w:r>
                    <w:rPr>
                      <w:rFonts w:hint="eastAsia"/>
                      <w:color w:val="auto"/>
                      <w:kern w:val="0"/>
                      <w:szCs w:val="21"/>
                    </w:rPr>
                    <w:t>。</w:t>
                  </w:r>
                </w:p>
              </w:tc>
              <w:tc>
                <w:tcPr>
                  <w:tcW w:w="1187" w:type="pct"/>
                  <w:vAlign w:val="center"/>
                </w:tcPr>
                <w:p>
                  <w:pPr>
                    <w:jc w:val="center"/>
                    <w:rPr>
                      <w:color w:val="auto"/>
                      <w:kern w:val="0"/>
                      <w:szCs w:val="21"/>
                    </w:rPr>
                  </w:pPr>
                  <w:r>
                    <w:rPr>
                      <w:color w:val="auto"/>
                      <w:kern w:val="0"/>
                      <w:szCs w:val="21"/>
                    </w:rPr>
                    <w:t>急性毒性：LC</w:t>
                  </w:r>
                  <w:r>
                    <w:rPr>
                      <w:color w:val="auto"/>
                      <w:kern w:val="0"/>
                      <w:szCs w:val="21"/>
                      <w:vertAlign w:val="subscript"/>
                    </w:rPr>
                    <w:t>50</w:t>
                  </w:r>
                  <w:r>
                    <w:rPr>
                      <w:color w:val="auto"/>
                      <w:kern w:val="0"/>
                      <w:szCs w:val="21"/>
                    </w:rPr>
                    <w:t>：丁烷：658000mg/m</w:t>
                  </w:r>
                  <w:r>
                    <w:rPr>
                      <w:color w:val="auto"/>
                      <w:kern w:val="0"/>
                      <w:szCs w:val="21"/>
                      <w:vertAlign w:val="superscript"/>
                    </w:rPr>
                    <w:t>3</w:t>
                  </w:r>
                  <w:r>
                    <w:rPr>
                      <w:color w:val="auto"/>
                      <w:kern w:val="0"/>
                      <w:szCs w:val="21"/>
                    </w:rPr>
                    <w:t>（大鼠吸入，4</w:t>
                  </w:r>
                  <w:r>
                    <w:rPr>
                      <w:color w:val="auto"/>
                      <w:kern w:val="0"/>
                      <w:szCs w:val="21"/>
                    </w:rPr>
                    <w:cr/>
                  </w:r>
                  <w:r>
                    <w:rPr>
                      <w:color w:val="auto"/>
                      <w:kern w:val="0"/>
                      <w:szCs w:val="21"/>
                    </w:rPr>
                    <w:t>）。</w:t>
                  </w:r>
                </w:p>
              </w:tc>
              <w:tc>
                <w:tcPr>
                  <w:tcW w:w="923" w:type="pct"/>
                  <w:vAlign w:val="center"/>
                </w:tcPr>
                <w:p>
                  <w:pPr>
                    <w:jc w:val="center"/>
                    <w:rPr>
                      <w:color w:val="auto"/>
                      <w:kern w:val="0"/>
                      <w:szCs w:val="21"/>
                    </w:rPr>
                  </w:pPr>
                  <w:r>
                    <w:rPr>
                      <w:color w:val="auto"/>
                      <w:kern w:val="0"/>
                      <w:szCs w:val="21"/>
                    </w:rPr>
                    <w:t>爆炸上限[</w:t>
                  </w:r>
                  <w:r>
                    <w:rPr>
                      <w:color w:val="auto"/>
                      <w:kern w:val="0"/>
                      <w:szCs w:val="21"/>
                    </w:rPr>
                    <w:cr/>
                  </w:r>
                  <w:r>
                    <w:rPr>
                      <w:color w:val="auto"/>
                      <w:kern w:val="0"/>
                      <w:szCs w:val="21"/>
                    </w:rPr>
                    <w:t>（V/V）]：9.5爆炸下限[％（V/V）]：2.3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41" w:hRule="atLeast"/>
                <w:jc w:val="center"/>
              </w:trPr>
              <w:tc>
                <w:tcPr>
                  <w:tcW w:w="290" w:type="pct"/>
                  <w:vAlign w:val="center"/>
                </w:tcPr>
                <w:p>
                  <w:pPr>
                    <w:widowControl/>
                    <w:numPr>
                      <w:ilvl w:val="0"/>
                      <w:numId w:val="3"/>
                    </w:numPr>
                    <w:jc w:val="center"/>
                    <w:rPr>
                      <w:color w:val="auto"/>
                      <w:kern w:val="0"/>
                      <w:szCs w:val="21"/>
                    </w:rPr>
                  </w:pPr>
                </w:p>
              </w:tc>
              <w:tc>
                <w:tcPr>
                  <w:tcW w:w="625" w:type="pct"/>
                  <w:vAlign w:val="center"/>
                </w:tcPr>
                <w:p>
                  <w:pPr>
                    <w:widowControl/>
                    <w:jc w:val="center"/>
                    <w:rPr>
                      <w:color w:val="auto"/>
                      <w:kern w:val="0"/>
                      <w:szCs w:val="21"/>
                    </w:rPr>
                  </w:pPr>
                  <w:r>
                    <w:rPr>
                      <w:rFonts w:hint="eastAsia"/>
                      <w:color w:val="auto"/>
                    </w:rPr>
                    <w:t>盐酸</w:t>
                  </w:r>
                </w:p>
              </w:tc>
              <w:tc>
                <w:tcPr>
                  <w:tcW w:w="972" w:type="dxa"/>
                  <w:vAlign w:val="center"/>
                </w:tcPr>
                <w:p>
                  <w:pPr>
                    <w:jc w:val="center"/>
                    <w:rPr>
                      <w:color w:val="auto"/>
                      <w:szCs w:val="21"/>
                    </w:rPr>
                  </w:pPr>
                  <w:r>
                    <w:rPr>
                      <w:color w:val="auto"/>
                      <w:szCs w:val="21"/>
                    </w:rPr>
                    <w:t>HCl</w:t>
                  </w:r>
                </w:p>
              </w:tc>
              <w:tc>
                <w:tcPr>
                  <w:tcW w:w="2432" w:type="dxa"/>
                  <w:vAlign w:val="center"/>
                </w:tcPr>
                <w:p>
                  <w:pPr>
                    <w:jc w:val="center"/>
                    <w:rPr>
                      <w:color w:val="auto"/>
                      <w:kern w:val="0"/>
                      <w:szCs w:val="21"/>
                    </w:rPr>
                  </w:pPr>
                  <w:r>
                    <w:rPr>
                      <w:color w:val="auto"/>
                      <w:kern w:val="0"/>
                      <w:szCs w:val="21"/>
                    </w:rPr>
                    <w:t>外观与性状：无色或微黄色发烟液体，有刺鼻的酸味。pH值：0.1（1mol/L），熔点（</w:t>
                  </w:r>
                  <w:r>
                    <w:rPr>
                      <w:rFonts w:hint="eastAsia" w:ascii="宋体" w:hAnsi="宋体" w:cs="宋体"/>
                      <w:color w:val="auto"/>
                      <w:kern w:val="0"/>
                      <w:szCs w:val="21"/>
                    </w:rPr>
                    <w:t>℃</w:t>
                  </w:r>
                  <w:r>
                    <w:rPr>
                      <w:color w:val="auto"/>
                      <w:kern w:val="0"/>
                      <w:szCs w:val="21"/>
                    </w:rPr>
                    <w:t>）：-114.8(纯)，</w:t>
                  </w:r>
                </w:p>
                <w:p>
                  <w:pPr>
                    <w:jc w:val="center"/>
                    <w:rPr>
                      <w:color w:val="auto"/>
                      <w:kern w:val="0"/>
                      <w:szCs w:val="21"/>
                    </w:rPr>
                  </w:pPr>
                  <w:r>
                    <w:rPr>
                      <w:color w:val="auto"/>
                      <w:kern w:val="0"/>
                      <w:szCs w:val="21"/>
                    </w:rPr>
                    <w:t>相对密度（水＝1）1.1(20%)，沸</w:t>
                  </w:r>
                  <w:r>
                    <w:rPr>
                      <w:color w:val="auto"/>
                      <w:kern w:val="0"/>
                      <w:szCs w:val="21"/>
                    </w:rPr>
                    <w:cr/>
                  </w:r>
                  <w:r>
                    <w:rPr>
                      <w:color w:val="auto"/>
                      <w:kern w:val="0"/>
                      <w:szCs w:val="21"/>
                    </w:rPr>
                    <w:t>（</w:t>
                  </w:r>
                  <w:r>
                    <w:rPr>
                      <w:rFonts w:hint="eastAsia" w:ascii="宋体" w:hAnsi="宋体" w:cs="宋体"/>
                      <w:color w:val="auto"/>
                      <w:kern w:val="0"/>
                      <w:szCs w:val="21"/>
                    </w:rPr>
                    <w:t>℃</w:t>
                  </w:r>
                  <w:r>
                    <w:rPr>
                      <w:color w:val="auto"/>
                      <w:kern w:val="0"/>
                      <w:szCs w:val="21"/>
                    </w:rPr>
                    <w:t>）108.6(20%)，相对蒸气密度（空气＝1）：1.26，饱和蒸气压（kPa）30.66</w:t>
                  </w:r>
                  <w:r>
                    <w:rPr>
                      <w:color w:val="auto"/>
                      <w:kern w:val="0"/>
                      <w:szCs w:val="21"/>
                    </w:rPr>
                    <w:cr/>
                  </w:r>
                  <w:r>
                    <w:rPr>
                      <w:color w:val="auto"/>
                      <w:kern w:val="0"/>
                      <w:szCs w:val="21"/>
                    </w:rPr>
                    <w:t>21</w:t>
                  </w:r>
                  <w:r>
                    <w:rPr>
                      <w:rFonts w:hint="eastAsia" w:ascii="宋体" w:hAnsi="宋体" w:cs="宋体"/>
                      <w:color w:val="auto"/>
                      <w:kern w:val="0"/>
                      <w:szCs w:val="21"/>
                    </w:rPr>
                    <w:t>℃</w:t>
                  </w:r>
                  <w:r>
                    <w:rPr>
                      <w:color w:val="auto"/>
                      <w:kern w:val="0"/>
                      <w:szCs w:val="21"/>
                    </w:rPr>
                    <w:t>)，溶解性：与水混溶，溶于甲醇、乙醇、乙醚、苯，不溶于烃类</w:t>
                  </w:r>
                </w:p>
              </w:tc>
              <w:tc>
                <w:tcPr>
                  <w:tcW w:w="2046" w:type="dxa"/>
                  <w:vAlign w:val="center"/>
                </w:tcPr>
                <w:p>
                  <w:pPr>
                    <w:jc w:val="center"/>
                    <w:rPr>
                      <w:color w:val="auto"/>
                      <w:kern w:val="0"/>
                      <w:szCs w:val="21"/>
                    </w:rPr>
                  </w:pPr>
                  <w:r>
                    <w:rPr>
                      <w:color w:val="auto"/>
                      <w:kern w:val="0"/>
                      <w:szCs w:val="21"/>
                    </w:rPr>
                    <w:t>急性毒性：LD</w:t>
                  </w:r>
                  <w:r>
                    <w:rPr>
                      <w:color w:val="auto"/>
                      <w:kern w:val="0"/>
                      <w:szCs w:val="21"/>
                      <w:vertAlign w:val="subscript"/>
                    </w:rPr>
                    <w:t>50</w:t>
                  </w:r>
                  <w:r>
                    <w:rPr>
                      <w:color w:val="auto"/>
                      <w:kern w:val="0"/>
                      <w:szCs w:val="21"/>
                    </w:rPr>
                    <w:t>：900mg/kg(兔经口)，</w:t>
                  </w:r>
                </w:p>
                <w:p>
                  <w:pPr>
                    <w:jc w:val="center"/>
                    <w:rPr>
                      <w:color w:val="auto"/>
                      <w:kern w:val="0"/>
                      <w:szCs w:val="21"/>
                    </w:rPr>
                  </w:pPr>
                  <w:r>
                    <w:rPr>
                      <w:color w:val="auto"/>
                      <w:kern w:val="0"/>
                      <w:szCs w:val="21"/>
                    </w:rPr>
                    <w:t>LC</w:t>
                  </w:r>
                  <w:r>
                    <w:rPr>
                      <w:color w:val="auto"/>
                      <w:kern w:val="0"/>
                      <w:szCs w:val="21"/>
                      <w:vertAlign w:val="subscript"/>
                    </w:rPr>
                    <w:t>50</w:t>
                  </w:r>
                  <w:r>
                    <w:rPr>
                      <w:color w:val="auto"/>
                      <w:kern w:val="0"/>
                      <w:szCs w:val="21"/>
                    </w:rPr>
                    <w:t>：3124ppm，(大鼠吸入,1h)</w:t>
                  </w:r>
                </w:p>
                <w:p>
                  <w:pPr>
                    <w:jc w:val="center"/>
                    <w:rPr>
                      <w:color w:val="auto"/>
                      <w:kern w:val="0"/>
                      <w:szCs w:val="21"/>
                    </w:rPr>
                  </w:pPr>
                  <w:r>
                    <w:rPr>
                      <w:color w:val="auto"/>
                      <w:kern w:val="0"/>
                      <w:szCs w:val="21"/>
                    </w:rPr>
                    <w:t>1108mg/ppm，(小鼠吸入,1h)</w:t>
                  </w:r>
                </w:p>
              </w:tc>
              <w:tc>
                <w:tcPr>
                  <w:tcW w:w="1591" w:type="dxa"/>
                  <w:vAlign w:val="center"/>
                </w:tcPr>
                <w:p>
                  <w:pPr>
                    <w:jc w:val="center"/>
                    <w:rPr>
                      <w:color w:val="auto"/>
                      <w:kern w:val="0"/>
                      <w:szCs w:val="21"/>
                    </w:rPr>
                  </w:pPr>
                  <w:r>
                    <w:rPr>
                      <w:rFonts w:hint="eastAsia"/>
                      <w:color w:val="auto"/>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 w:hRule="atLeast"/>
                <w:jc w:val="center"/>
              </w:trPr>
              <w:tc>
                <w:tcPr>
                  <w:tcW w:w="290" w:type="pct"/>
                  <w:vAlign w:val="center"/>
                </w:tcPr>
                <w:p>
                  <w:pPr>
                    <w:widowControl/>
                    <w:numPr>
                      <w:ilvl w:val="0"/>
                      <w:numId w:val="3"/>
                    </w:numPr>
                    <w:jc w:val="center"/>
                    <w:rPr>
                      <w:color w:val="auto"/>
                      <w:kern w:val="0"/>
                      <w:szCs w:val="21"/>
                    </w:rPr>
                  </w:pPr>
                </w:p>
              </w:tc>
              <w:tc>
                <w:tcPr>
                  <w:tcW w:w="625" w:type="pct"/>
                  <w:vAlign w:val="center"/>
                </w:tcPr>
                <w:p>
                  <w:pPr>
                    <w:widowControl/>
                    <w:jc w:val="center"/>
                    <w:rPr>
                      <w:color w:val="auto"/>
                      <w:kern w:val="0"/>
                      <w:szCs w:val="21"/>
                    </w:rPr>
                  </w:pPr>
                  <w:r>
                    <w:rPr>
                      <w:color w:val="auto"/>
                      <w:szCs w:val="21"/>
                    </w:rPr>
                    <w:t>RBS清洗剂</w:t>
                  </w:r>
                </w:p>
              </w:tc>
              <w:tc>
                <w:tcPr>
                  <w:tcW w:w="564" w:type="pct"/>
                  <w:vAlign w:val="center"/>
                </w:tcPr>
                <w:p>
                  <w:pPr>
                    <w:jc w:val="center"/>
                    <w:rPr>
                      <w:color w:val="auto"/>
                      <w:szCs w:val="21"/>
                    </w:rPr>
                  </w:pPr>
                </w:p>
              </w:tc>
              <w:tc>
                <w:tcPr>
                  <w:tcW w:w="1411" w:type="pct"/>
                  <w:vAlign w:val="center"/>
                </w:tcPr>
                <w:p>
                  <w:pPr>
                    <w:jc w:val="center"/>
                    <w:rPr>
                      <w:color w:val="auto"/>
                      <w:kern w:val="0"/>
                      <w:szCs w:val="21"/>
                    </w:rPr>
                  </w:pPr>
                  <w:r>
                    <w:rPr>
                      <w:rFonts w:hint="eastAsia"/>
                      <w:color w:val="auto"/>
                      <w:kern w:val="0"/>
                      <w:szCs w:val="21"/>
                    </w:rPr>
                    <w:t>带有中性气味的白色多泡沫液体，pH值（纯）13.2，pH值（2%v/v溶液）11.5，密度（20℃）1.07。成份：阴离子和非离子表面活性剂，磷酸盐、多磷酸盐、氧化剂、氢氧化纳</w:t>
                  </w:r>
                </w:p>
              </w:tc>
              <w:tc>
                <w:tcPr>
                  <w:tcW w:w="1187" w:type="pct"/>
                  <w:vAlign w:val="center"/>
                </w:tcPr>
                <w:p>
                  <w:pPr>
                    <w:jc w:val="center"/>
                    <w:rPr>
                      <w:color w:val="auto"/>
                      <w:kern w:val="0"/>
                      <w:szCs w:val="21"/>
                    </w:rPr>
                  </w:pPr>
                  <w:r>
                    <w:rPr>
                      <w:rFonts w:hint="eastAsia"/>
                      <w:color w:val="auto"/>
                      <w:kern w:val="0"/>
                      <w:szCs w:val="21"/>
                    </w:rPr>
                    <w:t>--</w:t>
                  </w:r>
                </w:p>
              </w:tc>
              <w:tc>
                <w:tcPr>
                  <w:tcW w:w="923" w:type="pct"/>
                  <w:vAlign w:val="center"/>
                </w:tcPr>
                <w:p>
                  <w:pPr>
                    <w:jc w:val="center"/>
                    <w:rPr>
                      <w:color w:val="auto"/>
                      <w:kern w:val="0"/>
                      <w:szCs w:val="21"/>
                    </w:rPr>
                  </w:pPr>
                  <w:r>
                    <w:rPr>
                      <w:rFonts w:hint="eastAsia"/>
                      <w:color w:val="auto"/>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1" w:hRule="atLeast"/>
                <w:jc w:val="center"/>
              </w:trPr>
              <w:tc>
                <w:tcPr>
                  <w:tcW w:w="290" w:type="pct"/>
                  <w:vAlign w:val="center"/>
                </w:tcPr>
                <w:p>
                  <w:pPr>
                    <w:widowControl/>
                    <w:numPr>
                      <w:ilvl w:val="0"/>
                      <w:numId w:val="3"/>
                    </w:numPr>
                    <w:jc w:val="center"/>
                    <w:rPr>
                      <w:color w:val="auto"/>
                      <w:kern w:val="0"/>
                      <w:szCs w:val="21"/>
                    </w:rPr>
                  </w:pPr>
                </w:p>
              </w:tc>
              <w:tc>
                <w:tcPr>
                  <w:tcW w:w="625" w:type="pct"/>
                  <w:vAlign w:val="center"/>
                </w:tcPr>
                <w:p>
                  <w:pPr>
                    <w:widowControl/>
                    <w:jc w:val="center"/>
                    <w:rPr>
                      <w:color w:val="auto"/>
                      <w:kern w:val="0"/>
                      <w:szCs w:val="21"/>
                    </w:rPr>
                  </w:pPr>
                  <w:r>
                    <w:rPr>
                      <w:color w:val="auto"/>
                      <w:szCs w:val="21"/>
                    </w:rPr>
                    <w:t>十二烷基苯磺酸</w:t>
                  </w:r>
                </w:p>
              </w:tc>
              <w:tc>
                <w:tcPr>
                  <w:tcW w:w="564" w:type="pct"/>
                  <w:vAlign w:val="center"/>
                </w:tcPr>
                <w:p>
                  <w:pPr>
                    <w:jc w:val="center"/>
                    <w:rPr>
                      <w:color w:val="auto"/>
                      <w:szCs w:val="21"/>
                    </w:rPr>
                  </w:pPr>
                  <w:r>
                    <w:rPr>
                      <w:rFonts w:hint="eastAsia" w:ascii="宋体" w:hAnsi="宋体"/>
                      <w:color w:val="auto"/>
                    </w:rPr>
                    <w:t>C</w:t>
                  </w:r>
                  <w:r>
                    <w:rPr>
                      <w:rFonts w:hint="eastAsia"/>
                      <w:color w:val="auto"/>
                      <w:vertAlign w:val="subscript"/>
                    </w:rPr>
                    <w:t>12</w:t>
                  </w:r>
                  <w:r>
                    <w:rPr>
                      <w:rFonts w:hint="eastAsia" w:ascii="宋体" w:hAnsi="宋体"/>
                      <w:color w:val="auto"/>
                    </w:rPr>
                    <w:t>H</w:t>
                  </w:r>
                  <w:r>
                    <w:rPr>
                      <w:rFonts w:hint="eastAsia"/>
                      <w:color w:val="auto"/>
                      <w:vertAlign w:val="subscript"/>
                    </w:rPr>
                    <w:t>18</w:t>
                  </w:r>
                </w:p>
              </w:tc>
              <w:tc>
                <w:tcPr>
                  <w:tcW w:w="1411" w:type="pct"/>
                  <w:vAlign w:val="center"/>
                </w:tcPr>
                <w:p>
                  <w:pPr>
                    <w:rPr>
                      <w:color w:val="auto"/>
                      <w:kern w:val="0"/>
                      <w:szCs w:val="21"/>
                    </w:rPr>
                  </w:pPr>
                  <w:r>
                    <w:rPr>
                      <w:rFonts w:hint="eastAsia" w:ascii="Calibri" w:hAnsi="Calibri" w:cs="宋体"/>
                      <w:color w:val="auto"/>
                      <w:szCs w:val="22"/>
                    </w:rPr>
                    <w:t>外观与性状：无色液体，有芳香味。熔点（℃）：</w:t>
                  </w:r>
                  <w:r>
                    <w:rPr>
                      <w:rFonts w:ascii="Calibri" w:hAnsi="Calibri"/>
                      <w:color w:val="auto"/>
                      <w:szCs w:val="22"/>
                    </w:rPr>
                    <w:t>3</w:t>
                  </w:r>
                  <w:r>
                    <w:rPr>
                      <w:rFonts w:hint="eastAsia" w:ascii="Calibri" w:hAnsi="Calibri"/>
                      <w:color w:val="auto"/>
                      <w:szCs w:val="22"/>
                    </w:rPr>
                    <w:t>，</w:t>
                  </w:r>
                  <w:r>
                    <w:rPr>
                      <w:rFonts w:hint="eastAsia" w:ascii="Calibri" w:hAnsi="Calibri" w:cs="宋体"/>
                      <w:color w:val="auto"/>
                      <w:szCs w:val="22"/>
                    </w:rPr>
                    <w:t>相对密度（水＝</w:t>
                  </w:r>
                  <w:r>
                    <w:rPr>
                      <w:rFonts w:ascii="Calibri" w:hAnsi="Calibri"/>
                      <w:color w:val="auto"/>
                      <w:szCs w:val="22"/>
                    </w:rPr>
                    <w:t>1</w:t>
                  </w:r>
                  <w:r>
                    <w:rPr>
                      <w:rFonts w:hint="eastAsia" w:ascii="Calibri" w:hAnsi="Calibri" w:cs="宋体"/>
                      <w:color w:val="auto"/>
                      <w:szCs w:val="22"/>
                    </w:rPr>
                    <w:t>）：</w:t>
                  </w:r>
                  <w:r>
                    <w:rPr>
                      <w:rFonts w:ascii="Calibri" w:hAnsi="Calibri"/>
                      <w:color w:val="auto"/>
                      <w:szCs w:val="22"/>
                    </w:rPr>
                    <w:t>0.8551(20</w:t>
                  </w:r>
                  <w:r>
                    <w:rPr>
                      <w:rFonts w:hint="eastAsia" w:ascii="Calibri" w:hAnsi="Calibri" w:cs="宋体"/>
                      <w:color w:val="auto"/>
                      <w:szCs w:val="22"/>
                    </w:rPr>
                    <w:t>℃</w:t>
                  </w:r>
                  <w:r>
                    <w:rPr>
                      <w:rFonts w:ascii="Calibri" w:hAnsi="Calibri"/>
                      <w:color w:val="auto"/>
                      <w:szCs w:val="22"/>
                    </w:rPr>
                    <w:t>)</w:t>
                  </w:r>
                  <w:r>
                    <w:rPr>
                      <w:rFonts w:hint="eastAsia" w:ascii="Calibri" w:hAnsi="Calibri"/>
                      <w:color w:val="auto"/>
                      <w:szCs w:val="22"/>
                    </w:rPr>
                    <w:t>，</w:t>
                  </w:r>
                  <w:r>
                    <w:rPr>
                      <w:rFonts w:hint="eastAsia" w:ascii="Calibri" w:hAnsi="Calibri" w:cs="宋体"/>
                      <w:color w:val="auto"/>
                      <w:szCs w:val="22"/>
                    </w:rPr>
                    <w:t>沸点（℃）：</w:t>
                  </w:r>
                  <w:r>
                    <w:rPr>
                      <w:rFonts w:ascii="Calibri" w:hAnsi="Calibri"/>
                      <w:color w:val="auto"/>
                      <w:szCs w:val="22"/>
                    </w:rPr>
                    <w:t>290~410</w:t>
                  </w:r>
                  <w:r>
                    <w:rPr>
                      <w:rFonts w:hint="eastAsia" w:ascii="Calibri" w:hAnsi="Calibri"/>
                      <w:color w:val="auto"/>
                      <w:szCs w:val="22"/>
                    </w:rPr>
                    <w:t>，</w:t>
                  </w:r>
                  <w:r>
                    <w:rPr>
                      <w:rFonts w:hint="eastAsia" w:ascii="Calibri" w:hAnsi="Calibri" w:cs="宋体"/>
                      <w:color w:val="auto"/>
                      <w:szCs w:val="22"/>
                    </w:rPr>
                    <w:t>相对蒸气密度（空气＝</w:t>
                  </w:r>
                  <w:r>
                    <w:rPr>
                      <w:rFonts w:ascii="Calibri" w:hAnsi="Calibri"/>
                      <w:color w:val="auto"/>
                      <w:szCs w:val="22"/>
                    </w:rPr>
                    <w:t>1</w:t>
                  </w:r>
                  <w:r>
                    <w:rPr>
                      <w:rFonts w:hint="eastAsia" w:ascii="Calibri" w:hAnsi="Calibri" w:cs="宋体"/>
                      <w:color w:val="auto"/>
                      <w:szCs w:val="22"/>
                    </w:rPr>
                    <w:t>）：</w:t>
                  </w:r>
                  <w:r>
                    <w:rPr>
                      <w:rFonts w:ascii="Calibri" w:hAnsi="Calibri"/>
                      <w:color w:val="auto"/>
                      <w:szCs w:val="22"/>
                    </w:rPr>
                    <w:t>8.47</w:t>
                  </w:r>
                  <w:r>
                    <w:rPr>
                      <w:rFonts w:hint="eastAsia" w:ascii="Calibri" w:hAnsi="Calibri"/>
                      <w:color w:val="auto"/>
                      <w:szCs w:val="22"/>
                    </w:rPr>
                    <w:t>，</w:t>
                  </w:r>
                  <w:r>
                    <w:rPr>
                      <w:rFonts w:hint="eastAsia" w:ascii="Calibri" w:hAnsi="Calibri" w:cs="宋体"/>
                      <w:color w:val="auto"/>
                      <w:szCs w:val="22"/>
                    </w:rPr>
                    <w:t>闪点（℃）：</w:t>
                  </w:r>
                  <w:r>
                    <w:rPr>
                      <w:rFonts w:ascii="Calibri" w:hAnsi="Calibri"/>
                      <w:color w:val="auto"/>
                      <w:szCs w:val="22"/>
                    </w:rPr>
                    <w:t>140.6</w:t>
                  </w:r>
                  <w:r>
                    <w:rPr>
                      <w:rFonts w:hint="eastAsia" w:ascii="Calibri" w:hAnsi="Calibri"/>
                      <w:color w:val="auto"/>
                      <w:szCs w:val="22"/>
                    </w:rPr>
                    <w:t>，</w:t>
                  </w:r>
                  <w:r>
                    <w:rPr>
                      <w:rFonts w:hint="eastAsia" w:ascii="Calibri" w:hAnsi="Calibri" w:cs="宋体"/>
                      <w:color w:val="auto"/>
                      <w:szCs w:val="22"/>
                    </w:rPr>
                    <w:t>溶解性：不溶于水。主要用途：合成烷基苯系列洗涤和表面活性剂。</w:t>
                  </w:r>
                </w:p>
              </w:tc>
              <w:tc>
                <w:tcPr>
                  <w:tcW w:w="1187" w:type="pct"/>
                  <w:vAlign w:val="center"/>
                </w:tcPr>
                <w:p>
                  <w:pPr>
                    <w:jc w:val="center"/>
                    <w:rPr>
                      <w:color w:val="auto"/>
                      <w:kern w:val="0"/>
                      <w:szCs w:val="21"/>
                    </w:rPr>
                  </w:pPr>
                  <w:r>
                    <w:rPr>
                      <w:rFonts w:hint="eastAsia"/>
                      <w:color w:val="auto"/>
                      <w:kern w:val="0"/>
                      <w:szCs w:val="21"/>
                    </w:rPr>
                    <w:t>--</w:t>
                  </w:r>
                </w:p>
              </w:tc>
              <w:tc>
                <w:tcPr>
                  <w:tcW w:w="923" w:type="pct"/>
                  <w:vAlign w:val="center"/>
                </w:tcPr>
                <w:p>
                  <w:pPr>
                    <w:rPr>
                      <w:color w:val="auto"/>
                    </w:rPr>
                  </w:pPr>
                  <w:r>
                    <w:rPr>
                      <w:rFonts w:hint="eastAsia"/>
                      <w:bCs/>
                      <w:color w:val="auto"/>
                    </w:rPr>
                    <w:t>急性毒性： LD</w:t>
                  </w:r>
                  <w:r>
                    <w:rPr>
                      <w:rFonts w:hint="eastAsia"/>
                      <w:bCs/>
                      <w:color w:val="auto"/>
                      <w:vertAlign w:val="subscript"/>
                    </w:rPr>
                    <w:t>50</w:t>
                  </w:r>
                  <w:r>
                    <w:rPr>
                      <w:rFonts w:hint="eastAsia"/>
                      <w:bCs/>
                      <w:color w:val="auto"/>
                    </w:rPr>
                    <w:t>：</w:t>
                  </w:r>
                  <w:r>
                    <w:rPr>
                      <w:rFonts w:hint="eastAsia"/>
                      <w:color w:val="auto"/>
                    </w:rPr>
                    <w:t>5000 mg/kg(大鼠经口)</w:t>
                  </w:r>
                </w:p>
                <w:p>
                  <w:pPr>
                    <w:jc w:val="center"/>
                    <w:rPr>
                      <w:color w:val="auto"/>
                      <w:kern w:val="0"/>
                      <w:szCs w:val="21"/>
                    </w:rPr>
                  </w:pPr>
                </w:p>
              </w:tc>
            </w:tr>
          </w:tbl>
          <w:p>
            <w:pPr>
              <w:pStyle w:val="2"/>
              <w:numPr>
                <w:ilvl w:val="0"/>
                <w:numId w:val="4"/>
              </w:numPr>
              <w:spacing w:beforeLines="50" w:line="360" w:lineRule="auto"/>
              <w:rPr>
                <w:b/>
                <w:color w:val="auto"/>
                <w:sz w:val="24"/>
                <w:szCs w:val="24"/>
              </w:rPr>
            </w:pPr>
            <w:r>
              <w:rPr>
                <w:b/>
                <w:color w:val="auto"/>
                <w:sz w:val="24"/>
                <w:szCs w:val="24"/>
              </w:rPr>
              <w:t>主要能源</w:t>
            </w:r>
          </w:p>
          <w:p>
            <w:pPr>
              <w:pStyle w:val="10"/>
              <w:spacing w:line="360" w:lineRule="auto"/>
              <w:rPr>
                <w:color w:val="auto"/>
              </w:rPr>
            </w:pPr>
            <w:r>
              <w:rPr>
                <w:color w:val="auto"/>
                <w:sz w:val="24"/>
                <w:szCs w:val="24"/>
              </w:rPr>
              <w:t>表2-</w:t>
            </w:r>
            <w:r>
              <w:rPr>
                <w:rFonts w:hint="eastAsia"/>
                <w:color w:val="auto"/>
                <w:sz w:val="24"/>
                <w:szCs w:val="24"/>
              </w:rPr>
              <w:t>6</w:t>
            </w:r>
            <w:r>
              <w:rPr>
                <w:color w:val="auto"/>
                <w:sz w:val="24"/>
                <w:szCs w:val="24"/>
              </w:rPr>
              <w:t xml:space="preserve">  本项目主要能源消耗一览表</w:t>
            </w:r>
          </w:p>
          <w:tbl>
            <w:tblPr>
              <w:tblStyle w:val="3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15"/>
              <w:gridCol w:w="1323"/>
              <w:gridCol w:w="1276"/>
              <w:gridCol w:w="1559"/>
              <w:gridCol w:w="709"/>
              <w:gridCol w:w="1134"/>
              <w:gridCol w:w="1134"/>
              <w:gridCol w:w="8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515" w:type="dxa"/>
                  <w:vAlign w:val="center"/>
                </w:tcPr>
                <w:p>
                  <w:pPr>
                    <w:jc w:val="center"/>
                    <w:rPr>
                      <w:b/>
                      <w:color w:val="auto"/>
                    </w:rPr>
                  </w:pPr>
                  <w:r>
                    <w:rPr>
                      <w:b/>
                      <w:color w:val="auto"/>
                    </w:rPr>
                    <w:t>序</w:t>
                  </w:r>
                </w:p>
              </w:tc>
              <w:tc>
                <w:tcPr>
                  <w:tcW w:w="1323" w:type="dxa"/>
                  <w:vAlign w:val="center"/>
                </w:tcPr>
                <w:p>
                  <w:pPr>
                    <w:jc w:val="center"/>
                    <w:rPr>
                      <w:b/>
                      <w:color w:val="auto"/>
                    </w:rPr>
                  </w:pPr>
                  <w:r>
                    <w:rPr>
                      <w:b/>
                      <w:color w:val="auto"/>
                    </w:rPr>
                    <w:t>能源名称</w:t>
                  </w:r>
                </w:p>
              </w:tc>
              <w:tc>
                <w:tcPr>
                  <w:tcW w:w="1276" w:type="dxa"/>
                  <w:vAlign w:val="center"/>
                </w:tcPr>
                <w:p>
                  <w:pPr>
                    <w:jc w:val="center"/>
                    <w:rPr>
                      <w:b/>
                      <w:color w:val="auto"/>
                    </w:rPr>
                  </w:pPr>
                  <w:r>
                    <w:rPr>
                      <w:b/>
                      <w:color w:val="auto"/>
                    </w:rPr>
                    <w:t>规格指标</w:t>
                  </w:r>
                </w:p>
              </w:tc>
              <w:tc>
                <w:tcPr>
                  <w:tcW w:w="1559" w:type="dxa"/>
                  <w:vAlign w:val="center"/>
                </w:tcPr>
                <w:p>
                  <w:pPr>
                    <w:jc w:val="center"/>
                    <w:rPr>
                      <w:b/>
                      <w:color w:val="auto"/>
                    </w:rPr>
                  </w:pPr>
                  <w:r>
                    <w:rPr>
                      <w:b/>
                      <w:color w:val="auto"/>
                    </w:rPr>
                    <w:t>消耗量</w:t>
                  </w:r>
                </w:p>
              </w:tc>
              <w:tc>
                <w:tcPr>
                  <w:tcW w:w="709" w:type="dxa"/>
                  <w:vAlign w:val="center"/>
                </w:tcPr>
                <w:p>
                  <w:pPr>
                    <w:jc w:val="center"/>
                    <w:rPr>
                      <w:b/>
                      <w:color w:val="auto"/>
                    </w:rPr>
                  </w:pPr>
                  <w:r>
                    <w:rPr>
                      <w:b/>
                      <w:color w:val="auto"/>
                    </w:rPr>
                    <w:t>存储方式</w:t>
                  </w:r>
                </w:p>
              </w:tc>
              <w:tc>
                <w:tcPr>
                  <w:tcW w:w="1134" w:type="dxa"/>
                  <w:vAlign w:val="center"/>
                </w:tcPr>
                <w:p>
                  <w:pPr>
                    <w:jc w:val="center"/>
                    <w:rPr>
                      <w:b/>
                      <w:color w:val="auto"/>
                    </w:rPr>
                  </w:pPr>
                  <w:r>
                    <w:rPr>
                      <w:b/>
                      <w:color w:val="auto"/>
                    </w:rPr>
                    <w:t>最大存储量</w:t>
                  </w:r>
                </w:p>
              </w:tc>
              <w:tc>
                <w:tcPr>
                  <w:tcW w:w="1134" w:type="dxa"/>
                  <w:vAlign w:val="center"/>
                </w:tcPr>
                <w:p>
                  <w:pPr>
                    <w:jc w:val="center"/>
                    <w:rPr>
                      <w:b/>
                      <w:color w:val="auto"/>
                    </w:rPr>
                  </w:pPr>
                  <w:r>
                    <w:rPr>
                      <w:b/>
                      <w:color w:val="auto"/>
                    </w:rPr>
                    <w:t>存储位置</w:t>
                  </w:r>
                </w:p>
              </w:tc>
              <w:tc>
                <w:tcPr>
                  <w:tcW w:w="866" w:type="dxa"/>
                  <w:vAlign w:val="center"/>
                </w:tcPr>
                <w:p>
                  <w:pPr>
                    <w:jc w:val="center"/>
                    <w:rPr>
                      <w:b/>
                      <w:color w:val="auto"/>
                    </w:rPr>
                  </w:pPr>
                  <w:r>
                    <w:rPr>
                      <w:b/>
                      <w:color w:val="auto"/>
                    </w:rPr>
                    <w:t>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15" w:type="dxa"/>
                  <w:vAlign w:val="center"/>
                </w:tcPr>
                <w:p>
                  <w:pPr>
                    <w:jc w:val="center"/>
                    <w:rPr>
                      <w:color w:val="auto"/>
                    </w:rPr>
                  </w:pPr>
                  <w:r>
                    <w:rPr>
                      <w:color w:val="auto"/>
                    </w:rPr>
                    <w:t>1</w:t>
                  </w:r>
                </w:p>
              </w:tc>
              <w:tc>
                <w:tcPr>
                  <w:tcW w:w="1323" w:type="dxa"/>
                  <w:vAlign w:val="center"/>
                </w:tcPr>
                <w:p>
                  <w:pPr>
                    <w:jc w:val="center"/>
                    <w:rPr>
                      <w:color w:val="auto"/>
                    </w:rPr>
                  </w:pPr>
                  <w:r>
                    <w:rPr>
                      <w:color w:val="auto"/>
                    </w:rPr>
                    <w:t>水</w:t>
                  </w:r>
                </w:p>
              </w:tc>
              <w:tc>
                <w:tcPr>
                  <w:tcW w:w="1276" w:type="dxa"/>
                  <w:vAlign w:val="center"/>
                </w:tcPr>
                <w:p>
                  <w:pPr>
                    <w:jc w:val="center"/>
                    <w:rPr>
                      <w:color w:val="auto"/>
                    </w:rPr>
                  </w:pPr>
                  <w:r>
                    <w:rPr>
                      <w:color w:val="auto"/>
                    </w:rPr>
                    <w:t>自来水</w:t>
                  </w:r>
                </w:p>
              </w:tc>
              <w:tc>
                <w:tcPr>
                  <w:tcW w:w="1559" w:type="dxa"/>
                  <w:vAlign w:val="center"/>
                </w:tcPr>
                <w:p>
                  <w:pPr>
                    <w:spacing w:line="288" w:lineRule="auto"/>
                    <w:jc w:val="center"/>
                    <w:rPr>
                      <w:color w:val="auto"/>
                    </w:rPr>
                  </w:pPr>
                  <w:r>
                    <w:rPr>
                      <w:rFonts w:eastAsia="Calibri"/>
                      <w:color w:val="auto"/>
                      <w:sz w:val="20"/>
                      <w:lang w:val="zh-CN"/>
                    </w:rPr>
                    <w:t>4146</w:t>
                  </w:r>
                  <w:r>
                    <w:rPr>
                      <w:color w:val="auto"/>
                    </w:rPr>
                    <w:t>t/a</w:t>
                  </w:r>
                </w:p>
              </w:tc>
              <w:tc>
                <w:tcPr>
                  <w:tcW w:w="709" w:type="dxa"/>
                  <w:vAlign w:val="center"/>
                </w:tcPr>
                <w:p>
                  <w:pPr>
                    <w:jc w:val="center"/>
                    <w:rPr>
                      <w:color w:val="auto"/>
                    </w:rPr>
                  </w:pPr>
                  <w:r>
                    <w:rPr>
                      <w:color w:val="auto"/>
                    </w:rPr>
                    <w:t>/</w:t>
                  </w:r>
                </w:p>
              </w:tc>
              <w:tc>
                <w:tcPr>
                  <w:tcW w:w="1134" w:type="dxa"/>
                  <w:vAlign w:val="center"/>
                </w:tcPr>
                <w:p>
                  <w:pPr>
                    <w:jc w:val="center"/>
                    <w:rPr>
                      <w:color w:val="auto"/>
                    </w:rPr>
                  </w:pPr>
                  <w:r>
                    <w:rPr>
                      <w:color w:val="auto"/>
                    </w:rPr>
                    <w:t>/</w:t>
                  </w:r>
                </w:p>
              </w:tc>
              <w:tc>
                <w:tcPr>
                  <w:tcW w:w="1134" w:type="dxa"/>
                  <w:vAlign w:val="center"/>
                </w:tcPr>
                <w:p>
                  <w:pPr>
                    <w:jc w:val="center"/>
                    <w:rPr>
                      <w:color w:val="auto"/>
                    </w:rPr>
                  </w:pPr>
                  <w:r>
                    <w:rPr>
                      <w:color w:val="auto"/>
                    </w:rPr>
                    <w:t>/</w:t>
                  </w:r>
                </w:p>
              </w:tc>
              <w:tc>
                <w:tcPr>
                  <w:tcW w:w="866" w:type="dxa"/>
                  <w:vAlign w:val="center"/>
                </w:tcPr>
                <w:p>
                  <w:pPr>
                    <w:jc w:val="center"/>
                    <w:rPr>
                      <w:color w:val="auto"/>
                    </w:rPr>
                  </w:pPr>
                  <w:r>
                    <w:rPr>
                      <w:color w:val="auto"/>
                    </w:rPr>
                    <w:t>市政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68" w:hRule="atLeast"/>
                <w:jc w:val="center"/>
              </w:trPr>
              <w:tc>
                <w:tcPr>
                  <w:tcW w:w="515" w:type="dxa"/>
                  <w:vAlign w:val="center"/>
                </w:tcPr>
                <w:p>
                  <w:pPr>
                    <w:jc w:val="center"/>
                    <w:rPr>
                      <w:color w:val="auto"/>
                    </w:rPr>
                  </w:pPr>
                  <w:r>
                    <w:rPr>
                      <w:color w:val="auto"/>
                    </w:rPr>
                    <w:t>2</w:t>
                  </w:r>
                </w:p>
              </w:tc>
              <w:tc>
                <w:tcPr>
                  <w:tcW w:w="1323" w:type="dxa"/>
                  <w:vAlign w:val="center"/>
                </w:tcPr>
                <w:p>
                  <w:pPr>
                    <w:jc w:val="center"/>
                    <w:rPr>
                      <w:color w:val="auto"/>
                    </w:rPr>
                  </w:pPr>
                  <w:r>
                    <w:rPr>
                      <w:color w:val="auto"/>
                    </w:rPr>
                    <w:t>电</w:t>
                  </w:r>
                </w:p>
              </w:tc>
              <w:tc>
                <w:tcPr>
                  <w:tcW w:w="1276" w:type="dxa"/>
                  <w:vAlign w:val="center"/>
                </w:tcPr>
                <w:p>
                  <w:pPr>
                    <w:jc w:val="center"/>
                    <w:rPr>
                      <w:color w:val="auto"/>
                    </w:rPr>
                  </w:pPr>
                  <w:r>
                    <w:rPr>
                      <w:color w:val="auto"/>
                    </w:rPr>
                    <w:t>/</w:t>
                  </w:r>
                </w:p>
              </w:tc>
              <w:tc>
                <w:tcPr>
                  <w:tcW w:w="1559" w:type="dxa"/>
                  <w:vAlign w:val="center"/>
                </w:tcPr>
                <w:p>
                  <w:pPr>
                    <w:jc w:val="center"/>
                    <w:rPr>
                      <w:color w:val="auto"/>
                    </w:rPr>
                  </w:pPr>
                  <w:r>
                    <w:rPr>
                      <w:color w:val="auto"/>
                    </w:rPr>
                    <w:t>673000k</w:t>
                  </w:r>
                  <w:r>
                    <w:rPr>
                      <w:rFonts w:hint="eastAsia"/>
                      <w:color w:val="auto"/>
                    </w:rPr>
                    <w:t>W</w:t>
                  </w:r>
                  <w:r>
                    <w:rPr>
                      <w:color w:val="auto"/>
                    </w:rPr>
                    <w:cr/>
                  </w:r>
                  <w:r>
                    <w:rPr>
                      <w:color w:val="auto"/>
                    </w:rPr>
                    <w:t>/a</w:t>
                  </w:r>
                </w:p>
              </w:tc>
              <w:tc>
                <w:tcPr>
                  <w:tcW w:w="709" w:type="dxa"/>
                  <w:vAlign w:val="center"/>
                </w:tcPr>
                <w:p>
                  <w:pPr>
                    <w:jc w:val="center"/>
                    <w:rPr>
                      <w:color w:val="auto"/>
                    </w:rPr>
                  </w:pPr>
                  <w:r>
                    <w:rPr>
                      <w:color w:val="auto"/>
                    </w:rPr>
                    <w:t>/</w:t>
                  </w:r>
                </w:p>
              </w:tc>
              <w:tc>
                <w:tcPr>
                  <w:tcW w:w="1134" w:type="dxa"/>
                  <w:vAlign w:val="center"/>
                </w:tcPr>
                <w:p>
                  <w:pPr>
                    <w:jc w:val="center"/>
                    <w:rPr>
                      <w:color w:val="auto"/>
                    </w:rPr>
                  </w:pPr>
                  <w:r>
                    <w:rPr>
                      <w:color w:val="auto"/>
                    </w:rPr>
                    <w:t>/</w:t>
                  </w:r>
                </w:p>
              </w:tc>
              <w:tc>
                <w:tcPr>
                  <w:tcW w:w="1134" w:type="dxa"/>
                  <w:vAlign w:val="center"/>
                </w:tcPr>
                <w:p>
                  <w:pPr>
                    <w:jc w:val="center"/>
                    <w:rPr>
                      <w:color w:val="auto"/>
                    </w:rPr>
                  </w:pPr>
                  <w:r>
                    <w:rPr>
                      <w:color w:val="auto"/>
                    </w:rPr>
                    <w:t>/</w:t>
                  </w:r>
                </w:p>
              </w:tc>
              <w:tc>
                <w:tcPr>
                  <w:tcW w:w="866" w:type="dxa"/>
                  <w:vAlign w:val="center"/>
                </w:tcPr>
                <w:p>
                  <w:pPr>
                    <w:jc w:val="center"/>
                    <w:rPr>
                      <w:color w:val="auto"/>
                    </w:rPr>
                  </w:pPr>
                  <w:r>
                    <w:rPr>
                      <w:color w:val="auto"/>
                    </w:rPr>
                    <w:t>市政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2" w:hRule="atLeast"/>
                <w:jc w:val="center"/>
              </w:trPr>
              <w:tc>
                <w:tcPr>
                  <w:tcW w:w="515" w:type="dxa"/>
                  <w:vAlign w:val="center"/>
                </w:tcPr>
                <w:p>
                  <w:pPr>
                    <w:jc w:val="center"/>
                    <w:rPr>
                      <w:color w:val="auto"/>
                    </w:rPr>
                  </w:pPr>
                  <w:r>
                    <w:rPr>
                      <w:color w:val="auto"/>
                    </w:rPr>
                    <w:t>3</w:t>
                  </w:r>
                </w:p>
              </w:tc>
              <w:tc>
                <w:tcPr>
                  <w:tcW w:w="1323" w:type="dxa"/>
                  <w:vAlign w:val="center"/>
                </w:tcPr>
                <w:p>
                  <w:pPr>
                    <w:jc w:val="center"/>
                    <w:rPr>
                      <w:color w:val="auto"/>
                    </w:rPr>
                  </w:pPr>
                  <w:r>
                    <w:rPr>
                      <w:color w:val="auto"/>
                    </w:rPr>
                    <w:t>液化石油气</w:t>
                  </w:r>
                </w:p>
              </w:tc>
              <w:tc>
                <w:tcPr>
                  <w:tcW w:w="1276" w:type="dxa"/>
                  <w:vAlign w:val="center"/>
                </w:tcPr>
                <w:p>
                  <w:pPr>
                    <w:jc w:val="center"/>
                    <w:rPr>
                      <w:color w:val="auto"/>
                    </w:rPr>
                  </w:pPr>
                  <w:r>
                    <w:rPr>
                      <w:color w:val="auto"/>
                    </w:rPr>
                    <w:t>/</w:t>
                  </w:r>
                </w:p>
              </w:tc>
              <w:tc>
                <w:tcPr>
                  <w:tcW w:w="1559" w:type="dxa"/>
                  <w:vAlign w:val="center"/>
                </w:tcPr>
                <w:p>
                  <w:pPr>
                    <w:jc w:val="center"/>
                    <w:rPr>
                      <w:color w:val="auto"/>
                    </w:rPr>
                  </w:pPr>
                  <w:r>
                    <w:rPr>
                      <w:color w:val="auto"/>
                    </w:rPr>
                    <w:t>1.5t/a</w:t>
                  </w:r>
                </w:p>
              </w:tc>
              <w:tc>
                <w:tcPr>
                  <w:tcW w:w="709" w:type="dxa"/>
                  <w:vAlign w:val="center"/>
                </w:tcPr>
                <w:p>
                  <w:pPr>
                    <w:jc w:val="center"/>
                    <w:rPr>
                      <w:color w:val="auto"/>
                    </w:rPr>
                  </w:pPr>
                  <w:r>
                    <w:rPr>
                      <w:color w:val="auto"/>
                    </w:rPr>
                    <w:t>钢瓶</w:t>
                  </w:r>
                </w:p>
              </w:tc>
              <w:tc>
                <w:tcPr>
                  <w:tcW w:w="1134" w:type="dxa"/>
                  <w:vAlign w:val="center"/>
                </w:tcPr>
                <w:p>
                  <w:pPr>
                    <w:jc w:val="center"/>
                    <w:rPr>
                      <w:color w:val="auto"/>
                    </w:rPr>
                  </w:pPr>
                  <w:r>
                    <w:rPr>
                      <w:color w:val="auto"/>
                    </w:rPr>
                    <w:t>0.</w:t>
                  </w:r>
                  <w:r>
                    <w:rPr>
                      <w:rFonts w:hint="eastAsia"/>
                      <w:color w:val="auto"/>
                    </w:rPr>
                    <w:t>1</w:t>
                  </w:r>
                  <w:r>
                    <w:rPr>
                      <w:color w:val="auto"/>
                    </w:rPr>
                    <w:t>t/</w:t>
                  </w:r>
                </w:p>
              </w:tc>
              <w:tc>
                <w:tcPr>
                  <w:tcW w:w="1134" w:type="dxa"/>
                  <w:vAlign w:val="center"/>
                </w:tcPr>
                <w:p>
                  <w:pPr>
                    <w:jc w:val="center"/>
                    <w:rPr>
                      <w:color w:val="auto"/>
                    </w:rPr>
                  </w:pPr>
                  <w:r>
                    <w:rPr>
                      <w:color w:val="auto"/>
                    </w:rPr>
                    <w:t>液化气棚</w:t>
                  </w:r>
                </w:p>
              </w:tc>
              <w:tc>
                <w:tcPr>
                  <w:tcW w:w="866" w:type="dxa"/>
                  <w:vAlign w:val="center"/>
                </w:tcPr>
                <w:p>
                  <w:pPr>
                    <w:jc w:val="center"/>
                    <w:rPr>
                      <w:color w:val="auto"/>
                    </w:rPr>
                  </w:pPr>
                  <w:r>
                    <w:rPr>
                      <w:color w:val="auto"/>
                    </w:rPr>
                    <w:t>外购</w:t>
                  </w:r>
                </w:p>
              </w:tc>
            </w:tr>
          </w:tbl>
          <w:p>
            <w:pPr>
              <w:pStyle w:val="2"/>
              <w:numPr>
                <w:ilvl w:val="0"/>
                <w:numId w:val="5"/>
              </w:numPr>
              <w:spacing w:beforeLines="50" w:line="360" w:lineRule="auto"/>
              <w:rPr>
                <w:b/>
                <w:color w:val="auto"/>
                <w:sz w:val="24"/>
                <w:szCs w:val="24"/>
              </w:rPr>
            </w:pPr>
            <w:r>
              <w:rPr>
                <w:b/>
                <w:color w:val="auto"/>
                <w:sz w:val="24"/>
                <w:szCs w:val="24"/>
              </w:rPr>
              <w:t>厂区平面布置</w:t>
            </w:r>
          </w:p>
          <w:p>
            <w:pPr>
              <w:spacing w:line="360" w:lineRule="auto"/>
              <w:ind w:firstLine="482"/>
              <w:rPr>
                <w:color w:val="auto"/>
                <w:sz w:val="24"/>
              </w:rPr>
            </w:pPr>
            <w:r>
              <w:rPr>
                <w:color w:val="auto"/>
                <w:sz w:val="24"/>
              </w:rPr>
              <w:t>建设项目位于南京江宁经济技术开发区秣陵街道康平街2号北方夜视技术股份有限公司现有8号厂房内，位于东经118度46分57.02</w:t>
            </w:r>
            <w:r>
              <w:rPr>
                <w:rFonts w:hint="eastAsia"/>
                <w:color w:val="auto"/>
                <w:sz w:val="24"/>
              </w:rPr>
              <w:t>1</w:t>
            </w:r>
            <w:r>
              <w:rPr>
                <w:color w:val="auto"/>
                <w:sz w:val="24"/>
              </w:rPr>
              <w:t>秒，北纬31度53分56.73</w:t>
            </w:r>
            <w:r>
              <w:rPr>
                <w:rFonts w:hint="eastAsia"/>
                <w:color w:val="auto"/>
                <w:sz w:val="24"/>
              </w:rPr>
              <w:t>6</w:t>
            </w:r>
            <w:r>
              <w:rPr>
                <w:color w:val="auto"/>
                <w:sz w:val="24"/>
              </w:rPr>
              <w:t>秒。</w:t>
            </w:r>
          </w:p>
          <w:p>
            <w:pPr>
              <w:spacing w:line="360" w:lineRule="auto"/>
              <w:ind w:firstLine="482"/>
              <w:rPr>
                <w:color w:val="auto"/>
                <w:sz w:val="24"/>
              </w:rPr>
            </w:pPr>
            <w:r>
              <w:rPr>
                <w:color w:val="auto"/>
                <w:sz w:val="24"/>
              </w:rPr>
              <w:t>厂区北侧为绿化空地，隔绿化空地为诚信大道，东侧与南侧与康平街相邻，西侧为中航工业金城南京机电液压工程研究中心。厂区整体呈扇形状，从北至南分别为1号厂房、3号厂房（动力站及化学品库）、8号厂房（微通道板研究实验楼</w:t>
            </w:r>
            <w:r>
              <w:rPr>
                <w:rFonts w:hint="eastAsia"/>
                <w:color w:val="auto"/>
                <w:sz w:val="24"/>
              </w:rPr>
              <w:t>，本项目位于该厂房</w:t>
            </w:r>
            <w:r>
              <w:rPr>
                <w:color w:val="auto"/>
                <w:sz w:val="24"/>
              </w:rPr>
              <w:t>），2号厂房，大门在厂区西侧紧邻康平街。厂区内布局合理，满足生产运输及消防车辆通行要求。</w:t>
            </w:r>
          </w:p>
          <w:p>
            <w:pPr>
              <w:spacing w:line="360" w:lineRule="auto"/>
              <w:ind w:firstLine="482"/>
              <w:rPr>
                <w:color w:val="auto"/>
                <w:sz w:val="24"/>
              </w:rPr>
            </w:pPr>
            <w:r>
              <w:rPr>
                <w:color w:val="auto"/>
                <w:sz w:val="24"/>
              </w:rPr>
              <w:t>项目地理位置图见附图1，项目周边环境概况见附图2，项目平面布置见附图3。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205" w:type="pct"/>
            <w:vAlign w:val="center"/>
          </w:tcPr>
          <w:p>
            <w:pPr>
              <w:pStyle w:val="30"/>
              <w:adjustRightInd w:val="0"/>
              <w:snapToGrid w:val="0"/>
              <w:spacing w:before="0" w:beforeAutospacing="0" w:after="0" w:afterAutospacing="0"/>
              <w:jc w:val="center"/>
              <w:rPr>
                <w:rFonts w:ascii="Times New Roman" w:hAnsi="Times New Roman"/>
                <w:color w:val="auto"/>
                <w:szCs w:val="24"/>
              </w:rPr>
            </w:pPr>
            <w:r>
              <w:rPr>
                <w:rFonts w:ascii="Times New Roman" w:hAnsi="Times New Roman"/>
                <w:color w:val="auto"/>
                <w:szCs w:val="24"/>
              </w:rPr>
              <w:t>工</w:t>
            </w:r>
          </w:p>
          <w:p>
            <w:pPr>
              <w:pStyle w:val="30"/>
              <w:adjustRightInd w:val="0"/>
              <w:snapToGrid w:val="0"/>
              <w:spacing w:before="0" w:beforeAutospacing="0" w:after="0" w:afterAutospacing="0"/>
              <w:jc w:val="center"/>
              <w:rPr>
                <w:rFonts w:ascii="Times New Roman" w:hAnsi="Times New Roman"/>
                <w:color w:val="auto"/>
                <w:szCs w:val="24"/>
              </w:rPr>
            </w:pPr>
            <w:r>
              <w:rPr>
                <w:rFonts w:ascii="Times New Roman" w:hAnsi="Times New Roman"/>
                <w:color w:val="auto"/>
                <w:szCs w:val="24"/>
              </w:rPr>
              <w:t>艺</w:t>
            </w:r>
          </w:p>
          <w:p>
            <w:pPr>
              <w:pStyle w:val="30"/>
              <w:adjustRightInd w:val="0"/>
              <w:snapToGrid w:val="0"/>
              <w:spacing w:before="0" w:beforeAutospacing="0" w:after="0" w:afterAutospacing="0"/>
              <w:jc w:val="center"/>
              <w:rPr>
                <w:rFonts w:ascii="Times New Roman" w:hAnsi="Times New Roman"/>
                <w:color w:val="auto"/>
                <w:szCs w:val="24"/>
              </w:rPr>
            </w:pPr>
            <w:r>
              <w:rPr>
                <w:rFonts w:ascii="Times New Roman" w:hAnsi="Times New Roman"/>
                <w:color w:val="auto"/>
                <w:szCs w:val="24"/>
              </w:rPr>
              <w:t>流</w:t>
            </w:r>
          </w:p>
          <w:p>
            <w:pPr>
              <w:pStyle w:val="30"/>
              <w:adjustRightInd w:val="0"/>
              <w:snapToGrid w:val="0"/>
              <w:spacing w:before="0" w:beforeAutospacing="0" w:after="0" w:afterAutospacing="0"/>
              <w:jc w:val="center"/>
              <w:rPr>
                <w:rFonts w:ascii="Times New Roman" w:hAnsi="Times New Roman"/>
                <w:color w:val="auto"/>
                <w:szCs w:val="24"/>
              </w:rPr>
            </w:pPr>
            <w:r>
              <w:rPr>
                <w:rFonts w:ascii="Times New Roman" w:hAnsi="Times New Roman"/>
                <w:color w:val="auto"/>
                <w:szCs w:val="24"/>
              </w:rPr>
              <w:t>程</w:t>
            </w:r>
          </w:p>
          <w:p>
            <w:pPr>
              <w:pStyle w:val="30"/>
              <w:adjustRightInd w:val="0"/>
              <w:snapToGrid w:val="0"/>
              <w:spacing w:before="0" w:beforeAutospacing="0" w:after="0" w:afterAutospacing="0"/>
              <w:jc w:val="center"/>
              <w:rPr>
                <w:rFonts w:ascii="Times New Roman" w:hAnsi="Times New Roman"/>
                <w:color w:val="auto"/>
                <w:szCs w:val="24"/>
              </w:rPr>
            </w:pPr>
            <w:r>
              <w:rPr>
                <w:rFonts w:ascii="Times New Roman" w:hAnsi="Times New Roman"/>
                <w:color w:val="auto"/>
                <w:szCs w:val="24"/>
              </w:rPr>
              <w:t>和</w:t>
            </w:r>
          </w:p>
          <w:p>
            <w:pPr>
              <w:pStyle w:val="30"/>
              <w:adjustRightInd w:val="0"/>
              <w:snapToGrid w:val="0"/>
              <w:spacing w:before="0" w:beforeAutospacing="0" w:after="0" w:afterAutospacing="0"/>
              <w:jc w:val="center"/>
              <w:rPr>
                <w:rFonts w:ascii="Times New Roman" w:hAnsi="Times New Roman"/>
                <w:color w:val="auto"/>
                <w:szCs w:val="24"/>
              </w:rPr>
            </w:pPr>
            <w:r>
              <w:rPr>
                <w:rFonts w:ascii="Times New Roman" w:hAnsi="Times New Roman"/>
                <w:color w:val="auto"/>
                <w:szCs w:val="24"/>
              </w:rPr>
              <w:t>产</w:t>
            </w:r>
          </w:p>
          <w:p>
            <w:pPr>
              <w:pStyle w:val="30"/>
              <w:adjustRightInd w:val="0"/>
              <w:snapToGrid w:val="0"/>
              <w:spacing w:before="0" w:beforeAutospacing="0" w:after="0" w:afterAutospacing="0"/>
              <w:jc w:val="center"/>
              <w:rPr>
                <w:rFonts w:ascii="Times New Roman" w:hAnsi="Times New Roman"/>
                <w:color w:val="auto"/>
                <w:szCs w:val="24"/>
              </w:rPr>
            </w:pPr>
            <w:r>
              <w:rPr>
                <w:rFonts w:ascii="Times New Roman" w:hAnsi="Times New Roman"/>
                <w:color w:val="auto"/>
                <w:szCs w:val="24"/>
              </w:rPr>
              <w:t>排</w:t>
            </w:r>
          </w:p>
          <w:p>
            <w:pPr>
              <w:pStyle w:val="30"/>
              <w:adjustRightInd w:val="0"/>
              <w:snapToGrid w:val="0"/>
              <w:spacing w:before="0" w:beforeAutospacing="0" w:after="0" w:afterAutospacing="0"/>
              <w:jc w:val="center"/>
              <w:rPr>
                <w:rFonts w:ascii="Times New Roman" w:hAnsi="Times New Roman"/>
                <w:color w:val="auto"/>
                <w:szCs w:val="24"/>
              </w:rPr>
            </w:pPr>
            <w:r>
              <w:rPr>
                <w:rFonts w:ascii="Times New Roman" w:hAnsi="Times New Roman"/>
                <w:color w:val="auto"/>
                <w:szCs w:val="24"/>
              </w:rPr>
              <w:t>污</w:t>
            </w:r>
          </w:p>
          <w:p>
            <w:pPr>
              <w:pStyle w:val="30"/>
              <w:adjustRightInd w:val="0"/>
              <w:snapToGrid w:val="0"/>
              <w:spacing w:before="0" w:beforeAutospacing="0" w:after="0" w:afterAutospacing="0"/>
              <w:jc w:val="center"/>
              <w:rPr>
                <w:rFonts w:ascii="Times New Roman" w:hAnsi="Times New Roman"/>
                <w:color w:val="auto"/>
                <w:szCs w:val="24"/>
              </w:rPr>
            </w:pPr>
            <w:r>
              <w:rPr>
                <w:rFonts w:ascii="Times New Roman" w:hAnsi="Times New Roman"/>
                <w:color w:val="auto"/>
                <w:szCs w:val="24"/>
              </w:rPr>
              <w:t>环</w:t>
            </w:r>
          </w:p>
          <w:p>
            <w:pPr>
              <w:pStyle w:val="30"/>
              <w:adjustRightInd w:val="0"/>
              <w:snapToGrid w:val="0"/>
              <w:spacing w:before="0" w:beforeAutospacing="0" w:after="0" w:afterAutospacing="0"/>
              <w:jc w:val="center"/>
              <w:rPr>
                <w:rFonts w:ascii="Times New Roman" w:hAnsi="Times New Roman"/>
                <w:color w:val="auto"/>
                <w:sz w:val="21"/>
                <w:szCs w:val="21"/>
              </w:rPr>
            </w:pPr>
            <w:r>
              <w:rPr>
                <w:rFonts w:ascii="Times New Roman" w:hAnsi="Times New Roman"/>
                <w:color w:val="auto"/>
                <w:szCs w:val="24"/>
              </w:rPr>
              <w:t>节</w:t>
            </w:r>
          </w:p>
        </w:tc>
        <w:tc>
          <w:tcPr>
            <w:tcW w:w="4794" w:type="pct"/>
          </w:tcPr>
          <w:p>
            <w:pPr>
              <w:spacing w:beforeLines="50" w:line="360" w:lineRule="auto"/>
              <w:ind w:left="420"/>
              <w:rPr>
                <w:b/>
                <w:color w:val="auto"/>
                <w:sz w:val="24"/>
              </w:rPr>
            </w:pPr>
            <w:r>
              <w:rPr>
                <w:b/>
                <w:color w:val="auto"/>
                <w:sz w:val="24"/>
              </w:rPr>
              <w:t>施工期：</w:t>
            </w:r>
          </w:p>
          <w:p>
            <w:pPr>
              <w:spacing w:beforeLines="50" w:line="360" w:lineRule="auto"/>
              <w:ind w:firstLine="480" w:firstLineChars="200"/>
              <w:rPr>
                <w:bCs/>
                <w:color w:val="auto"/>
                <w:sz w:val="24"/>
              </w:rPr>
            </w:pPr>
            <w:r>
              <w:rPr>
                <w:bCs/>
                <w:color w:val="auto"/>
                <w:sz w:val="24"/>
              </w:rPr>
              <w:t>本项目在现有8#厂房内进行设备安装，对外环境影响较小。</w:t>
            </w:r>
          </w:p>
          <w:p>
            <w:pPr>
              <w:spacing w:beforeLines="50" w:line="360" w:lineRule="auto"/>
              <w:ind w:left="420"/>
              <w:rPr>
                <w:b/>
                <w:color w:val="auto"/>
                <w:sz w:val="24"/>
              </w:rPr>
            </w:pPr>
            <w:r>
              <w:rPr>
                <w:b/>
                <w:color w:val="auto"/>
                <w:sz w:val="24"/>
              </w:rPr>
              <w:t>运营期：</w:t>
            </w:r>
          </w:p>
          <w:p>
            <w:pPr>
              <w:pStyle w:val="6"/>
              <w:ind w:firstLine="480" w:firstLineChars="200"/>
              <w:jc w:val="both"/>
              <w:rPr>
                <w:rFonts w:ascii="Times New Roman" w:hAnsi="Times New Roman"/>
                <w:color w:val="auto"/>
                <w:sz w:val="24"/>
                <w:szCs w:val="24"/>
              </w:rPr>
            </w:pPr>
            <w:r>
              <w:rPr>
                <w:rFonts w:ascii="Times New Roman" w:hAnsi="Times New Roman"/>
                <w:color w:val="auto"/>
                <w:sz w:val="24"/>
                <w:szCs w:val="24"/>
              </w:rPr>
              <w:t>本项目计划</w:t>
            </w:r>
            <w:r>
              <w:rPr>
                <w:rFonts w:hint="eastAsia" w:ascii="Times New Roman" w:hAnsi="Times New Roman"/>
                <w:color w:val="auto"/>
                <w:sz w:val="24"/>
                <w:szCs w:val="24"/>
                <w:lang w:eastAsia="zh-CN"/>
              </w:rPr>
              <w:t>生产</w:t>
            </w:r>
            <w:r>
              <w:rPr>
                <w:rFonts w:ascii="Times New Roman" w:hAnsi="Times New Roman"/>
                <w:color w:val="auto"/>
                <w:sz w:val="24"/>
                <w:szCs w:val="24"/>
              </w:rPr>
              <w:t>的6</w:t>
            </w:r>
            <w:r>
              <w:rPr>
                <w:rFonts w:hint="eastAsia" w:ascii="Times New Roman" w:hAnsi="Times New Roman"/>
                <w:color w:val="auto"/>
                <w:sz w:val="24"/>
                <w:szCs w:val="24"/>
              </w:rPr>
              <w:t>类</w:t>
            </w:r>
            <w:r>
              <w:rPr>
                <w:rFonts w:ascii="Times New Roman" w:hAnsi="Times New Roman"/>
                <w:color w:val="auto"/>
                <w:sz w:val="24"/>
                <w:szCs w:val="24"/>
              </w:rPr>
              <w:t>产品，工艺流程相同，每个产品在工艺过程有微差异，但不影响产污环节分析，各产品工艺差异如下：</w:t>
            </w:r>
          </w:p>
          <w:p>
            <w:pPr>
              <w:pStyle w:val="6"/>
              <w:ind w:firstLine="480" w:firstLineChars="200"/>
              <w:jc w:val="both"/>
              <w:rPr>
                <w:rFonts w:ascii="Times New Roman" w:hAnsi="Times New Roman"/>
                <w:color w:val="auto"/>
                <w:sz w:val="24"/>
                <w:szCs w:val="24"/>
              </w:rPr>
            </w:pPr>
            <w:r>
              <w:rPr>
                <w:rFonts w:ascii="Times New Roman" w:hAnsi="Times New Roman"/>
                <w:color w:val="auto"/>
                <w:sz w:val="24"/>
                <w:szCs w:val="24"/>
              </w:rPr>
              <w:t>（1）零部件处理工序：在零部件清洗和除气处理工艺上无差别，不同管型的不锈钢零件或者铜铍合金零件镀膜工艺不同，具体为镀Sb膜层的厚度不同</w:t>
            </w:r>
            <w:r>
              <w:rPr>
                <w:rFonts w:hint="eastAsia" w:ascii="Times New Roman" w:hAnsi="Times New Roman"/>
                <w:color w:val="auto"/>
                <w:sz w:val="24"/>
                <w:szCs w:val="24"/>
              </w:rPr>
              <w:t>，</w:t>
            </w:r>
            <w:r>
              <w:rPr>
                <w:rFonts w:ascii="Times New Roman" w:hAnsi="Times New Roman"/>
                <w:color w:val="auto"/>
                <w:sz w:val="24"/>
                <w:szCs w:val="24"/>
              </w:rPr>
              <w:t>镀膜工序没有污染物产生；</w:t>
            </w:r>
          </w:p>
          <w:p>
            <w:pPr>
              <w:pStyle w:val="6"/>
              <w:ind w:firstLine="480" w:firstLineChars="200"/>
              <w:jc w:val="both"/>
              <w:rPr>
                <w:rFonts w:ascii="Times New Roman" w:hAnsi="Times New Roman"/>
                <w:color w:val="auto"/>
                <w:sz w:val="24"/>
                <w:szCs w:val="24"/>
              </w:rPr>
            </w:pPr>
            <w:r>
              <w:rPr>
                <w:rFonts w:ascii="Times New Roman" w:hAnsi="Times New Roman"/>
                <w:color w:val="auto"/>
                <w:sz w:val="24"/>
                <w:szCs w:val="24"/>
              </w:rPr>
              <w:t>（2）装架工序：因6</w:t>
            </w:r>
            <w:r>
              <w:rPr>
                <w:rFonts w:hint="eastAsia" w:ascii="Times New Roman" w:hAnsi="Times New Roman"/>
                <w:color w:val="auto"/>
                <w:sz w:val="24"/>
                <w:szCs w:val="24"/>
              </w:rPr>
              <w:t>类</w:t>
            </w:r>
            <w:r>
              <w:rPr>
                <w:rFonts w:ascii="Times New Roman" w:hAnsi="Times New Roman"/>
                <w:color w:val="auto"/>
                <w:sz w:val="24"/>
                <w:szCs w:val="24"/>
              </w:rPr>
              <w:t>产品在玻壳尺寸和形状、倍增极极数、镍制及金属零部件形状、陶瓷零部件形状、可伐芯柱尺寸上存在差异，导致装架工艺上有差异；差异点主要为电极引线之间的连接关系、倍增极排布方式、点焊机焊接电流的大小、碱源内置外置差异等方面，装架工序没有污染物产生；</w:t>
            </w:r>
          </w:p>
          <w:p>
            <w:pPr>
              <w:pStyle w:val="6"/>
              <w:ind w:firstLine="480" w:firstLineChars="200"/>
              <w:jc w:val="both"/>
              <w:rPr>
                <w:rFonts w:ascii="Times New Roman" w:hAnsi="Times New Roman"/>
                <w:color w:val="auto"/>
                <w:sz w:val="24"/>
                <w:szCs w:val="24"/>
              </w:rPr>
            </w:pPr>
            <w:r>
              <w:rPr>
                <w:rFonts w:ascii="Times New Roman" w:hAnsi="Times New Roman"/>
                <w:color w:val="auto"/>
                <w:sz w:val="24"/>
                <w:szCs w:val="24"/>
              </w:rPr>
              <w:t>（3）封口工序：根据不同产品的玻壳尺寸，工艺差异点主要有：设备火头口径、预热时间、封接时间、退火时间和退火方式，封口工序总计使用液化石油气</w:t>
            </w:r>
            <w:r>
              <w:rPr>
                <w:rFonts w:ascii="Times New Roman" w:hAnsi="Times New Roman"/>
                <w:color w:val="auto"/>
                <w:sz w:val="21"/>
                <w:szCs w:val="21"/>
              </w:rPr>
              <w:t>1.5t/a</w:t>
            </w:r>
            <w:r>
              <w:rPr>
                <w:rFonts w:ascii="Times New Roman" w:hAnsi="Times New Roman"/>
                <w:color w:val="auto"/>
                <w:sz w:val="24"/>
                <w:szCs w:val="24"/>
              </w:rPr>
              <w:t>，不影响产污分析；</w:t>
            </w:r>
          </w:p>
          <w:p>
            <w:pPr>
              <w:pStyle w:val="6"/>
              <w:ind w:firstLine="480" w:firstLineChars="200"/>
              <w:jc w:val="both"/>
              <w:rPr>
                <w:rFonts w:ascii="Times New Roman" w:hAnsi="Times New Roman"/>
                <w:color w:val="auto"/>
                <w:sz w:val="24"/>
                <w:szCs w:val="24"/>
              </w:rPr>
            </w:pPr>
            <w:r>
              <w:rPr>
                <w:rFonts w:ascii="Times New Roman" w:hAnsi="Times New Roman"/>
                <w:color w:val="auto"/>
                <w:sz w:val="24"/>
                <w:szCs w:val="24"/>
              </w:rPr>
              <w:t>（4）排气工序：差异点主要在于不同管型，使用的碱源数量、蒸发电流和蒸发时间不同，排气工序不产生污染；</w:t>
            </w:r>
          </w:p>
          <w:p>
            <w:pPr>
              <w:pStyle w:val="6"/>
              <w:ind w:firstLine="480" w:firstLineChars="200"/>
              <w:jc w:val="both"/>
              <w:rPr>
                <w:rFonts w:ascii="Times New Roman" w:hAnsi="Times New Roman"/>
                <w:color w:val="auto"/>
                <w:sz w:val="24"/>
                <w:szCs w:val="24"/>
              </w:rPr>
            </w:pPr>
            <w:r>
              <w:rPr>
                <w:rFonts w:ascii="Times New Roman" w:hAnsi="Times New Roman"/>
                <w:color w:val="auto"/>
                <w:sz w:val="24"/>
                <w:szCs w:val="24"/>
              </w:rPr>
              <w:t>（5）测试工序：不同管型老化电流和时间差异、静态动态参数的测试条件的差异，测试工序不产生污染。</w:t>
            </w:r>
          </w:p>
          <w:p>
            <w:pPr>
              <w:pStyle w:val="6"/>
              <w:ind w:firstLine="480" w:firstLineChars="200"/>
              <w:jc w:val="both"/>
              <w:rPr>
                <w:rFonts w:ascii="Times New Roman" w:hAnsi="Times New Roman"/>
                <w:color w:val="auto"/>
                <w:sz w:val="24"/>
                <w:szCs w:val="24"/>
              </w:rPr>
            </w:pPr>
            <w:r>
              <w:rPr>
                <w:rFonts w:ascii="Times New Roman" w:hAnsi="Times New Roman"/>
                <w:color w:val="auto"/>
                <w:sz w:val="24"/>
                <w:szCs w:val="24"/>
              </w:rPr>
              <w:t>打拿极型光电倍增属于倍增型光电真空器件，结构示意图如图2-1所示。</w:t>
            </w:r>
          </w:p>
          <w:p>
            <w:pPr>
              <w:pStyle w:val="6"/>
              <w:jc w:val="center"/>
              <w:rPr>
                <w:rFonts w:ascii="Times New Roman" w:hAnsi="Times New Roman"/>
                <w:color w:val="auto"/>
              </w:rPr>
            </w:pPr>
            <w:r>
              <w:rPr>
                <w:rFonts w:ascii="Times New Roman" w:hAnsi="Times New Roman" w:eastAsia="等线"/>
                <w:color w:val="auto"/>
                <w:szCs w:val="24"/>
              </w:rPr>
              <w:drawing>
                <wp:inline distT="0" distB="0" distL="0" distR="0">
                  <wp:extent cx="4600575" cy="2000250"/>
                  <wp:effectExtent l="1905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8"/>
                          <a:srcRect/>
                          <a:stretch>
                            <a:fillRect/>
                          </a:stretch>
                        </pic:blipFill>
                        <pic:spPr>
                          <a:xfrm>
                            <a:off x="0" y="0"/>
                            <a:ext cx="4600575" cy="2000250"/>
                          </a:xfrm>
                          <a:prstGeom prst="rect">
                            <a:avLst/>
                          </a:prstGeom>
                          <a:noFill/>
                          <a:ln w="9525">
                            <a:noFill/>
                            <a:miter lim="800000"/>
                            <a:headEnd/>
                            <a:tailEnd/>
                          </a:ln>
                        </pic:spPr>
                      </pic:pic>
                    </a:graphicData>
                  </a:graphic>
                </wp:inline>
              </w:drawing>
            </w:r>
          </w:p>
          <w:p>
            <w:pPr>
              <w:pStyle w:val="6"/>
              <w:jc w:val="center"/>
              <w:rPr>
                <w:rFonts w:ascii="Times New Roman" w:hAnsi="Times New Roman"/>
                <w:b/>
                <w:color w:val="auto"/>
                <w:sz w:val="24"/>
                <w:szCs w:val="24"/>
              </w:rPr>
            </w:pPr>
            <w:r>
              <w:rPr>
                <w:rFonts w:ascii="Times New Roman" w:hAnsi="Times New Roman"/>
                <w:b/>
                <w:color w:val="auto"/>
                <w:sz w:val="24"/>
                <w:szCs w:val="24"/>
              </w:rPr>
              <w:t>图2-1  光电倍增管结构图</w:t>
            </w:r>
          </w:p>
          <w:p>
            <w:pPr>
              <w:numPr>
                <w:ilvl w:val="0"/>
                <w:numId w:val="6"/>
              </w:numPr>
              <w:spacing w:beforeLines="50" w:line="360" w:lineRule="auto"/>
              <w:ind w:firstLine="482"/>
              <w:rPr>
                <w:b/>
                <w:color w:val="auto"/>
                <w:sz w:val="24"/>
              </w:rPr>
            </w:pPr>
            <w:r>
              <w:rPr>
                <w:b/>
                <w:color w:val="auto"/>
                <w:sz w:val="24"/>
              </w:rPr>
              <w:t>光电倍增管工艺流程</w:t>
            </w:r>
          </w:p>
          <w:p>
            <w:pPr>
              <w:spacing w:line="360" w:lineRule="auto"/>
              <w:ind w:firstLine="480" w:firstLineChars="200"/>
              <w:rPr>
                <w:color w:val="auto"/>
                <w:sz w:val="24"/>
              </w:rPr>
            </w:pPr>
            <w:r>
              <w:rPr>
                <w:color w:val="auto"/>
                <w:sz w:val="24"/>
              </w:rPr>
              <w:t>光电倍增管工艺流程详见图2-2。</w:t>
            </w:r>
          </w:p>
          <w:p>
            <w:pPr>
              <w:spacing w:line="360" w:lineRule="auto"/>
              <w:ind w:firstLine="480" w:firstLineChars="200"/>
              <w:rPr>
                <w:color w:val="auto"/>
                <w:sz w:val="24"/>
              </w:rPr>
            </w:pPr>
          </w:p>
          <w:p>
            <w:pPr>
              <w:spacing w:line="360" w:lineRule="auto"/>
              <w:ind w:firstLine="480" w:firstLineChars="200"/>
              <w:rPr>
                <w:color w:val="auto"/>
                <w:sz w:val="24"/>
              </w:rPr>
            </w:pPr>
          </w:p>
          <w:p>
            <w:pPr>
              <w:spacing w:line="360" w:lineRule="auto"/>
              <w:ind w:firstLine="480" w:firstLineChars="200"/>
              <w:rPr>
                <w:color w:val="auto"/>
                <w:sz w:val="24"/>
              </w:rPr>
            </w:pPr>
          </w:p>
          <w:p>
            <w:pPr>
              <w:spacing w:line="360" w:lineRule="auto"/>
              <w:ind w:firstLine="480" w:firstLineChars="200"/>
              <w:rPr>
                <w:color w:val="auto"/>
                <w:sz w:val="24"/>
              </w:rPr>
            </w:pPr>
          </w:p>
          <w:p>
            <w:pPr>
              <w:spacing w:line="360" w:lineRule="auto"/>
              <w:jc w:val="center"/>
              <w:rPr>
                <w:bCs/>
                <w:color w:val="auto"/>
                <w:sz w:val="10"/>
                <w:szCs w:val="10"/>
              </w:rPr>
            </w:pPr>
          </w:p>
          <w:p>
            <w:pPr>
              <w:spacing w:line="360" w:lineRule="auto"/>
              <w:jc w:val="center"/>
              <w:rPr>
                <w:b/>
                <w:bCs/>
                <w:color w:val="auto"/>
                <w:sz w:val="24"/>
              </w:rPr>
            </w:pPr>
            <w:r>
              <w:rPr>
                <w:b/>
                <w:bCs/>
                <w:color w:val="auto"/>
                <w:sz w:val="24"/>
              </w:rPr>
              <w:t>图2-2  光电倍增管工艺流程图</w:t>
            </w:r>
          </w:p>
          <w:p>
            <w:pPr>
              <w:spacing w:line="360" w:lineRule="auto"/>
              <w:ind w:firstLine="482" w:firstLineChars="200"/>
              <w:rPr>
                <w:b/>
                <w:bCs/>
                <w:color w:val="auto"/>
                <w:sz w:val="24"/>
              </w:rPr>
            </w:pPr>
            <w:r>
              <w:rPr>
                <w:b/>
                <w:bCs/>
                <w:color w:val="auto"/>
                <w:sz w:val="24"/>
              </w:rPr>
              <w:t>（1）零部件</w:t>
            </w:r>
            <w:r>
              <w:rPr>
                <w:rFonts w:hint="eastAsia"/>
                <w:b/>
                <w:bCs/>
                <w:color w:val="auto"/>
                <w:sz w:val="24"/>
              </w:rPr>
              <w:t>制备及</w:t>
            </w:r>
            <w:r>
              <w:rPr>
                <w:b/>
                <w:bCs/>
                <w:color w:val="auto"/>
                <w:sz w:val="24"/>
              </w:rPr>
              <w:t>清洗</w:t>
            </w:r>
          </w:p>
          <w:p>
            <w:pPr>
              <w:spacing w:line="360" w:lineRule="auto"/>
              <w:ind w:firstLine="480" w:firstLineChars="200"/>
              <w:rPr>
                <w:bCs/>
                <w:color w:val="auto"/>
                <w:sz w:val="24"/>
              </w:rPr>
            </w:pPr>
            <w:bookmarkStart w:id="12" w:name="_GoBack"/>
            <w:bookmarkEnd w:id="12"/>
            <w:r>
              <w:rPr>
                <w:bCs/>
                <w:color w:val="auto"/>
                <w:sz w:val="24"/>
              </w:rPr>
              <w:t>零部件清洗工艺使用设备及工作时长情况，详见表2-</w:t>
            </w:r>
            <w:r>
              <w:rPr>
                <w:rFonts w:hint="eastAsia"/>
                <w:bCs/>
                <w:color w:val="auto"/>
                <w:sz w:val="24"/>
              </w:rPr>
              <w:t>7</w:t>
            </w:r>
            <w:r>
              <w:rPr>
                <w:bCs/>
                <w:color w:val="auto"/>
                <w:sz w:val="24"/>
              </w:rPr>
              <w:t>。</w:t>
            </w:r>
          </w:p>
          <w:p>
            <w:pPr>
              <w:spacing w:line="360" w:lineRule="auto"/>
              <w:jc w:val="center"/>
              <w:rPr>
                <w:b/>
                <w:bCs/>
                <w:color w:val="auto"/>
                <w:sz w:val="24"/>
              </w:rPr>
            </w:pPr>
          </w:p>
          <w:p>
            <w:pPr>
              <w:spacing w:line="360" w:lineRule="auto"/>
              <w:jc w:val="center"/>
              <w:rPr>
                <w:b/>
                <w:bCs/>
                <w:color w:val="auto"/>
                <w:sz w:val="24"/>
              </w:rPr>
            </w:pPr>
            <w:r>
              <w:rPr>
                <w:b/>
                <w:bCs/>
                <w:color w:val="auto"/>
                <w:sz w:val="24"/>
              </w:rPr>
              <w:t>表2-</w:t>
            </w:r>
            <w:r>
              <w:rPr>
                <w:rFonts w:hint="eastAsia"/>
                <w:b/>
                <w:bCs/>
                <w:color w:val="auto"/>
                <w:sz w:val="24"/>
              </w:rPr>
              <w:t>7</w:t>
            </w:r>
            <w:r>
              <w:rPr>
                <w:b/>
                <w:bCs/>
                <w:color w:val="auto"/>
                <w:sz w:val="24"/>
              </w:rPr>
              <w:t xml:space="preserve">  零部件清洗工艺使用设备及工作时长表</w:t>
            </w:r>
          </w:p>
          <w:tbl>
            <w:tblPr>
              <w:tblStyle w:val="3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57"/>
              <w:gridCol w:w="3256"/>
              <w:gridCol w:w="36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1020" w:type="pct"/>
                  <w:vAlign w:val="center"/>
                </w:tcPr>
                <w:p>
                  <w:pPr>
                    <w:jc w:val="center"/>
                    <w:rPr>
                      <w:bCs/>
                      <w:color w:val="auto"/>
                      <w:szCs w:val="21"/>
                    </w:rPr>
                  </w:pPr>
                  <w:r>
                    <w:rPr>
                      <w:bCs/>
                      <w:color w:val="auto"/>
                      <w:szCs w:val="21"/>
                    </w:rPr>
                    <w:t>工序</w:t>
                  </w:r>
                </w:p>
              </w:tc>
              <w:tc>
                <w:tcPr>
                  <w:tcW w:w="1889" w:type="pct"/>
                  <w:vAlign w:val="center"/>
                </w:tcPr>
                <w:p>
                  <w:pPr>
                    <w:jc w:val="center"/>
                    <w:rPr>
                      <w:bCs/>
                      <w:color w:val="auto"/>
                      <w:szCs w:val="21"/>
                    </w:rPr>
                  </w:pPr>
                  <w:r>
                    <w:rPr>
                      <w:bCs/>
                      <w:color w:val="auto"/>
                      <w:szCs w:val="21"/>
                    </w:rPr>
                    <w:t>设备名称</w:t>
                  </w:r>
                </w:p>
              </w:tc>
              <w:tc>
                <w:tcPr>
                  <w:tcW w:w="2091" w:type="pct"/>
                  <w:vAlign w:val="center"/>
                </w:tcPr>
                <w:p>
                  <w:pPr>
                    <w:jc w:val="center"/>
                    <w:rPr>
                      <w:bCs/>
                      <w:color w:val="auto"/>
                      <w:szCs w:val="21"/>
                    </w:rPr>
                  </w:pPr>
                  <w:r>
                    <w:rPr>
                      <w:bCs/>
                      <w:color w:val="auto"/>
                      <w:szCs w:val="21"/>
                    </w:rPr>
                    <w:t>工作时间（h/a）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020" w:type="pct"/>
                  <w:vMerge w:val="restart"/>
                  <w:vAlign w:val="center"/>
                </w:tcPr>
                <w:p>
                  <w:pPr>
                    <w:jc w:val="center"/>
                    <w:rPr>
                      <w:bCs/>
                      <w:color w:val="auto"/>
                      <w:szCs w:val="21"/>
                    </w:rPr>
                  </w:pPr>
                  <w:r>
                    <w:rPr>
                      <w:bCs/>
                      <w:color w:val="auto"/>
                      <w:szCs w:val="21"/>
                    </w:rPr>
                    <w:t>清洗工序</w:t>
                  </w:r>
                </w:p>
              </w:tc>
              <w:tc>
                <w:tcPr>
                  <w:tcW w:w="1889" w:type="pct"/>
                  <w:vAlign w:val="center"/>
                </w:tcPr>
                <w:p>
                  <w:pPr>
                    <w:jc w:val="center"/>
                    <w:rPr>
                      <w:bCs/>
                      <w:color w:val="auto"/>
                      <w:szCs w:val="21"/>
                    </w:rPr>
                  </w:pPr>
                </w:p>
              </w:tc>
              <w:tc>
                <w:tcPr>
                  <w:tcW w:w="2091" w:type="pct"/>
                  <w:vAlign w:val="center"/>
                </w:tcPr>
                <w:p>
                  <w:pPr>
                    <w:jc w:val="center"/>
                    <w:rPr>
                      <w:bCs/>
                      <w:color w:val="auto"/>
                      <w:szCs w:val="21"/>
                    </w:rPr>
                  </w:pPr>
                  <w:r>
                    <w:rPr>
                      <w:bCs/>
                      <w:color w:val="auto"/>
                      <w:szCs w:val="21"/>
                    </w:rPr>
                    <w:t>2400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1020" w:type="pct"/>
                  <w:vMerge w:val="continue"/>
                  <w:vAlign w:val="center"/>
                </w:tcPr>
                <w:p>
                  <w:pPr>
                    <w:jc w:val="center"/>
                    <w:rPr>
                      <w:bCs/>
                      <w:color w:val="auto"/>
                      <w:szCs w:val="21"/>
                    </w:rPr>
                  </w:pPr>
                </w:p>
              </w:tc>
              <w:tc>
                <w:tcPr>
                  <w:tcW w:w="1889" w:type="pct"/>
                  <w:vAlign w:val="center"/>
                </w:tcPr>
                <w:p>
                  <w:pPr>
                    <w:jc w:val="center"/>
                    <w:rPr>
                      <w:bCs/>
                      <w:color w:val="auto"/>
                      <w:szCs w:val="21"/>
                    </w:rPr>
                  </w:pPr>
                </w:p>
              </w:tc>
              <w:tc>
                <w:tcPr>
                  <w:tcW w:w="2091" w:type="pct"/>
                  <w:vAlign w:val="center"/>
                </w:tcPr>
                <w:p>
                  <w:pPr>
                    <w:jc w:val="center"/>
                    <w:rPr>
                      <w:bCs/>
                      <w:color w:val="auto"/>
                      <w:szCs w:val="21"/>
                    </w:rPr>
                  </w:pPr>
                  <w:r>
                    <w:rPr>
                      <w:rFonts w:hint="eastAsia"/>
                      <w:bCs/>
                      <w:color w:val="auto"/>
                      <w:szCs w:val="21"/>
                    </w:rPr>
                    <w:t>2</w:t>
                  </w:r>
                  <w:r>
                    <w:rPr>
                      <w:bCs/>
                      <w:color w:val="auto"/>
                      <w:szCs w:val="21"/>
                    </w:rPr>
                    <w:t>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1020" w:type="pct"/>
                  <w:vMerge w:val="continue"/>
                  <w:vAlign w:val="center"/>
                </w:tcPr>
                <w:p>
                  <w:pPr>
                    <w:jc w:val="center"/>
                    <w:rPr>
                      <w:bCs/>
                      <w:color w:val="auto"/>
                      <w:szCs w:val="21"/>
                    </w:rPr>
                  </w:pPr>
                </w:p>
              </w:tc>
              <w:tc>
                <w:tcPr>
                  <w:tcW w:w="1889" w:type="pct"/>
                  <w:vAlign w:val="center"/>
                </w:tcPr>
                <w:p>
                  <w:pPr>
                    <w:jc w:val="center"/>
                    <w:rPr>
                      <w:bCs/>
                      <w:color w:val="auto"/>
                      <w:szCs w:val="21"/>
                    </w:rPr>
                  </w:pPr>
                </w:p>
              </w:tc>
              <w:tc>
                <w:tcPr>
                  <w:tcW w:w="2091" w:type="pct"/>
                  <w:vAlign w:val="center"/>
                </w:tcPr>
                <w:p>
                  <w:pPr>
                    <w:jc w:val="center"/>
                    <w:rPr>
                      <w:bCs/>
                      <w:color w:val="auto"/>
                      <w:szCs w:val="21"/>
                    </w:rPr>
                  </w:pPr>
                  <w:r>
                    <w:rPr>
                      <w:bCs/>
                      <w:color w:val="auto"/>
                      <w:szCs w:val="21"/>
                    </w:rPr>
                    <w:t>600</w:t>
                  </w:r>
                  <w:r>
                    <w:rPr>
                      <w:rFonts w:hint="eastAsia"/>
                      <w:bCs/>
                      <w:color w:val="auto"/>
                      <w:szCs w:val="21"/>
                    </w:rPr>
                    <w:t>0</w:t>
                  </w:r>
                  <w:r>
                    <w:rPr>
                      <w:bCs/>
                      <w:color w:val="auto"/>
                      <w:szCs w:val="21"/>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1020" w:type="pct"/>
                  <w:vMerge w:val="continue"/>
                  <w:vAlign w:val="center"/>
                </w:tcPr>
                <w:p>
                  <w:pPr>
                    <w:jc w:val="center"/>
                    <w:rPr>
                      <w:bCs/>
                      <w:color w:val="auto"/>
                      <w:szCs w:val="21"/>
                    </w:rPr>
                  </w:pPr>
                </w:p>
              </w:tc>
              <w:tc>
                <w:tcPr>
                  <w:tcW w:w="1889" w:type="pct"/>
                  <w:vAlign w:val="center"/>
                </w:tcPr>
                <w:p>
                  <w:pPr>
                    <w:jc w:val="center"/>
                    <w:rPr>
                      <w:bCs/>
                      <w:color w:val="auto"/>
                      <w:szCs w:val="21"/>
                    </w:rPr>
                  </w:pPr>
                </w:p>
              </w:tc>
              <w:tc>
                <w:tcPr>
                  <w:tcW w:w="2091" w:type="pct"/>
                  <w:vAlign w:val="center"/>
                </w:tcPr>
                <w:p>
                  <w:pPr>
                    <w:jc w:val="center"/>
                    <w:rPr>
                      <w:bCs/>
                      <w:color w:val="auto"/>
                      <w:szCs w:val="21"/>
                    </w:rPr>
                  </w:pPr>
                  <w:r>
                    <w:rPr>
                      <w:bCs/>
                      <w:color w:val="auto"/>
                      <w:szCs w:val="21"/>
                    </w:rPr>
                    <w:t>2400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1020" w:type="pct"/>
                  <w:vMerge w:val="continue"/>
                  <w:vAlign w:val="center"/>
                </w:tcPr>
                <w:p>
                  <w:pPr>
                    <w:jc w:val="center"/>
                    <w:rPr>
                      <w:bCs/>
                      <w:color w:val="auto"/>
                      <w:szCs w:val="21"/>
                    </w:rPr>
                  </w:pPr>
                </w:p>
              </w:tc>
              <w:tc>
                <w:tcPr>
                  <w:tcW w:w="1889" w:type="pct"/>
                  <w:vAlign w:val="center"/>
                </w:tcPr>
                <w:p>
                  <w:pPr>
                    <w:jc w:val="center"/>
                    <w:rPr>
                      <w:bCs/>
                      <w:color w:val="auto"/>
                      <w:szCs w:val="21"/>
                    </w:rPr>
                  </w:pPr>
                </w:p>
              </w:tc>
              <w:tc>
                <w:tcPr>
                  <w:tcW w:w="2091" w:type="pct"/>
                  <w:vAlign w:val="center"/>
                </w:tcPr>
                <w:p>
                  <w:pPr>
                    <w:jc w:val="center"/>
                    <w:rPr>
                      <w:bCs/>
                      <w:color w:val="auto"/>
                      <w:szCs w:val="21"/>
                    </w:rPr>
                  </w:pPr>
                  <w:r>
                    <w:rPr>
                      <w:bCs/>
                      <w:color w:val="auto"/>
                      <w:szCs w:val="21"/>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1020" w:type="pct"/>
                  <w:vMerge w:val="continue"/>
                  <w:vAlign w:val="center"/>
                </w:tcPr>
                <w:p>
                  <w:pPr>
                    <w:jc w:val="center"/>
                    <w:rPr>
                      <w:bCs/>
                      <w:color w:val="auto"/>
                      <w:szCs w:val="21"/>
                    </w:rPr>
                  </w:pPr>
                </w:p>
              </w:tc>
              <w:tc>
                <w:tcPr>
                  <w:tcW w:w="1889" w:type="pct"/>
                  <w:vAlign w:val="center"/>
                </w:tcPr>
                <w:p>
                  <w:pPr>
                    <w:jc w:val="center"/>
                    <w:rPr>
                      <w:bCs/>
                      <w:color w:val="auto"/>
                      <w:szCs w:val="21"/>
                    </w:rPr>
                  </w:pPr>
                </w:p>
              </w:tc>
              <w:tc>
                <w:tcPr>
                  <w:tcW w:w="2091" w:type="pct"/>
                  <w:vAlign w:val="center"/>
                </w:tcPr>
                <w:p>
                  <w:pPr>
                    <w:jc w:val="center"/>
                    <w:rPr>
                      <w:bCs/>
                      <w:color w:val="auto"/>
                      <w:szCs w:val="21"/>
                    </w:rPr>
                  </w:pPr>
                  <w:r>
                    <w:rPr>
                      <w:bCs/>
                      <w:color w:val="auto"/>
                      <w:szCs w:val="21"/>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1020" w:type="pct"/>
                  <w:vMerge w:val="continue"/>
                  <w:vAlign w:val="center"/>
                </w:tcPr>
                <w:p>
                  <w:pPr>
                    <w:jc w:val="center"/>
                    <w:rPr>
                      <w:bCs/>
                      <w:color w:val="auto"/>
                      <w:szCs w:val="21"/>
                    </w:rPr>
                  </w:pPr>
                </w:p>
              </w:tc>
              <w:tc>
                <w:tcPr>
                  <w:tcW w:w="1889" w:type="pct"/>
                  <w:vAlign w:val="center"/>
                </w:tcPr>
                <w:p>
                  <w:pPr>
                    <w:jc w:val="center"/>
                    <w:rPr>
                      <w:bCs/>
                      <w:color w:val="auto"/>
                      <w:szCs w:val="21"/>
                    </w:rPr>
                  </w:pPr>
                </w:p>
              </w:tc>
              <w:tc>
                <w:tcPr>
                  <w:tcW w:w="2091" w:type="pct"/>
                  <w:vAlign w:val="center"/>
                </w:tcPr>
                <w:p>
                  <w:pPr>
                    <w:jc w:val="center"/>
                    <w:rPr>
                      <w:bCs/>
                      <w:color w:val="auto"/>
                      <w:szCs w:val="21"/>
                    </w:rPr>
                  </w:pPr>
                  <w:r>
                    <w:rPr>
                      <w:bCs/>
                      <w:color w:val="auto"/>
                      <w:szCs w:val="21"/>
                    </w:rPr>
                    <w:t>2400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1020" w:type="pct"/>
                  <w:vMerge w:val="continue"/>
                  <w:vAlign w:val="center"/>
                </w:tcPr>
                <w:p>
                  <w:pPr>
                    <w:jc w:val="center"/>
                    <w:rPr>
                      <w:bCs/>
                      <w:color w:val="auto"/>
                      <w:szCs w:val="21"/>
                    </w:rPr>
                  </w:pPr>
                </w:p>
              </w:tc>
              <w:tc>
                <w:tcPr>
                  <w:tcW w:w="1889" w:type="pct"/>
                  <w:vAlign w:val="center"/>
                </w:tcPr>
                <w:p>
                  <w:pPr>
                    <w:jc w:val="center"/>
                    <w:rPr>
                      <w:bCs/>
                      <w:color w:val="auto"/>
                      <w:szCs w:val="21"/>
                    </w:rPr>
                  </w:pPr>
                </w:p>
              </w:tc>
              <w:tc>
                <w:tcPr>
                  <w:tcW w:w="2091" w:type="pct"/>
                  <w:vAlign w:val="center"/>
                </w:tcPr>
                <w:p>
                  <w:pPr>
                    <w:jc w:val="center"/>
                    <w:rPr>
                      <w:bCs/>
                      <w:color w:val="auto"/>
                      <w:szCs w:val="21"/>
                    </w:rPr>
                  </w:pPr>
                  <w:r>
                    <w:rPr>
                      <w:bCs/>
                      <w:color w:val="auto"/>
                      <w:szCs w:val="21"/>
                    </w:rPr>
                    <w:t>2400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1020" w:type="pct"/>
                  <w:vMerge w:val="continue"/>
                  <w:vAlign w:val="center"/>
                </w:tcPr>
                <w:p>
                  <w:pPr>
                    <w:jc w:val="center"/>
                    <w:rPr>
                      <w:bCs/>
                      <w:color w:val="auto"/>
                      <w:szCs w:val="21"/>
                    </w:rPr>
                  </w:pPr>
                </w:p>
              </w:tc>
              <w:tc>
                <w:tcPr>
                  <w:tcW w:w="1889" w:type="pct"/>
                  <w:vAlign w:val="center"/>
                </w:tcPr>
                <w:p>
                  <w:pPr>
                    <w:jc w:val="center"/>
                    <w:rPr>
                      <w:bCs/>
                      <w:color w:val="auto"/>
                      <w:szCs w:val="21"/>
                    </w:rPr>
                  </w:pPr>
                </w:p>
              </w:tc>
              <w:tc>
                <w:tcPr>
                  <w:tcW w:w="2091" w:type="pct"/>
                  <w:vAlign w:val="center"/>
                </w:tcPr>
                <w:p>
                  <w:pPr>
                    <w:jc w:val="center"/>
                    <w:rPr>
                      <w:bCs/>
                      <w:color w:val="auto"/>
                      <w:szCs w:val="21"/>
                    </w:rPr>
                  </w:pPr>
                  <w:r>
                    <w:rPr>
                      <w:bCs/>
                      <w:color w:val="auto"/>
                      <w:szCs w:val="21"/>
                    </w:rPr>
                    <w:t>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1020" w:type="pct"/>
                  <w:vMerge w:val="continue"/>
                  <w:vAlign w:val="center"/>
                </w:tcPr>
                <w:p>
                  <w:pPr>
                    <w:jc w:val="center"/>
                    <w:rPr>
                      <w:bCs/>
                      <w:color w:val="auto"/>
                      <w:szCs w:val="21"/>
                    </w:rPr>
                  </w:pPr>
                </w:p>
              </w:tc>
              <w:tc>
                <w:tcPr>
                  <w:tcW w:w="1889" w:type="pct"/>
                  <w:vAlign w:val="center"/>
                </w:tcPr>
                <w:p>
                  <w:pPr>
                    <w:jc w:val="center"/>
                    <w:rPr>
                      <w:bCs/>
                      <w:color w:val="auto"/>
                      <w:szCs w:val="21"/>
                    </w:rPr>
                  </w:pPr>
                </w:p>
              </w:tc>
              <w:tc>
                <w:tcPr>
                  <w:tcW w:w="2091" w:type="pct"/>
                  <w:vAlign w:val="center"/>
                </w:tcPr>
                <w:p>
                  <w:pPr>
                    <w:jc w:val="center"/>
                    <w:rPr>
                      <w:bCs/>
                      <w:color w:val="auto"/>
                      <w:szCs w:val="21"/>
                    </w:rPr>
                  </w:pPr>
                  <w:r>
                    <w:rPr>
                      <w:bCs/>
                      <w:color w:val="auto"/>
                      <w:szCs w:val="21"/>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1020" w:type="pct"/>
                  <w:vMerge w:val="continue"/>
                  <w:vAlign w:val="center"/>
                </w:tcPr>
                <w:p>
                  <w:pPr>
                    <w:jc w:val="center"/>
                    <w:rPr>
                      <w:bCs/>
                      <w:color w:val="auto"/>
                      <w:szCs w:val="21"/>
                    </w:rPr>
                  </w:pPr>
                </w:p>
              </w:tc>
              <w:tc>
                <w:tcPr>
                  <w:tcW w:w="1889" w:type="pct"/>
                  <w:vAlign w:val="center"/>
                </w:tcPr>
                <w:p>
                  <w:pPr>
                    <w:jc w:val="center"/>
                    <w:rPr>
                      <w:bCs/>
                      <w:color w:val="auto"/>
                      <w:szCs w:val="21"/>
                    </w:rPr>
                  </w:pPr>
                </w:p>
              </w:tc>
              <w:tc>
                <w:tcPr>
                  <w:tcW w:w="2091" w:type="pct"/>
                  <w:vAlign w:val="center"/>
                </w:tcPr>
                <w:p>
                  <w:pPr>
                    <w:jc w:val="center"/>
                    <w:rPr>
                      <w:bCs/>
                      <w:color w:val="auto"/>
                      <w:szCs w:val="21"/>
                    </w:rPr>
                  </w:pPr>
                  <w:r>
                    <w:rPr>
                      <w:bCs/>
                      <w:color w:val="auto"/>
                      <w:szCs w:val="21"/>
                    </w:rPr>
                    <w:t>2400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1020" w:type="pct"/>
                  <w:vMerge w:val="continue"/>
                  <w:vAlign w:val="center"/>
                </w:tcPr>
                <w:p>
                  <w:pPr>
                    <w:jc w:val="center"/>
                    <w:rPr>
                      <w:bCs/>
                      <w:color w:val="auto"/>
                      <w:szCs w:val="21"/>
                    </w:rPr>
                  </w:pPr>
                </w:p>
              </w:tc>
              <w:tc>
                <w:tcPr>
                  <w:tcW w:w="1889" w:type="pct"/>
                  <w:vAlign w:val="center"/>
                </w:tcPr>
                <w:p>
                  <w:pPr>
                    <w:jc w:val="center"/>
                    <w:rPr>
                      <w:bCs/>
                      <w:color w:val="auto"/>
                      <w:szCs w:val="21"/>
                    </w:rPr>
                  </w:pPr>
                </w:p>
              </w:tc>
              <w:tc>
                <w:tcPr>
                  <w:tcW w:w="2091" w:type="pct"/>
                  <w:vAlign w:val="center"/>
                </w:tcPr>
                <w:p>
                  <w:pPr>
                    <w:jc w:val="center"/>
                    <w:rPr>
                      <w:bCs/>
                      <w:color w:val="auto"/>
                      <w:szCs w:val="21"/>
                    </w:rPr>
                  </w:pPr>
                  <w:r>
                    <w:rPr>
                      <w:bCs/>
                      <w:color w:val="auto"/>
                      <w:szCs w:val="21"/>
                    </w:rPr>
                    <w:t>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1020" w:type="pct"/>
                  <w:vMerge w:val="continue"/>
                  <w:vAlign w:val="center"/>
                </w:tcPr>
                <w:p>
                  <w:pPr>
                    <w:jc w:val="center"/>
                    <w:rPr>
                      <w:bCs/>
                      <w:color w:val="auto"/>
                      <w:szCs w:val="21"/>
                    </w:rPr>
                  </w:pPr>
                </w:p>
              </w:tc>
              <w:tc>
                <w:tcPr>
                  <w:tcW w:w="1889" w:type="pct"/>
                  <w:vAlign w:val="center"/>
                </w:tcPr>
                <w:p>
                  <w:pPr>
                    <w:jc w:val="center"/>
                    <w:rPr>
                      <w:bCs/>
                      <w:color w:val="auto"/>
                      <w:szCs w:val="21"/>
                    </w:rPr>
                  </w:pPr>
                </w:p>
              </w:tc>
              <w:tc>
                <w:tcPr>
                  <w:tcW w:w="2091" w:type="pct"/>
                  <w:vAlign w:val="center"/>
                </w:tcPr>
                <w:p>
                  <w:pPr>
                    <w:jc w:val="center"/>
                    <w:rPr>
                      <w:bCs/>
                      <w:color w:val="auto"/>
                      <w:szCs w:val="21"/>
                    </w:rPr>
                  </w:pPr>
                  <w:r>
                    <w:rPr>
                      <w:bCs/>
                      <w:color w:val="auto"/>
                      <w:szCs w:val="21"/>
                    </w:rPr>
                    <w:t>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1020" w:type="pct"/>
                  <w:vMerge w:val="continue"/>
                  <w:vAlign w:val="center"/>
                </w:tcPr>
                <w:p>
                  <w:pPr>
                    <w:jc w:val="center"/>
                    <w:rPr>
                      <w:bCs/>
                      <w:color w:val="auto"/>
                      <w:szCs w:val="21"/>
                    </w:rPr>
                  </w:pPr>
                </w:p>
              </w:tc>
              <w:tc>
                <w:tcPr>
                  <w:tcW w:w="1889" w:type="pct"/>
                  <w:vAlign w:val="center"/>
                </w:tcPr>
                <w:p>
                  <w:pPr>
                    <w:jc w:val="center"/>
                    <w:rPr>
                      <w:bCs/>
                      <w:color w:val="auto"/>
                      <w:szCs w:val="21"/>
                    </w:rPr>
                  </w:pPr>
                </w:p>
              </w:tc>
              <w:tc>
                <w:tcPr>
                  <w:tcW w:w="2091" w:type="pct"/>
                  <w:vAlign w:val="center"/>
                </w:tcPr>
                <w:p>
                  <w:pPr>
                    <w:jc w:val="center"/>
                    <w:rPr>
                      <w:bCs/>
                      <w:color w:val="auto"/>
                      <w:szCs w:val="21"/>
                    </w:rPr>
                  </w:pPr>
                  <w:r>
                    <w:rPr>
                      <w:bCs/>
                      <w:color w:val="auto"/>
                      <w:szCs w:val="21"/>
                    </w:rPr>
                    <w:t>2400</w:t>
                  </w:r>
                </w:p>
              </w:tc>
            </w:tr>
          </w:tbl>
          <w:p>
            <w:pPr>
              <w:spacing w:line="360" w:lineRule="auto"/>
              <w:jc w:val="center"/>
              <w:rPr>
                <w:b/>
                <w:bCs/>
                <w:color w:val="auto"/>
                <w:sz w:val="24"/>
              </w:rPr>
            </w:pPr>
            <w:r>
              <w:rPr>
                <w:b/>
                <w:bCs/>
                <w:color w:val="auto"/>
                <w:sz w:val="24"/>
              </w:rPr>
              <w:t>表2-</w:t>
            </w:r>
            <w:r>
              <w:rPr>
                <w:rFonts w:hint="eastAsia"/>
                <w:b/>
                <w:bCs/>
                <w:color w:val="auto"/>
                <w:sz w:val="24"/>
              </w:rPr>
              <w:t>8</w:t>
            </w:r>
            <w:r>
              <w:rPr>
                <w:b/>
                <w:bCs/>
                <w:color w:val="auto"/>
                <w:sz w:val="24"/>
              </w:rPr>
              <w:t xml:space="preserve">  使用设备及工作时长表</w:t>
            </w:r>
          </w:p>
          <w:tbl>
            <w:tblPr>
              <w:tblStyle w:val="3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57"/>
              <w:gridCol w:w="3256"/>
              <w:gridCol w:w="36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20" w:type="pct"/>
                  <w:vAlign w:val="center"/>
                </w:tcPr>
                <w:p>
                  <w:pPr>
                    <w:jc w:val="center"/>
                    <w:rPr>
                      <w:bCs/>
                      <w:color w:val="auto"/>
                      <w:szCs w:val="21"/>
                    </w:rPr>
                  </w:pPr>
                  <w:r>
                    <w:rPr>
                      <w:bCs/>
                      <w:color w:val="auto"/>
                      <w:szCs w:val="21"/>
                    </w:rPr>
                    <w:t>工序</w:t>
                  </w:r>
                </w:p>
              </w:tc>
              <w:tc>
                <w:tcPr>
                  <w:tcW w:w="1889" w:type="pct"/>
                  <w:vAlign w:val="center"/>
                </w:tcPr>
                <w:p>
                  <w:pPr>
                    <w:jc w:val="center"/>
                    <w:rPr>
                      <w:bCs/>
                      <w:color w:val="auto"/>
                      <w:szCs w:val="21"/>
                    </w:rPr>
                  </w:pPr>
                  <w:r>
                    <w:rPr>
                      <w:bCs/>
                      <w:color w:val="auto"/>
                      <w:szCs w:val="21"/>
                    </w:rPr>
                    <w:t>设备名称</w:t>
                  </w:r>
                </w:p>
              </w:tc>
              <w:tc>
                <w:tcPr>
                  <w:tcW w:w="2091" w:type="pct"/>
                  <w:vAlign w:val="center"/>
                </w:tcPr>
                <w:p>
                  <w:pPr>
                    <w:jc w:val="center"/>
                    <w:rPr>
                      <w:bCs/>
                      <w:color w:val="auto"/>
                      <w:szCs w:val="21"/>
                    </w:rPr>
                  </w:pPr>
                  <w:r>
                    <w:rPr>
                      <w:bCs/>
                      <w:color w:val="auto"/>
                      <w:szCs w:val="21"/>
                    </w:rPr>
                    <w:t>工作时间（h/a）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20" w:type="pct"/>
                  <w:vMerge w:val="restart"/>
                  <w:vAlign w:val="center"/>
                </w:tcPr>
                <w:p>
                  <w:pPr>
                    <w:jc w:val="center"/>
                    <w:rPr>
                      <w:bCs/>
                      <w:color w:val="auto"/>
                      <w:szCs w:val="21"/>
                    </w:rPr>
                  </w:pPr>
                  <w:r>
                    <w:rPr>
                      <w:bCs/>
                      <w:color w:val="auto"/>
                      <w:szCs w:val="21"/>
                    </w:rPr>
                    <w:t>装架工序</w:t>
                  </w:r>
                </w:p>
              </w:tc>
              <w:tc>
                <w:tcPr>
                  <w:tcW w:w="1889" w:type="pct"/>
                  <w:vAlign w:val="center"/>
                </w:tcPr>
                <w:p>
                  <w:pPr>
                    <w:jc w:val="center"/>
                    <w:rPr>
                      <w:bCs/>
                      <w:color w:val="auto"/>
                      <w:szCs w:val="21"/>
                    </w:rPr>
                  </w:pPr>
                </w:p>
              </w:tc>
              <w:tc>
                <w:tcPr>
                  <w:tcW w:w="2091" w:type="pct"/>
                  <w:vAlign w:val="center"/>
                </w:tcPr>
                <w:p>
                  <w:pPr>
                    <w:jc w:val="center"/>
                    <w:rPr>
                      <w:bCs/>
                      <w:color w:val="auto"/>
                      <w:szCs w:val="21"/>
                    </w:rPr>
                  </w:pPr>
                  <w:r>
                    <w:rPr>
                      <w:bCs/>
                      <w:color w:val="auto"/>
                      <w:szCs w:val="21"/>
                    </w:rPr>
                    <w:t>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20" w:type="pct"/>
                  <w:vMerge w:val="continue"/>
                  <w:vAlign w:val="center"/>
                </w:tcPr>
                <w:p>
                  <w:pPr>
                    <w:jc w:val="center"/>
                    <w:rPr>
                      <w:bCs/>
                      <w:color w:val="auto"/>
                      <w:szCs w:val="21"/>
                    </w:rPr>
                  </w:pPr>
                </w:p>
              </w:tc>
              <w:tc>
                <w:tcPr>
                  <w:tcW w:w="1889" w:type="pct"/>
                  <w:vAlign w:val="center"/>
                </w:tcPr>
                <w:p>
                  <w:pPr>
                    <w:jc w:val="center"/>
                    <w:rPr>
                      <w:bCs/>
                      <w:color w:val="auto"/>
                      <w:szCs w:val="21"/>
                    </w:rPr>
                  </w:pPr>
                </w:p>
              </w:tc>
              <w:tc>
                <w:tcPr>
                  <w:tcW w:w="2091" w:type="pct"/>
                  <w:vAlign w:val="center"/>
                </w:tcPr>
                <w:p>
                  <w:pPr>
                    <w:jc w:val="center"/>
                    <w:rPr>
                      <w:bCs/>
                      <w:color w:val="auto"/>
                      <w:szCs w:val="21"/>
                    </w:rPr>
                  </w:pPr>
                  <w:r>
                    <w:rPr>
                      <w:bCs/>
                      <w:color w:val="auto"/>
                      <w:szCs w:val="21"/>
                    </w:rPr>
                    <w:t>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20" w:type="pct"/>
                  <w:vMerge w:val="continue"/>
                  <w:vAlign w:val="center"/>
                </w:tcPr>
                <w:p>
                  <w:pPr>
                    <w:jc w:val="center"/>
                    <w:rPr>
                      <w:bCs/>
                      <w:color w:val="auto"/>
                      <w:szCs w:val="21"/>
                    </w:rPr>
                  </w:pPr>
                </w:p>
              </w:tc>
              <w:tc>
                <w:tcPr>
                  <w:tcW w:w="1889" w:type="pct"/>
                  <w:vAlign w:val="center"/>
                </w:tcPr>
                <w:p>
                  <w:pPr>
                    <w:jc w:val="center"/>
                    <w:rPr>
                      <w:bCs/>
                      <w:color w:val="auto"/>
                      <w:szCs w:val="21"/>
                    </w:rPr>
                  </w:pPr>
                </w:p>
              </w:tc>
              <w:tc>
                <w:tcPr>
                  <w:tcW w:w="2091" w:type="pct"/>
                  <w:vAlign w:val="center"/>
                </w:tcPr>
                <w:p>
                  <w:pPr>
                    <w:jc w:val="center"/>
                    <w:rPr>
                      <w:bCs/>
                      <w:color w:val="auto"/>
                      <w:szCs w:val="21"/>
                    </w:rPr>
                  </w:pPr>
                  <w:r>
                    <w:rPr>
                      <w:bCs/>
                      <w:color w:val="auto"/>
                      <w:szCs w:val="21"/>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20" w:type="pct"/>
                  <w:vMerge w:val="continue"/>
                  <w:vAlign w:val="center"/>
                </w:tcPr>
                <w:p>
                  <w:pPr>
                    <w:jc w:val="center"/>
                    <w:rPr>
                      <w:bCs/>
                      <w:color w:val="auto"/>
                      <w:szCs w:val="21"/>
                    </w:rPr>
                  </w:pPr>
                </w:p>
              </w:tc>
              <w:tc>
                <w:tcPr>
                  <w:tcW w:w="1889" w:type="pct"/>
                  <w:vAlign w:val="center"/>
                </w:tcPr>
                <w:p>
                  <w:pPr>
                    <w:jc w:val="center"/>
                    <w:rPr>
                      <w:bCs/>
                      <w:color w:val="auto"/>
                      <w:szCs w:val="21"/>
                    </w:rPr>
                  </w:pPr>
                </w:p>
              </w:tc>
              <w:tc>
                <w:tcPr>
                  <w:tcW w:w="2091" w:type="pct"/>
                  <w:vAlign w:val="center"/>
                </w:tcPr>
                <w:p>
                  <w:pPr>
                    <w:jc w:val="center"/>
                    <w:rPr>
                      <w:bCs/>
                      <w:color w:val="auto"/>
                      <w:szCs w:val="21"/>
                    </w:rPr>
                  </w:pPr>
                  <w:r>
                    <w:rPr>
                      <w:bCs/>
                      <w:color w:val="auto"/>
                      <w:szCs w:val="21"/>
                    </w:rPr>
                    <w:t>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20" w:type="pct"/>
                  <w:vMerge w:val="continue"/>
                  <w:vAlign w:val="center"/>
                </w:tcPr>
                <w:p>
                  <w:pPr>
                    <w:jc w:val="center"/>
                    <w:rPr>
                      <w:bCs/>
                      <w:color w:val="auto"/>
                      <w:szCs w:val="21"/>
                    </w:rPr>
                  </w:pPr>
                </w:p>
              </w:tc>
              <w:tc>
                <w:tcPr>
                  <w:tcW w:w="1889" w:type="pct"/>
                  <w:vAlign w:val="center"/>
                </w:tcPr>
                <w:p>
                  <w:pPr>
                    <w:jc w:val="center"/>
                    <w:rPr>
                      <w:bCs/>
                      <w:color w:val="auto"/>
                      <w:szCs w:val="21"/>
                    </w:rPr>
                  </w:pPr>
                </w:p>
              </w:tc>
              <w:tc>
                <w:tcPr>
                  <w:tcW w:w="2091" w:type="pct"/>
                  <w:vAlign w:val="center"/>
                </w:tcPr>
                <w:p>
                  <w:pPr>
                    <w:jc w:val="center"/>
                    <w:rPr>
                      <w:bCs/>
                      <w:color w:val="auto"/>
                      <w:szCs w:val="21"/>
                    </w:rPr>
                  </w:pPr>
                  <w:r>
                    <w:rPr>
                      <w:bCs/>
                      <w:color w:val="auto"/>
                      <w:szCs w:val="21"/>
                    </w:rPr>
                    <w:t>2400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5" w:hRule="atLeast"/>
              </w:trPr>
              <w:tc>
                <w:tcPr>
                  <w:tcW w:w="1020" w:type="pct"/>
                  <w:vMerge w:val="continue"/>
                  <w:vAlign w:val="center"/>
                </w:tcPr>
                <w:p>
                  <w:pPr>
                    <w:jc w:val="center"/>
                    <w:rPr>
                      <w:bCs/>
                      <w:color w:val="auto"/>
                      <w:szCs w:val="21"/>
                    </w:rPr>
                  </w:pPr>
                </w:p>
              </w:tc>
              <w:tc>
                <w:tcPr>
                  <w:tcW w:w="1889" w:type="pct"/>
                  <w:vAlign w:val="center"/>
                </w:tcPr>
                <w:p>
                  <w:pPr>
                    <w:jc w:val="center"/>
                    <w:rPr>
                      <w:bCs/>
                      <w:color w:val="auto"/>
                      <w:szCs w:val="21"/>
                    </w:rPr>
                  </w:pPr>
                </w:p>
              </w:tc>
              <w:tc>
                <w:tcPr>
                  <w:tcW w:w="2091" w:type="pct"/>
                  <w:vAlign w:val="center"/>
                </w:tcPr>
                <w:p>
                  <w:pPr>
                    <w:jc w:val="center"/>
                    <w:rPr>
                      <w:bCs/>
                      <w:color w:val="auto"/>
                      <w:szCs w:val="21"/>
                    </w:rPr>
                  </w:pPr>
                  <w:r>
                    <w:rPr>
                      <w:bCs/>
                      <w:color w:val="auto"/>
                      <w:szCs w:val="21"/>
                    </w:rPr>
                    <w:t>2400</w:t>
                  </w:r>
                </w:p>
              </w:tc>
            </w:tr>
          </w:tbl>
          <w:p>
            <w:pPr>
              <w:spacing w:line="360" w:lineRule="auto"/>
              <w:ind w:firstLine="480" w:firstLineChars="200"/>
              <w:rPr>
                <w:bCs/>
                <w:color w:val="auto"/>
                <w:sz w:val="24"/>
              </w:rPr>
            </w:pPr>
          </w:p>
          <w:p>
            <w:pPr>
              <w:spacing w:line="360" w:lineRule="auto"/>
              <w:jc w:val="center"/>
              <w:rPr>
                <w:b/>
                <w:bCs/>
                <w:color w:val="auto"/>
                <w:sz w:val="24"/>
              </w:rPr>
            </w:pPr>
            <w:r>
              <w:rPr>
                <w:b/>
                <w:bCs/>
                <w:color w:val="auto"/>
                <w:sz w:val="24"/>
              </w:rPr>
              <w:t>表2-</w:t>
            </w:r>
            <w:r>
              <w:rPr>
                <w:rFonts w:hint="eastAsia"/>
                <w:b/>
                <w:bCs/>
                <w:color w:val="auto"/>
                <w:sz w:val="24"/>
              </w:rPr>
              <w:t>9</w:t>
            </w:r>
            <w:r>
              <w:rPr>
                <w:b/>
                <w:bCs/>
                <w:color w:val="auto"/>
                <w:sz w:val="24"/>
              </w:rPr>
              <w:t xml:space="preserve">  使用设备及工作时长表</w:t>
            </w:r>
          </w:p>
          <w:tbl>
            <w:tblPr>
              <w:tblStyle w:val="3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57"/>
              <w:gridCol w:w="3256"/>
              <w:gridCol w:w="36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20" w:type="pct"/>
                  <w:vAlign w:val="center"/>
                </w:tcPr>
                <w:p>
                  <w:pPr>
                    <w:jc w:val="center"/>
                    <w:rPr>
                      <w:bCs/>
                      <w:color w:val="auto"/>
                      <w:szCs w:val="21"/>
                    </w:rPr>
                  </w:pPr>
                  <w:r>
                    <w:rPr>
                      <w:bCs/>
                      <w:color w:val="auto"/>
                      <w:szCs w:val="21"/>
                    </w:rPr>
                    <w:t>工序</w:t>
                  </w:r>
                </w:p>
              </w:tc>
              <w:tc>
                <w:tcPr>
                  <w:tcW w:w="1889" w:type="pct"/>
                  <w:vAlign w:val="center"/>
                </w:tcPr>
                <w:p>
                  <w:pPr>
                    <w:jc w:val="center"/>
                    <w:rPr>
                      <w:bCs/>
                      <w:color w:val="auto"/>
                      <w:szCs w:val="21"/>
                    </w:rPr>
                  </w:pPr>
                  <w:r>
                    <w:rPr>
                      <w:bCs/>
                      <w:color w:val="auto"/>
                      <w:szCs w:val="21"/>
                    </w:rPr>
                    <w:t>设备名</w:t>
                  </w:r>
                </w:p>
              </w:tc>
              <w:tc>
                <w:tcPr>
                  <w:tcW w:w="2091" w:type="pct"/>
                  <w:vAlign w:val="center"/>
                </w:tcPr>
                <w:p>
                  <w:pPr>
                    <w:jc w:val="center"/>
                    <w:rPr>
                      <w:bCs/>
                      <w:color w:val="auto"/>
                      <w:szCs w:val="21"/>
                    </w:rPr>
                  </w:pPr>
                  <w:r>
                    <w:rPr>
                      <w:bCs/>
                      <w:color w:val="auto"/>
                      <w:szCs w:val="21"/>
                    </w:rPr>
                    <w:t>工作时间（h/a）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20" w:type="pct"/>
                  <w:vMerge w:val="restart"/>
                  <w:vAlign w:val="center"/>
                </w:tcPr>
                <w:p>
                  <w:pPr>
                    <w:jc w:val="center"/>
                    <w:rPr>
                      <w:bCs/>
                      <w:color w:val="auto"/>
                      <w:szCs w:val="21"/>
                    </w:rPr>
                  </w:pPr>
                  <w:r>
                    <w:rPr>
                      <w:bCs/>
                      <w:color w:val="auto"/>
                      <w:szCs w:val="21"/>
                    </w:rPr>
                    <w:t>排</w:t>
                  </w:r>
                  <w:r>
                    <w:rPr>
                      <w:rFonts w:hint="eastAsia"/>
                      <w:bCs/>
                      <w:color w:val="auto"/>
                      <w:szCs w:val="21"/>
                    </w:rPr>
                    <w:t>气</w:t>
                  </w:r>
                  <w:r>
                    <w:rPr>
                      <w:bCs/>
                      <w:color w:val="auto"/>
                      <w:szCs w:val="21"/>
                    </w:rPr>
                    <w:t>工序</w:t>
                  </w:r>
                </w:p>
              </w:tc>
              <w:tc>
                <w:tcPr>
                  <w:tcW w:w="1889" w:type="pct"/>
                  <w:vAlign w:val="center"/>
                </w:tcPr>
                <w:p>
                  <w:pPr>
                    <w:jc w:val="center"/>
                    <w:rPr>
                      <w:bCs/>
                      <w:color w:val="auto"/>
                      <w:szCs w:val="21"/>
                    </w:rPr>
                  </w:pPr>
                </w:p>
              </w:tc>
              <w:tc>
                <w:tcPr>
                  <w:tcW w:w="2091" w:type="pct"/>
                  <w:vAlign w:val="center"/>
                </w:tcPr>
                <w:p>
                  <w:pPr>
                    <w:jc w:val="center"/>
                    <w:rPr>
                      <w:bCs/>
                      <w:color w:val="auto"/>
                      <w:szCs w:val="21"/>
                    </w:rPr>
                  </w:pPr>
                  <w:r>
                    <w:rPr>
                      <w:bCs/>
                      <w:color w:val="auto"/>
                      <w:szCs w:val="21"/>
                    </w:rPr>
                    <w:t>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20" w:type="pct"/>
                  <w:vMerge w:val="continue"/>
                  <w:vAlign w:val="center"/>
                </w:tcPr>
                <w:p>
                  <w:pPr>
                    <w:jc w:val="center"/>
                    <w:rPr>
                      <w:bCs/>
                      <w:color w:val="auto"/>
                      <w:szCs w:val="21"/>
                    </w:rPr>
                  </w:pPr>
                </w:p>
              </w:tc>
              <w:tc>
                <w:tcPr>
                  <w:tcW w:w="1889" w:type="pct"/>
                  <w:vAlign w:val="center"/>
                </w:tcPr>
                <w:p>
                  <w:pPr>
                    <w:jc w:val="center"/>
                    <w:rPr>
                      <w:bCs/>
                      <w:color w:val="auto"/>
                      <w:szCs w:val="21"/>
                    </w:rPr>
                  </w:pPr>
                </w:p>
              </w:tc>
              <w:tc>
                <w:tcPr>
                  <w:tcW w:w="2091" w:type="pct"/>
                  <w:vAlign w:val="center"/>
                </w:tcPr>
                <w:p>
                  <w:pPr>
                    <w:jc w:val="center"/>
                    <w:rPr>
                      <w:bCs/>
                      <w:color w:val="auto"/>
                      <w:szCs w:val="21"/>
                    </w:rPr>
                  </w:pPr>
                  <w:r>
                    <w:rPr>
                      <w:bCs/>
                      <w:color w:val="auto"/>
                      <w:szCs w:val="21"/>
                    </w:rPr>
                    <w:t>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20" w:type="pct"/>
                  <w:vMerge w:val="continue"/>
                  <w:vAlign w:val="center"/>
                </w:tcPr>
                <w:p>
                  <w:pPr>
                    <w:jc w:val="center"/>
                    <w:rPr>
                      <w:bCs/>
                      <w:color w:val="auto"/>
                      <w:szCs w:val="21"/>
                    </w:rPr>
                  </w:pPr>
                </w:p>
              </w:tc>
              <w:tc>
                <w:tcPr>
                  <w:tcW w:w="1889" w:type="pct"/>
                  <w:vAlign w:val="center"/>
                </w:tcPr>
                <w:p>
                  <w:pPr>
                    <w:jc w:val="center"/>
                    <w:rPr>
                      <w:bCs/>
                      <w:color w:val="auto"/>
                      <w:szCs w:val="21"/>
                    </w:rPr>
                  </w:pPr>
                </w:p>
              </w:tc>
              <w:tc>
                <w:tcPr>
                  <w:tcW w:w="2091" w:type="pct"/>
                  <w:vAlign w:val="center"/>
                </w:tcPr>
                <w:p>
                  <w:pPr>
                    <w:jc w:val="center"/>
                    <w:rPr>
                      <w:bCs/>
                      <w:color w:val="auto"/>
                      <w:szCs w:val="21"/>
                    </w:rPr>
                  </w:pPr>
                  <w:r>
                    <w:rPr>
                      <w:bCs/>
                      <w:color w:val="auto"/>
                      <w:szCs w:val="21"/>
                    </w:rPr>
                    <w:t>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20" w:type="pct"/>
                  <w:vMerge w:val="continue"/>
                  <w:vAlign w:val="center"/>
                </w:tcPr>
                <w:p>
                  <w:pPr>
                    <w:jc w:val="center"/>
                    <w:rPr>
                      <w:bCs/>
                      <w:color w:val="auto"/>
                      <w:szCs w:val="21"/>
                    </w:rPr>
                  </w:pPr>
                </w:p>
              </w:tc>
              <w:tc>
                <w:tcPr>
                  <w:tcW w:w="1889" w:type="pct"/>
                  <w:vAlign w:val="center"/>
                </w:tcPr>
                <w:p>
                  <w:pPr>
                    <w:jc w:val="center"/>
                    <w:rPr>
                      <w:bCs/>
                      <w:color w:val="auto"/>
                      <w:szCs w:val="21"/>
                    </w:rPr>
                  </w:pPr>
                </w:p>
              </w:tc>
              <w:tc>
                <w:tcPr>
                  <w:tcW w:w="2091" w:type="pct"/>
                  <w:vAlign w:val="center"/>
                </w:tcPr>
                <w:p>
                  <w:pPr>
                    <w:jc w:val="center"/>
                    <w:rPr>
                      <w:bCs/>
                      <w:color w:val="auto"/>
                      <w:szCs w:val="21"/>
                    </w:rPr>
                  </w:pPr>
                  <w:r>
                    <w:rPr>
                      <w:bCs/>
                      <w:color w:val="auto"/>
                      <w:szCs w:val="21"/>
                    </w:rPr>
                    <w:t>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20" w:type="pct"/>
                  <w:vMerge w:val="continue"/>
                  <w:vAlign w:val="center"/>
                </w:tcPr>
                <w:p>
                  <w:pPr>
                    <w:jc w:val="center"/>
                    <w:rPr>
                      <w:bCs/>
                      <w:color w:val="auto"/>
                      <w:szCs w:val="21"/>
                    </w:rPr>
                  </w:pPr>
                </w:p>
              </w:tc>
              <w:tc>
                <w:tcPr>
                  <w:tcW w:w="1889" w:type="pct"/>
                  <w:vAlign w:val="center"/>
                </w:tcPr>
                <w:p>
                  <w:pPr>
                    <w:jc w:val="center"/>
                    <w:rPr>
                      <w:bCs/>
                      <w:color w:val="auto"/>
                      <w:szCs w:val="21"/>
                    </w:rPr>
                  </w:pPr>
                </w:p>
              </w:tc>
              <w:tc>
                <w:tcPr>
                  <w:tcW w:w="2091" w:type="pct"/>
                  <w:vAlign w:val="center"/>
                </w:tcPr>
                <w:p>
                  <w:pPr>
                    <w:jc w:val="center"/>
                    <w:rPr>
                      <w:bCs/>
                      <w:color w:val="auto"/>
                      <w:szCs w:val="21"/>
                    </w:rPr>
                  </w:pPr>
                  <w:r>
                    <w:rPr>
                      <w:bCs/>
                      <w:color w:val="auto"/>
                      <w:szCs w:val="21"/>
                    </w:rPr>
                    <w:t>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56" w:hRule="atLeast"/>
              </w:trPr>
              <w:tc>
                <w:tcPr>
                  <w:tcW w:w="1020" w:type="pct"/>
                  <w:vMerge w:val="continue"/>
                  <w:vAlign w:val="center"/>
                </w:tcPr>
                <w:p>
                  <w:pPr>
                    <w:jc w:val="center"/>
                    <w:rPr>
                      <w:bCs/>
                      <w:color w:val="auto"/>
                      <w:szCs w:val="21"/>
                    </w:rPr>
                  </w:pPr>
                </w:p>
              </w:tc>
              <w:tc>
                <w:tcPr>
                  <w:tcW w:w="1889" w:type="pct"/>
                  <w:vAlign w:val="center"/>
                </w:tcPr>
                <w:p>
                  <w:pPr>
                    <w:jc w:val="center"/>
                    <w:rPr>
                      <w:bCs/>
                      <w:color w:val="auto"/>
                      <w:szCs w:val="21"/>
                    </w:rPr>
                  </w:pPr>
                </w:p>
              </w:tc>
              <w:tc>
                <w:tcPr>
                  <w:tcW w:w="2091" w:type="pct"/>
                  <w:vAlign w:val="center"/>
                </w:tcPr>
                <w:p>
                  <w:pPr>
                    <w:jc w:val="center"/>
                    <w:rPr>
                      <w:bCs/>
                      <w:color w:val="auto"/>
                      <w:szCs w:val="21"/>
                    </w:rPr>
                  </w:pPr>
                  <w:r>
                    <w:rPr>
                      <w:bCs/>
                      <w:color w:val="auto"/>
                      <w:szCs w:val="21"/>
                    </w:rPr>
                    <w:t>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44" w:hRule="atLeast"/>
              </w:trPr>
              <w:tc>
                <w:tcPr>
                  <w:tcW w:w="1020" w:type="pct"/>
                  <w:vMerge w:val="continue"/>
                  <w:vAlign w:val="center"/>
                </w:tcPr>
                <w:p>
                  <w:pPr>
                    <w:jc w:val="center"/>
                    <w:rPr>
                      <w:bCs/>
                      <w:color w:val="auto"/>
                      <w:szCs w:val="21"/>
                    </w:rPr>
                  </w:pPr>
                </w:p>
              </w:tc>
              <w:tc>
                <w:tcPr>
                  <w:tcW w:w="1889" w:type="pct"/>
                  <w:vAlign w:val="center"/>
                </w:tcPr>
                <w:p>
                  <w:pPr>
                    <w:jc w:val="center"/>
                    <w:rPr>
                      <w:bCs/>
                      <w:color w:val="auto"/>
                      <w:szCs w:val="21"/>
                    </w:rPr>
                  </w:pPr>
                </w:p>
              </w:tc>
              <w:tc>
                <w:tcPr>
                  <w:tcW w:w="2091" w:type="pct"/>
                  <w:vAlign w:val="center"/>
                </w:tcPr>
                <w:p>
                  <w:pPr>
                    <w:jc w:val="center"/>
                    <w:rPr>
                      <w:bCs/>
                      <w:color w:val="auto"/>
                      <w:szCs w:val="21"/>
                    </w:rPr>
                  </w:pPr>
                  <w:r>
                    <w:rPr>
                      <w:bCs/>
                      <w:color w:val="auto"/>
                      <w:szCs w:val="21"/>
                    </w:rPr>
                    <w:t>4500</w:t>
                  </w:r>
                </w:p>
              </w:tc>
            </w:tr>
          </w:tbl>
          <w:p>
            <w:pPr>
              <w:spacing w:beforeLines="50" w:line="360" w:lineRule="auto"/>
              <w:ind w:firstLine="480" w:firstLineChars="200"/>
              <w:rPr>
                <w:color w:val="auto"/>
                <w:sz w:val="24"/>
              </w:rPr>
            </w:pPr>
            <w:r>
              <w:rPr>
                <w:color w:val="auto"/>
                <w:sz w:val="24"/>
              </w:rPr>
              <w:t>排气制作是整个光电倍增管制作的核心工序，主要包含以下几个工序：</w:t>
            </w:r>
          </w:p>
          <w:p>
            <w:pPr>
              <w:spacing w:line="360" w:lineRule="auto"/>
              <w:ind w:firstLine="480" w:firstLineChars="200"/>
              <w:rPr>
                <w:bCs/>
                <w:color w:val="auto"/>
                <w:sz w:val="24"/>
              </w:rPr>
            </w:pPr>
          </w:p>
          <w:p>
            <w:pPr>
              <w:spacing w:line="360" w:lineRule="auto"/>
              <w:jc w:val="center"/>
              <w:rPr>
                <w:b/>
                <w:bCs/>
                <w:color w:val="auto"/>
                <w:sz w:val="24"/>
              </w:rPr>
            </w:pPr>
            <w:r>
              <w:rPr>
                <w:b/>
                <w:bCs/>
                <w:color w:val="auto"/>
                <w:sz w:val="24"/>
              </w:rPr>
              <w:t>表2-</w:t>
            </w:r>
            <w:r>
              <w:rPr>
                <w:rFonts w:hint="eastAsia"/>
                <w:b/>
                <w:bCs/>
                <w:color w:val="auto"/>
                <w:sz w:val="24"/>
              </w:rPr>
              <w:t>10</w:t>
            </w:r>
            <w:r>
              <w:rPr>
                <w:b/>
                <w:bCs/>
                <w:color w:val="auto"/>
                <w:sz w:val="24"/>
              </w:rPr>
              <w:t xml:space="preserve">  使用设备及工作时长表</w:t>
            </w:r>
          </w:p>
          <w:tbl>
            <w:tblPr>
              <w:tblStyle w:val="3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57"/>
              <w:gridCol w:w="3256"/>
              <w:gridCol w:w="36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20" w:type="pct"/>
                  <w:vAlign w:val="center"/>
                </w:tcPr>
                <w:p>
                  <w:pPr>
                    <w:jc w:val="center"/>
                    <w:rPr>
                      <w:bCs/>
                      <w:color w:val="auto"/>
                      <w:szCs w:val="21"/>
                    </w:rPr>
                  </w:pPr>
                  <w:r>
                    <w:rPr>
                      <w:bCs/>
                      <w:color w:val="auto"/>
                      <w:szCs w:val="21"/>
                    </w:rPr>
                    <w:t>工序</w:t>
                  </w:r>
                </w:p>
              </w:tc>
              <w:tc>
                <w:tcPr>
                  <w:tcW w:w="1889" w:type="pct"/>
                  <w:vAlign w:val="center"/>
                </w:tcPr>
                <w:p>
                  <w:pPr>
                    <w:jc w:val="center"/>
                    <w:rPr>
                      <w:bCs/>
                      <w:color w:val="auto"/>
                      <w:szCs w:val="21"/>
                    </w:rPr>
                  </w:pPr>
                  <w:r>
                    <w:rPr>
                      <w:bCs/>
                      <w:color w:val="auto"/>
                      <w:szCs w:val="21"/>
                    </w:rPr>
                    <w:t>设备名称</w:t>
                  </w:r>
                </w:p>
              </w:tc>
              <w:tc>
                <w:tcPr>
                  <w:tcW w:w="2091" w:type="pct"/>
                  <w:vAlign w:val="center"/>
                </w:tcPr>
                <w:p>
                  <w:pPr>
                    <w:jc w:val="center"/>
                    <w:rPr>
                      <w:bCs/>
                      <w:color w:val="auto"/>
                      <w:szCs w:val="21"/>
                    </w:rPr>
                  </w:pPr>
                  <w:r>
                    <w:rPr>
                      <w:bCs/>
                      <w:color w:val="auto"/>
                      <w:szCs w:val="21"/>
                    </w:rPr>
                    <w:t>工作时间（h/a）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20" w:type="pct"/>
                  <w:vMerge w:val="restart"/>
                  <w:vAlign w:val="center"/>
                </w:tcPr>
                <w:p>
                  <w:pPr>
                    <w:jc w:val="center"/>
                    <w:rPr>
                      <w:bCs/>
                      <w:color w:val="auto"/>
                      <w:szCs w:val="21"/>
                    </w:rPr>
                  </w:pPr>
                  <w:r>
                    <w:rPr>
                      <w:bCs/>
                      <w:color w:val="auto"/>
                      <w:szCs w:val="21"/>
                    </w:rPr>
                    <w:t>测试工序</w:t>
                  </w:r>
                </w:p>
              </w:tc>
              <w:tc>
                <w:tcPr>
                  <w:tcW w:w="1889" w:type="pct"/>
                  <w:vAlign w:val="center"/>
                </w:tcPr>
                <w:p>
                  <w:pPr>
                    <w:jc w:val="center"/>
                    <w:rPr>
                      <w:bCs/>
                      <w:color w:val="auto"/>
                      <w:szCs w:val="21"/>
                    </w:rPr>
                  </w:pPr>
                </w:p>
              </w:tc>
              <w:tc>
                <w:tcPr>
                  <w:tcW w:w="2091" w:type="pct"/>
                  <w:vAlign w:val="center"/>
                </w:tcPr>
                <w:p>
                  <w:pPr>
                    <w:jc w:val="center"/>
                    <w:rPr>
                      <w:bCs/>
                      <w:color w:val="auto"/>
                      <w:szCs w:val="21"/>
                    </w:rPr>
                  </w:pPr>
                  <w:r>
                    <w:rPr>
                      <w:bCs/>
                      <w:color w:val="auto"/>
                      <w:szCs w:val="21"/>
                    </w:rPr>
                    <w:t>2400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20" w:type="pct"/>
                  <w:vMerge w:val="continue"/>
                  <w:vAlign w:val="center"/>
                </w:tcPr>
                <w:p>
                  <w:pPr>
                    <w:jc w:val="center"/>
                    <w:rPr>
                      <w:bCs/>
                      <w:color w:val="auto"/>
                      <w:szCs w:val="21"/>
                    </w:rPr>
                  </w:pPr>
                </w:p>
              </w:tc>
              <w:tc>
                <w:tcPr>
                  <w:tcW w:w="1889" w:type="pct"/>
                  <w:vAlign w:val="center"/>
                </w:tcPr>
                <w:p>
                  <w:pPr>
                    <w:jc w:val="center"/>
                    <w:rPr>
                      <w:bCs/>
                      <w:color w:val="auto"/>
                      <w:szCs w:val="21"/>
                    </w:rPr>
                  </w:pPr>
                </w:p>
              </w:tc>
              <w:tc>
                <w:tcPr>
                  <w:tcW w:w="2091" w:type="pct"/>
                  <w:vAlign w:val="center"/>
                </w:tcPr>
                <w:p>
                  <w:pPr>
                    <w:jc w:val="center"/>
                    <w:rPr>
                      <w:bCs/>
                      <w:color w:val="auto"/>
                      <w:szCs w:val="21"/>
                    </w:rPr>
                  </w:pPr>
                  <w:r>
                    <w:rPr>
                      <w:bCs/>
                      <w:color w:val="auto"/>
                      <w:szCs w:val="21"/>
                    </w:rPr>
                    <w:t>2400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20" w:type="pct"/>
                  <w:vMerge w:val="continue"/>
                  <w:vAlign w:val="center"/>
                </w:tcPr>
                <w:p>
                  <w:pPr>
                    <w:jc w:val="center"/>
                    <w:rPr>
                      <w:bCs/>
                      <w:color w:val="auto"/>
                      <w:szCs w:val="21"/>
                    </w:rPr>
                  </w:pPr>
                </w:p>
              </w:tc>
              <w:tc>
                <w:tcPr>
                  <w:tcW w:w="1889" w:type="pct"/>
                  <w:vAlign w:val="center"/>
                </w:tcPr>
                <w:p>
                  <w:pPr>
                    <w:jc w:val="center"/>
                    <w:rPr>
                      <w:bCs/>
                      <w:color w:val="auto"/>
                      <w:szCs w:val="21"/>
                    </w:rPr>
                  </w:pPr>
                </w:p>
              </w:tc>
              <w:tc>
                <w:tcPr>
                  <w:tcW w:w="2091" w:type="pct"/>
                  <w:vAlign w:val="center"/>
                </w:tcPr>
                <w:p>
                  <w:pPr>
                    <w:jc w:val="center"/>
                    <w:rPr>
                      <w:bCs/>
                      <w:color w:val="auto"/>
                      <w:szCs w:val="21"/>
                    </w:rPr>
                  </w:pPr>
                  <w:r>
                    <w:rPr>
                      <w:bCs/>
                      <w:color w:val="auto"/>
                      <w:szCs w:val="21"/>
                    </w:rPr>
                    <w:t>1200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20" w:type="pct"/>
                  <w:vMerge w:val="continue"/>
                  <w:vAlign w:val="center"/>
                </w:tcPr>
                <w:p>
                  <w:pPr>
                    <w:jc w:val="center"/>
                    <w:rPr>
                      <w:bCs/>
                      <w:color w:val="auto"/>
                      <w:szCs w:val="21"/>
                    </w:rPr>
                  </w:pPr>
                </w:p>
              </w:tc>
              <w:tc>
                <w:tcPr>
                  <w:tcW w:w="1889" w:type="pct"/>
                  <w:vAlign w:val="center"/>
                </w:tcPr>
                <w:p>
                  <w:pPr>
                    <w:jc w:val="center"/>
                    <w:rPr>
                      <w:bCs/>
                      <w:color w:val="auto"/>
                      <w:szCs w:val="21"/>
                    </w:rPr>
                  </w:pPr>
                </w:p>
              </w:tc>
              <w:tc>
                <w:tcPr>
                  <w:tcW w:w="2091" w:type="pct"/>
                  <w:vAlign w:val="center"/>
                </w:tcPr>
                <w:p>
                  <w:pPr>
                    <w:jc w:val="center"/>
                    <w:rPr>
                      <w:bCs/>
                      <w:color w:val="auto"/>
                      <w:szCs w:val="21"/>
                    </w:rPr>
                  </w:pPr>
                  <w:r>
                    <w:rPr>
                      <w:bCs/>
                      <w:color w:val="auto"/>
                      <w:szCs w:val="21"/>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20" w:type="pct"/>
                  <w:vMerge w:val="continue"/>
                  <w:vAlign w:val="center"/>
                </w:tcPr>
                <w:p>
                  <w:pPr>
                    <w:jc w:val="center"/>
                    <w:rPr>
                      <w:bCs/>
                      <w:color w:val="auto"/>
                      <w:szCs w:val="21"/>
                    </w:rPr>
                  </w:pPr>
                </w:p>
              </w:tc>
              <w:tc>
                <w:tcPr>
                  <w:tcW w:w="1889" w:type="pct"/>
                  <w:vAlign w:val="center"/>
                </w:tcPr>
                <w:p>
                  <w:pPr>
                    <w:jc w:val="center"/>
                    <w:rPr>
                      <w:bCs/>
                      <w:color w:val="auto"/>
                      <w:szCs w:val="21"/>
                    </w:rPr>
                  </w:pPr>
                </w:p>
              </w:tc>
              <w:tc>
                <w:tcPr>
                  <w:tcW w:w="2091" w:type="pct"/>
                  <w:vAlign w:val="center"/>
                </w:tcPr>
                <w:p>
                  <w:pPr>
                    <w:jc w:val="center"/>
                    <w:rPr>
                      <w:bCs/>
                      <w:color w:val="auto"/>
                      <w:szCs w:val="21"/>
                    </w:rPr>
                  </w:pPr>
                  <w:r>
                    <w:rPr>
                      <w:bCs/>
                      <w:color w:val="auto"/>
                      <w:szCs w:val="21"/>
                    </w:rPr>
                    <w:t>2400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56" w:hRule="atLeast"/>
              </w:trPr>
              <w:tc>
                <w:tcPr>
                  <w:tcW w:w="1020" w:type="pct"/>
                  <w:vMerge w:val="continue"/>
                  <w:vAlign w:val="center"/>
                </w:tcPr>
                <w:p>
                  <w:pPr>
                    <w:jc w:val="center"/>
                    <w:rPr>
                      <w:bCs/>
                      <w:color w:val="auto"/>
                      <w:szCs w:val="21"/>
                    </w:rPr>
                  </w:pPr>
                </w:p>
              </w:tc>
              <w:tc>
                <w:tcPr>
                  <w:tcW w:w="1889" w:type="pct"/>
                  <w:vAlign w:val="center"/>
                </w:tcPr>
                <w:p>
                  <w:pPr>
                    <w:jc w:val="center"/>
                    <w:rPr>
                      <w:bCs/>
                      <w:color w:val="auto"/>
                      <w:szCs w:val="21"/>
                    </w:rPr>
                  </w:pPr>
                </w:p>
              </w:tc>
              <w:tc>
                <w:tcPr>
                  <w:tcW w:w="2091" w:type="pct"/>
                  <w:vAlign w:val="center"/>
                </w:tcPr>
                <w:p>
                  <w:pPr>
                    <w:jc w:val="center"/>
                    <w:rPr>
                      <w:bCs/>
                      <w:color w:val="auto"/>
                      <w:szCs w:val="21"/>
                    </w:rPr>
                  </w:pPr>
                  <w:r>
                    <w:rPr>
                      <w:bCs/>
                      <w:color w:val="auto"/>
                      <w:szCs w:val="21"/>
                    </w:rPr>
                    <w:t>4</w:t>
                  </w:r>
                  <w:r>
                    <w:rPr>
                      <w:rFonts w:hint="eastAsia"/>
                      <w:bCs/>
                      <w:color w:val="auto"/>
                      <w:szCs w:val="21"/>
                    </w:rPr>
                    <w:t>0</w:t>
                  </w:r>
                  <w:r>
                    <w:rPr>
                      <w:bCs/>
                      <w:color w:val="auto"/>
                      <w:szCs w:val="21"/>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2" w:hRule="atLeast"/>
              </w:trPr>
              <w:tc>
                <w:tcPr>
                  <w:tcW w:w="1020" w:type="pct"/>
                  <w:vMerge w:val="continue"/>
                  <w:vAlign w:val="center"/>
                </w:tcPr>
                <w:p>
                  <w:pPr>
                    <w:jc w:val="center"/>
                    <w:rPr>
                      <w:bCs/>
                      <w:color w:val="auto"/>
                      <w:szCs w:val="21"/>
                    </w:rPr>
                  </w:pPr>
                </w:p>
              </w:tc>
              <w:tc>
                <w:tcPr>
                  <w:tcW w:w="1889" w:type="pct"/>
                  <w:vAlign w:val="center"/>
                </w:tcPr>
                <w:p>
                  <w:pPr>
                    <w:jc w:val="center"/>
                    <w:rPr>
                      <w:bCs/>
                      <w:color w:val="auto"/>
                      <w:szCs w:val="21"/>
                    </w:rPr>
                  </w:pPr>
                </w:p>
              </w:tc>
              <w:tc>
                <w:tcPr>
                  <w:tcW w:w="2091" w:type="pct"/>
                  <w:vAlign w:val="center"/>
                </w:tcPr>
                <w:p>
                  <w:pPr>
                    <w:jc w:val="center"/>
                    <w:rPr>
                      <w:bCs/>
                      <w:color w:val="auto"/>
                      <w:szCs w:val="21"/>
                    </w:rPr>
                  </w:pPr>
                  <w:r>
                    <w:rPr>
                      <w:rFonts w:hint="eastAsia"/>
                      <w:bCs/>
                      <w:color w:val="auto"/>
                      <w:szCs w:val="21"/>
                    </w:rPr>
                    <w:t>1</w:t>
                  </w:r>
                  <w:r>
                    <w:rPr>
                      <w:bCs/>
                      <w:color w:val="auto"/>
                      <w:szCs w:val="21"/>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28" w:hRule="atLeast"/>
              </w:trPr>
              <w:tc>
                <w:tcPr>
                  <w:tcW w:w="1020" w:type="pct"/>
                  <w:vMerge w:val="continue"/>
                  <w:vAlign w:val="center"/>
                </w:tcPr>
                <w:p>
                  <w:pPr>
                    <w:jc w:val="center"/>
                    <w:rPr>
                      <w:bCs/>
                      <w:color w:val="auto"/>
                      <w:szCs w:val="21"/>
                    </w:rPr>
                  </w:pPr>
                </w:p>
              </w:tc>
              <w:tc>
                <w:tcPr>
                  <w:tcW w:w="1889" w:type="pct"/>
                  <w:vAlign w:val="center"/>
                </w:tcPr>
                <w:p>
                  <w:pPr>
                    <w:jc w:val="center"/>
                    <w:rPr>
                      <w:bCs/>
                      <w:color w:val="auto"/>
                      <w:szCs w:val="21"/>
                    </w:rPr>
                  </w:pPr>
                </w:p>
              </w:tc>
              <w:tc>
                <w:tcPr>
                  <w:tcW w:w="2091" w:type="pct"/>
                  <w:vAlign w:val="center"/>
                </w:tcPr>
                <w:p>
                  <w:pPr>
                    <w:jc w:val="center"/>
                    <w:rPr>
                      <w:bCs/>
                      <w:color w:val="auto"/>
                      <w:szCs w:val="21"/>
                    </w:rPr>
                  </w:pPr>
                  <w:r>
                    <w:rPr>
                      <w:bCs/>
                      <w:color w:val="auto"/>
                      <w:szCs w:val="21"/>
                    </w:rPr>
                    <w:t>2400</w:t>
                  </w:r>
                </w:p>
              </w:tc>
            </w:tr>
          </w:tbl>
          <w:p>
            <w:pPr>
              <w:spacing w:beforeLines="50" w:line="360" w:lineRule="auto"/>
              <w:ind w:firstLine="482" w:firstLineChars="200"/>
              <w:rPr>
                <w:b/>
                <w:color w:val="auto"/>
                <w:sz w:val="24"/>
              </w:rPr>
            </w:pPr>
            <w:r>
              <w:rPr>
                <w:b/>
                <w:color w:val="auto"/>
                <w:sz w:val="24"/>
              </w:rPr>
              <w:fldChar w:fldCharType="begin"/>
            </w:r>
            <w:r>
              <w:rPr>
                <w:b/>
                <w:color w:val="auto"/>
                <w:sz w:val="24"/>
              </w:rPr>
              <w:instrText xml:space="preserve"> = 1 \* GB3 </w:instrText>
            </w:r>
            <w:r>
              <w:rPr>
                <w:b/>
                <w:color w:val="auto"/>
                <w:sz w:val="24"/>
              </w:rPr>
              <w:fldChar w:fldCharType="separate"/>
            </w:r>
            <w:r>
              <w:rPr>
                <w:rFonts w:hint="eastAsia" w:ascii="宋体" w:hAnsi="宋体" w:cs="宋体"/>
                <w:b/>
                <w:color w:val="auto"/>
                <w:sz w:val="24"/>
              </w:rPr>
              <w:t>①</w:t>
            </w:r>
            <w:r>
              <w:rPr>
                <w:b/>
                <w:color w:val="auto"/>
                <w:sz w:val="24"/>
              </w:rPr>
              <w:fldChar w:fldCharType="end"/>
            </w:r>
            <w:r>
              <w:rPr>
                <w:b/>
                <w:color w:val="auto"/>
                <w:sz w:val="24"/>
              </w:rPr>
              <w:t>老化</w:t>
            </w:r>
          </w:p>
          <w:p>
            <w:pPr>
              <w:pStyle w:val="14"/>
              <w:tabs>
                <w:tab w:val="left" w:pos="1200"/>
              </w:tabs>
              <w:spacing w:after="0" w:line="360" w:lineRule="auto"/>
              <w:rPr>
                <w:color w:val="auto"/>
                <w:szCs w:val="24"/>
              </w:rPr>
            </w:pPr>
          </w:p>
          <w:p>
            <w:pPr>
              <w:spacing w:line="360" w:lineRule="auto"/>
              <w:jc w:val="center"/>
              <w:rPr>
                <w:b/>
                <w:color w:val="auto"/>
                <w:sz w:val="24"/>
              </w:rPr>
            </w:pPr>
            <w:r>
              <w:rPr>
                <w:b/>
                <w:color w:val="auto"/>
                <w:sz w:val="24"/>
              </w:rPr>
              <w:t>表2-1</w:t>
            </w:r>
            <w:r>
              <w:rPr>
                <w:rFonts w:hint="eastAsia"/>
                <w:b/>
                <w:color w:val="auto"/>
                <w:sz w:val="24"/>
              </w:rPr>
              <w:t>1</w:t>
            </w:r>
            <w:r>
              <w:rPr>
                <w:b/>
                <w:color w:val="auto"/>
                <w:sz w:val="24"/>
              </w:rPr>
              <w:t xml:space="preserve">  各污染物产生情况及拟采取的治理措施</w:t>
            </w:r>
          </w:p>
          <w:tbl>
            <w:tblPr>
              <w:tblStyle w:val="3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524"/>
              <w:gridCol w:w="803"/>
              <w:gridCol w:w="548"/>
              <w:gridCol w:w="2687"/>
              <w:gridCol w:w="674"/>
              <w:gridCol w:w="1363"/>
              <w:gridCol w:w="20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blHeader/>
                <w:jc w:val="center"/>
              </w:trPr>
              <w:tc>
                <w:tcPr>
                  <w:tcW w:w="304" w:type="pct"/>
                  <w:vAlign w:val="center"/>
                </w:tcPr>
                <w:p>
                  <w:pPr>
                    <w:jc w:val="center"/>
                    <w:rPr>
                      <w:bCs/>
                      <w:color w:val="auto"/>
                      <w:szCs w:val="21"/>
                    </w:rPr>
                  </w:pPr>
                  <w:r>
                    <w:rPr>
                      <w:bCs/>
                      <w:color w:val="auto"/>
                      <w:szCs w:val="21"/>
                    </w:rPr>
                    <w:t>类</w:t>
                  </w:r>
                </w:p>
              </w:tc>
              <w:tc>
                <w:tcPr>
                  <w:tcW w:w="466" w:type="pct"/>
                  <w:vAlign w:val="center"/>
                </w:tcPr>
                <w:p>
                  <w:pPr>
                    <w:jc w:val="center"/>
                    <w:rPr>
                      <w:bCs/>
                      <w:color w:val="auto"/>
                      <w:szCs w:val="21"/>
                    </w:rPr>
                  </w:pPr>
                  <w:r>
                    <w:rPr>
                      <w:bCs/>
                      <w:color w:val="auto"/>
                      <w:szCs w:val="21"/>
                    </w:rPr>
                    <w:t>序号</w:t>
                  </w:r>
                </w:p>
              </w:tc>
              <w:tc>
                <w:tcPr>
                  <w:tcW w:w="1877" w:type="pct"/>
                  <w:gridSpan w:val="2"/>
                  <w:vAlign w:val="center"/>
                </w:tcPr>
                <w:p>
                  <w:pPr>
                    <w:jc w:val="center"/>
                    <w:rPr>
                      <w:bCs/>
                      <w:color w:val="auto"/>
                      <w:szCs w:val="21"/>
                    </w:rPr>
                  </w:pPr>
                  <w:r>
                    <w:rPr>
                      <w:bCs/>
                      <w:color w:val="auto"/>
                      <w:szCs w:val="21"/>
                    </w:rPr>
                    <w:t>污染工序</w:t>
                  </w:r>
                </w:p>
              </w:tc>
              <w:tc>
                <w:tcPr>
                  <w:tcW w:w="1182" w:type="pct"/>
                  <w:gridSpan w:val="2"/>
                  <w:vAlign w:val="center"/>
                </w:tcPr>
                <w:p>
                  <w:pPr>
                    <w:jc w:val="center"/>
                    <w:rPr>
                      <w:bCs/>
                      <w:color w:val="auto"/>
                      <w:szCs w:val="21"/>
                    </w:rPr>
                  </w:pPr>
                  <w:r>
                    <w:rPr>
                      <w:bCs/>
                      <w:color w:val="auto"/>
                      <w:szCs w:val="21"/>
                    </w:rPr>
                    <w:t>污染物</w:t>
                  </w:r>
                </w:p>
              </w:tc>
              <w:tc>
                <w:tcPr>
                  <w:tcW w:w="1169" w:type="pct"/>
                  <w:vAlign w:val="center"/>
                </w:tcPr>
                <w:p>
                  <w:pPr>
                    <w:jc w:val="center"/>
                    <w:rPr>
                      <w:bCs/>
                      <w:color w:val="auto"/>
                      <w:szCs w:val="21"/>
                    </w:rPr>
                  </w:pPr>
                  <w:r>
                    <w:rPr>
                      <w:bCs/>
                      <w:color w:val="auto"/>
                      <w:szCs w:val="21"/>
                    </w:rPr>
                    <w:t>治理措施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blHeader/>
                <w:jc w:val="center"/>
              </w:trPr>
              <w:tc>
                <w:tcPr>
                  <w:tcW w:w="304" w:type="pct"/>
                  <w:vMerge w:val="restart"/>
                  <w:vAlign w:val="center"/>
                </w:tcPr>
                <w:p>
                  <w:pPr>
                    <w:jc w:val="center"/>
                    <w:rPr>
                      <w:bCs/>
                      <w:color w:val="auto"/>
                      <w:szCs w:val="21"/>
                    </w:rPr>
                  </w:pPr>
                  <w:r>
                    <w:rPr>
                      <w:bCs/>
                      <w:color w:val="auto"/>
                      <w:szCs w:val="21"/>
                    </w:rPr>
                    <w:t>废气</w:t>
                  </w:r>
                </w:p>
              </w:tc>
              <w:tc>
                <w:tcPr>
                  <w:tcW w:w="466" w:type="pct"/>
                  <w:vAlign w:val="center"/>
                </w:tcPr>
                <w:p>
                  <w:pPr>
                    <w:jc w:val="center"/>
                    <w:rPr>
                      <w:bCs/>
                      <w:color w:val="auto"/>
                      <w:szCs w:val="21"/>
                    </w:rPr>
                  </w:pPr>
                  <w:r>
                    <w:rPr>
                      <w:bCs/>
                      <w:color w:val="auto"/>
                      <w:szCs w:val="21"/>
                    </w:rPr>
                    <w:t>G</w:t>
                  </w:r>
                  <w:r>
                    <w:rPr>
                      <w:bCs/>
                      <w:color w:val="auto"/>
                      <w:szCs w:val="21"/>
                      <w:vertAlign w:val="baseline"/>
                    </w:rPr>
                    <w:t>1</w:t>
                  </w:r>
                </w:p>
              </w:tc>
              <w:tc>
                <w:tcPr>
                  <w:tcW w:w="318" w:type="pct"/>
                  <w:vMerge w:val="restart"/>
                  <w:vAlign w:val="center"/>
                </w:tcPr>
                <w:p>
                  <w:pPr>
                    <w:jc w:val="center"/>
                    <w:rPr>
                      <w:bCs/>
                      <w:color w:val="auto"/>
                      <w:szCs w:val="21"/>
                    </w:rPr>
                  </w:pPr>
                  <w:r>
                    <w:rPr>
                      <w:bCs/>
                      <w:color w:val="auto"/>
                      <w:szCs w:val="21"/>
                    </w:rPr>
                    <w:t>清洗工序</w:t>
                  </w:r>
                </w:p>
              </w:tc>
              <w:tc>
                <w:tcPr>
                  <w:tcW w:w="1559" w:type="pct"/>
                  <w:vAlign w:val="center"/>
                </w:tcPr>
                <w:p>
                  <w:pPr>
                    <w:jc w:val="center"/>
                    <w:rPr>
                      <w:bCs/>
                      <w:color w:val="auto"/>
                      <w:szCs w:val="21"/>
                    </w:rPr>
                  </w:pPr>
                  <w:r>
                    <w:rPr>
                      <w:bCs/>
                      <w:color w:val="auto"/>
                      <w:szCs w:val="21"/>
                    </w:rPr>
                    <w:t>锑</w:t>
                  </w:r>
                  <w:r>
                    <w:rPr>
                      <w:rFonts w:hint="eastAsia"/>
                      <w:bCs/>
                      <w:color w:val="auto"/>
                      <w:szCs w:val="21"/>
                    </w:rPr>
                    <w:t>球</w:t>
                  </w:r>
                  <w:r>
                    <w:rPr>
                      <w:bCs/>
                      <w:color w:val="auto"/>
                      <w:szCs w:val="21"/>
                    </w:rPr>
                    <w:t>制备</w:t>
                  </w:r>
                </w:p>
              </w:tc>
              <w:tc>
                <w:tcPr>
                  <w:tcW w:w="1182" w:type="pct"/>
                  <w:gridSpan w:val="2"/>
                  <w:vAlign w:val="center"/>
                </w:tcPr>
                <w:p>
                  <w:pPr>
                    <w:jc w:val="center"/>
                    <w:rPr>
                      <w:bCs/>
                      <w:color w:val="auto"/>
                      <w:szCs w:val="21"/>
                    </w:rPr>
                  </w:pPr>
                  <w:r>
                    <w:rPr>
                      <w:bCs/>
                      <w:color w:val="auto"/>
                      <w:szCs w:val="21"/>
                    </w:rPr>
                    <w:t>非甲烷总烃</w:t>
                  </w:r>
                </w:p>
              </w:tc>
              <w:tc>
                <w:tcPr>
                  <w:tcW w:w="1169" w:type="pct"/>
                  <w:vMerge w:val="restart"/>
                  <w:vAlign w:val="center"/>
                </w:tcPr>
                <w:p>
                  <w:pPr>
                    <w:jc w:val="center"/>
                    <w:rPr>
                      <w:bCs/>
                      <w:color w:val="auto"/>
                      <w:szCs w:val="21"/>
                    </w:rPr>
                  </w:pPr>
                  <w:r>
                    <w:rPr>
                      <w:rFonts w:hint="eastAsia"/>
                      <w:bCs/>
                      <w:color w:val="auto"/>
                      <w:szCs w:val="21"/>
                    </w:rPr>
                    <w:t>废气收集+</w:t>
                  </w:r>
                  <w:r>
                    <w:rPr>
                      <w:bCs/>
                      <w:color w:val="auto"/>
                      <w:szCs w:val="21"/>
                    </w:rPr>
                    <w:t>喷淋塔吸收+除雾器+</w:t>
                  </w:r>
                  <w:r>
                    <w:rPr>
                      <w:rFonts w:hint="eastAsia"/>
                      <w:bCs/>
                      <w:color w:val="auto"/>
                      <w:szCs w:val="21"/>
                    </w:rPr>
                    <w:t>一级</w:t>
                  </w:r>
                  <w:r>
                    <w:rPr>
                      <w:bCs/>
                      <w:color w:val="auto"/>
                      <w:szCs w:val="21"/>
                    </w:rPr>
                    <w:t>活性炭吸附+15m</w:t>
                  </w:r>
                  <w:r>
                    <w:rPr>
                      <w:rFonts w:hint="eastAsia"/>
                      <w:bCs/>
                      <w:color w:val="auto"/>
                      <w:szCs w:val="21"/>
                    </w:rPr>
                    <w:t>高</w:t>
                  </w:r>
                  <w:r>
                    <w:rPr>
                      <w:bCs/>
                      <w:color w:val="auto"/>
                      <w:szCs w:val="21"/>
                    </w:rPr>
                    <w:t>排气筒</w:t>
                  </w:r>
                  <w:r>
                    <w:rPr>
                      <w:rFonts w:hint="eastAsia"/>
                      <w:bCs/>
                      <w:color w:val="auto"/>
                      <w:szCs w:val="21"/>
                    </w:rPr>
                    <w:t>P2排放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blHeader/>
                <w:jc w:val="center"/>
              </w:trPr>
              <w:tc>
                <w:tcPr>
                  <w:tcW w:w="304" w:type="pct"/>
                  <w:vMerge w:val="continue"/>
                  <w:vAlign w:val="center"/>
                </w:tcPr>
                <w:p>
                  <w:pPr>
                    <w:jc w:val="center"/>
                    <w:rPr>
                      <w:bCs/>
                      <w:color w:val="auto"/>
                      <w:szCs w:val="21"/>
                    </w:rPr>
                  </w:pPr>
                </w:p>
              </w:tc>
              <w:tc>
                <w:tcPr>
                  <w:tcW w:w="466" w:type="pct"/>
                  <w:vAlign w:val="center"/>
                </w:tcPr>
                <w:p>
                  <w:pPr>
                    <w:jc w:val="center"/>
                    <w:rPr>
                      <w:bCs/>
                      <w:color w:val="auto"/>
                      <w:szCs w:val="21"/>
                    </w:rPr>
                  </w:pPr>
                  <w:r>
                    <w:rPr>
                      <w:bCs/>
                      <w:color w:val="auto"/>
                      <w:szCs w:val="21"/>
                    </w:rPr>
                    <w:t>G</w:t>
                  </w:r>
                  <w:r>
                    <w:rPr>
                      <w:bCs/>
                      <w:color w:val="auto"/>
                      <w:szCs w:val="21"/>
                      <w:vertAlign w:val="baseline"/>
                    </w:rPr>
                    <w:t>2</w:t>
                  </w:r>
                </w:p>
              </w:tc>
              <w:tc>
                <w:tcPr>
                  <w:tcW w:w="318" w:type="pct"/>
                  <w:vMerge w:val="continue"/>
                  <w:vAlign w:val="center"/>
                </w:tcPr>
                <w:p>
                  <w:pPr>
                    <w:jc w:val="center"/>
                    <w:rPr>
                      <w:bCs/>
                      <w:color w:val="auto"/>
                      <w:szCs w:val="21"/>
                    </w:rPr>
                  </w:pPr>
                </w:p>
              </w:tc>
              <w:tc>
                <w:tcPr>
                  <w:tcW w:w="1559" w:type="pct"/>
                  <w:vAlign w:val="center"/>
                </w:tcPr>
                <w:p>
                  <w:pPr>
                    <w:jc w:val="center"/>
                    <w:rPr>
                      <w:bCs/>
                      <w:color w:val="auto"/>
                      <w:szCs w:val="21"/>
                    </w:rPr>
                  </w:pPr>
                  <w:r>
                    <w:rPr>
                      <w:bCs/>
                      <w:color w:val="auto"/>
                      <w:szCs w:val="21"/>
                    </w:rPr>
                    <w:t>锰球制备</w:t>
                  </w:r>
                </w:p>
              </w:tc>
              <w:tc>
                <w:tcPr>
                  <w:tcW w:w="1182" w:type="pct"/>
                  <w:gridSpan w:val="2"/>
                  <w:vAlign w:val="center"/>
                </w:tcPr>
                <w:p>
                  <w:pPr>
                    <w:jc w:val="center"/>
                    <w:rPr>
                      <w:bCs/>
                      <w:color w:val="auto"/>
                      <w:szCs w:val="21"/>
                    </w:rPr>
                  </w:pPr>
                  <w:r>
                    <w:rPr>
                      <w:bCs/>
                      <w:color w:val="auto"/>
                      <w:szCs w:val="21"/>
                    </w:rPr>
                    <w:t>非甲烷</w:t>
                  </w:r>
                  <w:r>
                    <w:rPr>
                      <w:rFonts w:hint="eastAsia"/>
                      <w:bCs/>
                      <w:color w:val="auto"/>
                      <w:szCs w:val="21"/>
                    </w:rPr>
                    <w:t>总</w:t>
                  </w:r>
                  <w:r>
                    <w:rPr>
                      <w:bCs/>
                      <w:color w:val="auto"/>
                      <w:szCs w:val="21"/>
                    </w:rPr>
                    <w:t>烃</w:t>
                  </w:r>
                </w:p>
              </w:tc>
              <w:tc>
                <w:tcPr>
                  <w:tcW w:w="1169" w:type="pct"/>
                  <w:vMerge w:val="continue"/>
                  <w:vAlign w:val="center"/>
                </w:tcPr>
                <w:p>
                  <w:pPr>
                    <w:jc w:val="center"/>
                    <w:rPr>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blHeader/>
                <w:jc w:val="center"/>
              </w:trPr>
              <w:tc>
                <w:tcPr>
                  <w:tcW w:w="304" w:type="pct"/>
                  <w:vMerge w:val="continue"/>
                  <w:vAlign w:val="center"/>
                </w:tcPr>
                <w:p>
                  <w:pPr>
                    <w:jc w:val="center"/>
                    <w:rPr>
                      <w:bCs/>
                      <w:color w:val="auto"/>
                      <w:szCs w:val="21"/>
                    </w:rPr>
                  </w:pPr>
                </w:p>
              </w:tc>
              <w:tc>
                <w:tcPr>
                  <w:tcW w:w="466" w:type="pct"/>
                  <w:vAlign w:val="center"/>
                </w:tcPr>
                <w:p>
                  <w:pPr>
                    <w:jc w:val="center"/>
                    <w:rPr>
                      <w:color w:val="auto"/>
                    </w:rPr>
                  </w:pPr>
                  <w:r>
                    <w:rPr>
                      <w:bCs/>
                      <w:color w:val="auto"/>
                      <w:szCs w:val="21"/>
                    </w:rPr>
                    <w:t>G</w:t>
                  </w:r>
                  <w:r>
                    <w:rPr>
                      <w:bCs/>
                      <w:color w:val="auto"/>
                      <w:szCs w:val="21"/>
                      <w:vertAlign w:val="baseline"/>
                    </w:rPr>
                    <w:t>3</w:t>
                  </w:r>
                </w:p>
              </w:tc>
              <w:tc>
                <w:tcPr>
                  <w:tcW w:w="318" w:type="pct"/>
                  <w:vMerge w:val="continue"/>
                  <w:vAlign w:val="center"/>
                </w:tcPr>
                <w:p>
                  <w:pPr>
                    <w:jc w:val="center"/>
                    <w:rPr>
                      <w:bCs/>
                      <w:color w:val="auto"/>
                      <w:szCs w:val="21"/>
                    </w:rPr>
                  </w:pPr>
                </w:p>
              </w:tc>
              <w:tc>
                <w:tcPr>
                  <w:tcW w:w="1559" w:type="pct"/>
                  <w:vAlign w:val="center"/>
                </w:tcPr>
                <w:p>
                  <w:pPr>
                    <w:jc w:val="center"/>
                    <w:rPr>
                      <w:bCs/>
                      <w:color w:val="auto"/>
                      <w:szCs w:val="21"/>
                    </w:rPr>
                  </w:pPr>
                  <w:r>
                    <w:rPr>
                      <w:bCs/>
                      <w:color w:val="auto"/>
                      <w:szCs w:val="21"/>
                    </w:rPr>
                    <w:t>锰球制备</w:t>
                  </w:r>
                </w:p>
              </w:tc>
              <w:tc>
                <w:tcPr>
                  <w:tcW w:w="1182" w:type="pct"/>
                  <w:gridSpan w:val="2"/>
                  <w:vAlign w:val="center"/>
                </w:tcPr>
                <w:p>
                  <w:pPr>
                    <w:jc w:val="center"/>
                    <w:rPr>
                      <w:bCs/>
                      <w:color w:val="auto"/>
                      <w:szCs w:val="21"/>
                    </w:rPr>
                  </w:pPr>
                  <w:r>
                    <w:rPr>
                      <w:bCs/>
                      <w:color w:val="auto"/>
                      <w:szCs w:val="21"/>
                    </w:rPr>
                    <w:t>非甲烷总烃</w:t>
                  </w:r>
                </w:p>
              </w:tc>
              <w:tc>
                <w:tcPr>
                  <w:tcW w:w="1169" w:type="pct"/>
                  <w:vMerge w:val="continue"/>
                  <w:vAlign w:val="center"/>
                </w:tcPr>
                <w:p>
                  <w:pPr>
                    <w:jc w:val="center"/>
                    <w:rPr>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blHeader/>
                <w:jc w:val="center"/>
              </w:trPr>
              <w:tc>
                <w:tcPr>
                  <w:tcW w:w="304" w:type="pct"/>
                  <w:vMerge w:val="continue"/>
                  <w:vAlign w:val="center"/>
                </w:tcPr>
                <w:p>
                  <w:pPr>
                    <w:jc w:val="center"/>
                    <w:rPr>
                      <w:bCs/>
                      <w:color w:val="auto"/>
                      <w:szCs w:val="21"/>
                    </w:rPr>
                  </w:pPr>
                </w:p>
              </w:tc>
              <w:tc>
                <w:tcPr>
                  <w:tcW w:w="466" w:type="pct"/>
                  <w:vAlign w:val="center"/>
                </w:tcPr>
                <w:p>
                  <w:pPr>
                    <w:jc w:val="center"/>
                    <w:rPr>
                      <w:color w:val="auto"/>
                    </w:rPr>
                  </w:pPr>
                  <w:r>
                    <w:rPr>
                      <w:bCs/>
                      <w:color w:val="auto"/>
                      <w:szCs w:val="21"/>
                    </w:rPr>
                    <w:t>G</w:t>
                  </w:r>
                  <w:r>
                    <w:rPr>
                      <w:bCs/>
                      <w:color w:val="auto"/>
                      <w:szCs w:val="21"/>
                      <w:vertAlign w:val="baseline"/>
                    </w:rPr>
                    <w:t>4</w:t>
                  </w:r>
                </w:p>
              </w:tc>
              <w:tc>
                <w:tcPr>
                  <w:tcW w:w="318" w:type="pct"/>
                  <w:vMerge w:val="continue"/>
                  <w:vAlign w:val="center"/>
                </w:tcPr>
                <w:p>
                  <w:pPr>
                    <w:jc w:val="center"/>
                    <w:rPr>
                      <w:bCs/>
                      <w:color w:val="auto"/>
                      <w:szCs w:val="21"/>
                    </w:rPr>
                  </w:pPr>
                </w:p>
              </w:tc>
              <w:tc>
                <w:tcPr>
                  <w:tcW w:w="1559" w:type="pct"/>
                  <w:vAlign w:val="center"/>
                </w:tcPr>
                <w:p>
                  <w:pPr>
                    <w:jc w:val="center"/>
                    <w:rPr>
                      <w:bCs/>
                      <w:color w:val="auto"/>
                      <w:szCs w:val="21"/>
                    </w:rPr>
                  </w:pPr>
                  <w:r>
                    <w:rPr>
                      <w:bCs/>
                      <w:color w:val="auto"/>
                      <w:szCs w:val="21"/>
                    </w:rPr>
                    <w:t>陶瓷零部件</w:t>
                  </w:r>
                </w:p>
              </w:tc>
              <w:tc>
                <w:tcPr>
                  <w:tcW w:w="1182" w:type="pct"/>
                  <w:gridSpan w:val="2"/>
                  <w:vAlign w:val="center"/>
                </w:tcPr>
                <w:p>
                  <w:pPr>
                    <w:jc w:val="center"/>
                    <w:rPr>
                      <w:bCs/>
                      <w:color w:val="auto"/>
                      <w:szCs w:val="21"/>
                    </w:rPr>
                  </w:pPr>
                  <w:r>
                    <w:rPr>
                      <w:bCs/>
                      <w:color w:val="auto"/>
                      <w:szCs w:val="21"/>
                    </w:rPr>
                    <w:t>非甲烷总烃</w:t>
                  </w:r>
                </w:p>
              </w:tc>
              <w:tc>
                <w:tcPr>
                  <w:tcW w:w="1169" w:type="pct"/>
                  <w:vMerge w:val="continue"/>
                  <w:vAlign w:val="center"/>
                </w:tcPr>
                <w:p>
                  <w:pPr>
                    <w:jc w:val="center"/>
                    <w:rPr>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blHeader/>
                <w:jc w:val="center"/>
              </w:trPr>
              <w:tc>
                <w:tcPr>
                  <w:tcW w:w="304" w:type="pct"/>
                  <w:vMerge w:val="continue"/>
                  <w:vAlign w:val="center"/>
                </w:tcPr>
                <w:p>
                  <w:pPr>
                    <w:jc w:val="center"/>
                    <w:rPr>
                      <w:bCs/>
                      <w:color w:val="auto"/>
                      <w:szCs w:val="21"/>
                    </w:rPr>
                  </w:pPr>
                </w:p>
              </w:tc>
              <w:tc>
                <w:tcPr>
                  <w:tcW w:w="466" w:type="pct"/>
                  <w:vAlign w:val="center"/>
                </w:tcPr>
                <w:p>
                  <w:pPr>
                    <w:jc w:val="center"/>
                    <w:rPr>
                      <w:color w:val="auto"/>
                    </w:rPr>
                  </w:pPr>
                  <w:r>
                    <w:rPr>
                      <w:bCs/>
                      <w:color w:val="auto"/>
                      <w:szCs w:val="21"/>
                    </w:rPr>
                    <w:t>G</w:t>
                  </w:r>
                  <w:r>
                    <w:rPr>
                      <w:rFonts w:hint="eastAsia"/>
                      <w:bCs/>
                      <w:color w:val="auto"/>
                      <w:szCs w:val="21"/>
                      <w:vertAlign w:val="baseline"/>
                    </w:rPr>
                    <w:t>5</w:t>
                  </w:r>
                </w:p>
              </w:tc>
              <w:tc>
                <w:tcPr>
                  <w:tcW w:w="318" w:type="pct"/>
                  <w:vMerge w:val="continue"/>
                  <w:vAlign w:val="center"/>
                </w:tcPr>
                <w:p>
                  <w:pPr>
                    <w:jc w:val="center"/>
                    <w:rPr>
                      <w:bCs/>
                      <w:color w:val="auto"/>
                      <w:szCs w:val="21"/>
                    </w:rPr>
                  </w:pPr>
                </w:p>
              </w:tc>
              <w:tc>
                <w:tcPr>
                  <w:tcW w:w="1559" w:type="pct"/>
                  <w:vAlign w:val="center"/>
                </w:tcPr>
                <w:p>
                  <w:pPr>
                    <w:jc w:val="center"/>
                    <w:rPr>
                      <w:bCs/>
                      <w:color w:val="auto"/>
                      <w:szCs w:val="21"/>
                    </w:rPr>
                  </w:pPr>
                  <w:r>
                    <w:rPr>
                      <w:bCs/>
                      <w:color w:val="auto"/>
                      <w:szCs w:val="21"/>
                    </w:rPr>
                    <w:t>玻壳</w:t>
                  </w:r>
                </w:p>
              </w:tc>
              <w:tc>
                <w:tcPr>
                  <w:tcW w:w="1182" w:type="pct"/>
                  <w:gridSpan w:val="2"/>
                  <w:vAlign w:val="center"/>
                </w:tcPr>
                <w:p>
                  <w:pPr>
                    <w:jc w:val="center"/>
                    <w:rPr>
                      <w:bCs/>
                      <w:color w:val="auto"/>
                      <w:szCs w:val="21"/>
                    </w:rPr>
                  </w:pPr>
                  <w:r>
                    <w:rPr>
                      <w:bCs/>
                      <w:color w:val="auto"/>
                      <w:szCs w:val="21"/>
                    </w:rPr>
                    <w:t>非甲烷总烃</w:t>
                  </w:r>
                </w:p>
              </w:tc>
              <w:tc>
                <w:tcPr>
                  <w:tcW w:w="1169" w:type="pct"/>
                  <w:vMerge w:val="continue"/>
                  <w:vAlign w:val="center"/>
                </w:tcPr>
                <w:p>
                  <w:pPr>
                    <w:jc w:val="center"/>
                    <w:rPr>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93" w:hRule="atLeast"/>
                <w:tblHeader/>
                <w:jc w:val="center"/>
              </w:trPr>
              <w:tc>
                <w:tcPr>
                  <w:tcW w:w="304" w:type="pct"/>
                  <w:vMerge w:val="continue"/>
                  <w:vAlign w:val="center"/>
                </w:tcPr>
                <w:p>
                  <w:pPr>
                    <w:jc w:val="center"/>
                    <w:rPr>
                      <w:bCs/>
                      <w:color w:val="auto"/>
                      <w:szCs w:val="21"/>
                    </w:rPr>
                  </w:pPr>
                </w:p>
              </w:tc>
              <w:tc>
                <w:tcPr>
                  <w:tcW w:w="466" w:type="pct"/>
                  <w:vAlign w:val="center"/>
                </w:tcPr>
                <w:p>
                  <w:pPr>
                    <w:jc w:val="center"/>
                    <w:rPr>
                      <w:color w:val="auto"/>
                    </w:rPr>
                  </w:pPr>
                  <w:r>
                    <w:rPr>
                      <w:bCs/>
                      <w:color w:val="auto"/>
                      <w:szCs w:val="21"/>
                    </w:rPr>
                    <w:t>G</w:t>
                  </w:r>
                  <w:r>
                    <w:rPr>
                      <w:bCs/>
                      <w:color w:val="auto"/>
                      <w:szCs w:val="21"/>
                      <w:vertAlign w:val="baseline"/>
                    </w:rPr>
                    <w:t>6</w:t>
                  </w:r>
                </w:p>
              </w:tc>
              <w:tc>
                <w:tcPr>
                  <w:tcW w:w="1877" w:type="pct"/>
                  <w:gridSpan w:val="2"/>
                  <w:vAlign w:val="center"/>
                </w:tcPr>
                <w:p>
                  <w:pPr>
                    <w:jc w:val="center"/>
                    <w:rPr>
                      <w:bCs/>
                      <w:color w:val="auto"/>
                      <w:szCs w:val="21"/>
                    </w:rPr>
                  </w:pPr>
                  <w:r>
                    <w:rPr>
                      <w:bCs/>
                      <w:color w:val="auto"/>
                      <w:szCs w:val="21"/>
                    </w:rPr>
                    <w:t>封口工序</w:t>
                  </w:r>
                </w:p>
              </w:tc>
              <w:tc>
                <w:tcPr>
                  <w:tcW w:w="1182" w:type="pct"/>
                  <w:gridSpan w:val="2"/>
                  <w:vAlign w:val="center"/>
                </w:tcPr>
                <w:p>
                  <w:pPr>
                    <w:jc w:val="center"/>
                    <w:rPr>
                      <w:bCs/>
                      <w:color w:val="auto"/>
                      <w:szCs w:val="21"/>
                    </w:rPr>
                  </w:pPr>
                  <w:r>
                    <w:rPr>
                      <w:color w:val="auto"/>
                      <w:szCs w:val="21"/>
                    </w:rPr>
                    <w:t>SO</w:t>
                  </w:r>
                  <w:r>
                    <w:rPr>
                      <w:color w:val="auto"/>
                      <w:szCs w:val="21"/>
                      <w:vertAlign w:val="subscript"/>
                    </w:rPr>
                    <w:t>2</w:t>
                  </w:r>
                  <w:r>
                    <w:rPr>
                      <w:rFonts w:hint="eastAsia"/>
                      <w:color w:val="auto"/>
                      <w:szCs w:val="21"/>
                      <w:vertAlign w:val="subscript"/>
                    </w:rPr>
                    <w:t>、</w:t>
                  </w:r>
                  <w:r>
                    <w:rPr>
                      <w:color w:val="auto"/>
                      <w:szCs w:val="21"/>
                    </w:rPr>
                    <w:t>NOx</w:t>
                  </w:r>
                  <w:r>
                    <w:rPr>
                      <w:rFonts w:hint="eastAsia"/>
                      <w:color w:val="auto"/>
                      <w:szCs w:val="21"/>
                    </w:rPr>
                    <w:t>、</w:t>
                  </w:r>
                  <w:r>
                    <w:rPr>
                      <w:color w:val="auto"/>
                      <w:szCs w:val="21"/>
                    </w:rPr>
                    <w:t>颗粒物</w:t>
                  </w:r>
                </w:p>
              </w:tc>
              <w:tc>
                <w:tcPr>
                  <w:tcW w:w="1169" w:type="pct"/>
                  <w:vAlign w:val="center"/>
                </w:tcPr>
                <w:p>
                  <w:pPr>
                    <w:jc w:val="center"/>
                    <w:rPr>
                      <w:bCs/>
                      <w:color w:val="auto"/>
                      <w:szCs w:val="21"/>
                    </w:rPr>
                  </w:pPr>
                  <w:r>
                    <w:rPr>
                      <w:rFonts w:hint="eastAsia"/>
                      <w:bCs/>
                      <w:color w:val="auto"/>
                      <w:szCs w:val="21"/>
                      <w:lang w:eastAsia="zh-CN"/>
                    </w:rPr>
                    <w:t>废气收集</w:t>
                  </w:r>
                  <w:r>
                    <w:rPr>
                      <w:rFonts w:hint="eastAsia"/>
                      <w:bCs/>
                      <w:color w:val="auto"/>
                      <w:szCs w:val="21"/>
                      <w:lang w:val="en-US" w:eastAsia="zh-CN"/>
                    </w:rPr>
                    <w:t>+</w:t>
                  </w:r>
                  <w:r>
                    <w:rPr>
                      <w:bCs/>
                      <w:color w:val="auto"/>
                      <w:szCs w:val="21"/>
                    </w:rPr>
                    <w:t>15m高排气筒</w:t>
                  </w:r>
                  <w:r>
                    <w:rPr>
                      <w:rFonts w:hint="eastAsia"/>
                      <w:bCs/>
                      <w:color w:val="auto"/>
                      <w:szCs w:val="21"/>
                    </w:rPr>
                    <w:t>P2</w:t>
                  </w:r>
                  <w:r>
                    <w:rPr>
                      <w:bCs/>
                      <w:color w:val="auto"/>
                      <w:szCs w:val="21"/>
                    </w:rPr>
                    <w:t>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blHeader/>
                <w:jc w:val="center"/>
              </w:trPr>
              <w:tc>
                <w:tcPr>
                  <w:tcW w:w="304" w:type="pct"/>
                  <w:vMerge w:val="continue"/>
                  <w:vAlign w:val="center"/>
                </w:tcPr>
                <w:p>
                  <w:pPr>
                    <w:jc w:val="center"/>
                    <w:rPr>
                      <w:bCs/>
                      <w:color w:val="auto"/>
                      <w:szCs w:val="21"/>
                    </w:rPr>
                  </w:pPr>
                </w:p>
              </w:tc>
              <w:tc>
                <w:tcPr>
                  <w:tcW w:w="466" w:type="pct"/>
                  <w:vAlign w:val="center"/>
                </w:tcPr>
                <w:p>
                  <w:pPr>
                    <w:jc w:val="center"/>
                    <w:rPr>
                      <w:bCs/>
                      <w:color w:val="auto"/>
                      <w:szCs w:val="21"/>
                    </w:rPr>
                  </w:pPr>
                  <w:r>
                    <w:rPr>
                      <w:rFonts w:hint="eastAsia"/>
                      <w:bCs/>
                      <w:color w:val="auto"/>
                      <w:szCs w:val="21"/>
                    </w:rPr>
                    <w:t>G</w:t>
                  </w:r>
                  <w:r>
                    <w:rPr>
                      <w:rFonts w:hint="eastAsia"/>
                      <w:bCs/>
                      <w:color w:val="auto"/>
                      <w:szCs w:val="21"/>
                      <w:vertAlign w:val="baseline"/>
                    </w:rPr>
                    <w:t>7</w:t>
                  </w:r>
                </w:p>
              </w:tc>
              <w:tc>
                <w:tcPr>
                  <w:tcW w:w="1877" w:type="pct"/>
                  <w:gridSpan w:val="2"/>
                  <w:vAlign w:val="center"/>
                </w:tcPr>
                <w:p>
                  <w:pPr>
                    <w:jc w:val="center"/>
                    <w:rPr>
                      <w:bCs/>
                      <w:color w:val="auto"/>
                      <w:szCs w:val="21"/>
                    </w:rPr>
                  </w:pPr>
                  <w:r>
                    <w:rPr>
                      <w:rFonts w:hint="eastAsia"/>
                      <w:bCs/>
                      <w:color w:val="auto"/>
                      <w:szCs w:val="21"/>
                    </w:rPr>
                    <w:t>危废库</w:t>
                  </w:r>
                </w:p>
              </w:tc>
              <w:tc>
                <w:tcPr>
                  <w:tcW w:w="1182" w:type="pct"/>
                  <w:gridSpan w:val="2"/>
                  <w:vAlign w:val="center"/>
                </w:tcPr>
                <w:p>
                  <w:pPr>
                    <w:jc w:val="center"/>
                    <w:rPr>
                      <w:color w:val="auto"/>
                      <w:szCs w:val="21"/>
                    </w:rPr>
                  </w:pPr>
                  <w:r>
                    <w:rPr>
                      <w:bCs/>
                      <w:color w:val="auto"/>
                      <w:szCs w:val="21"/>
                    </w:rPr>
                    <w:t>非甲烷总烃</w:t>
                  </w:r>
                </w:p>
              </w:tc>
              <w:tc>
                <w:tcPr>
                  <w:tcW w:w="1169" w:type="pct"/>
                  <w:vAlign w:val="center"/>
                </w:tcPr>
                <w:p>
                  <w:pPr>
                    <w:jc w:val="center"/>
                    <w:rPr>
                      <w:bCs/>
                      <w:color w:val="auto"/>
                      <w:szCs w:val="21"/>
                    </w:rPr>
                  </w:pPr>
                  <w:r>
                    <w:rPr>
                      <w:rFonts w:hint="eastAsia"/>
                      <w:bCs/>
                      <w:color w:val="auto"/>
                      <w:szCs w:val="21"/>
                    </w:rPr>
                    <w:t>负压收集+一级活性炭吸附+15m高排气筒P3排放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blHeader/>
                <w:jc w:val="center"/>
              </w:trPr>
              <w:tc>
                <w:tcPr>
                  <w:tcW w:w="304" w:type="pct"/>
                  <w:vMerge w:val="restart"/>
                  <w:vAlign w:val="center"/>
                </w:tcPr>
                <w:p>
                  <w:pPr>
                    <w:jc w:val="center"/>
                    <w:rPr>
                      <w:bCs/>
                      <w:color w:val="auto"/>
                      <w:szCs w:val="21"/>
                    </w:rPr>
                  </w:pPr>
                  <w:r>
                    <w:rPr>
                      <w:bCs/>
                      <w:color w:val="auto"/>
                      <w:szCs w:val="21"/>
                    </w:rPr>
                    <w:t>废水</w:t>
                  </w:r>
                </w:p>
              </w:tc>
              <w:tc>
                <w:tcPr>
                  <w:tcW w:w="466" w:type="pct"/>
                  <w:vAlign w:val="center"/>
                </w:tcPr>
                <w:p>
                  <w:pPr>
                    <w:jc w:val="center"/>
                    <w:rPr>
                      <w:bCs/>
                      <w:color w:val="auto"/>
                      <w:szCs w:val="21"/>
                    </w:rPr>
                  </w:pPr>
                  <w:r>
                    <w:rPr>
                      <w:bCs/>
                      <w:color w:val="auto"/>
                      <w:szCs w:val="21"/>
                    </w:rPr>
                    <w:t>W1</w:t>
                  </w:r>
                </w:p>
              </w:tc>
              <w:tc>
                <w:tcPr>
                  <w:tcW w:w="1877" w:type="pct"/>
                  <w:gridSpan w:val="2"/>
                  <w:vAlign w:val="center"/>
                </w:tcPr>
                <w:p>
                  <w:pPr>
                    <w:jc w:val="center"/>
                    <w:rPr>
                      <w:bCs/>
                      <w:color w:val="auto"/>
                      <w:szCs w:val="21"/>
                    </w:rPr>
                  </w:pPr>
                  <w:r>
                    <w:rPr>
                      <w:bCs/>
                      <w:color w:val="auto"/>
                      <w:szCs w:val="21"/>
                    </w:rPr>
                    <w:t>锑球制备</w:t>
                  </w:r>
                </w:p>
              </w:tc>
              <w:tc>
                <w:tcPr>
                  <w:tcW w:w="391" w:type="pct"/>
                  <w:vMerge w:val="restart"/>
                  <w:vAlign w:val="center"/>
                </w:tcPr>
                <w:p>
                  <w:pPr>
                    <w:jc w:val="center"/>
                    <w:rPr>
                      <w:bCs/>
                      <w:color w:val="auto"/>
                      <w:szCs w:val="21"/>
                    </w:rPr>
                  </w:pPr>
                  <w:r>
                    <w:rPr>
                      <w:bCs/>
                      <w:color w:val="auto"/>
                      <w:szCs w:val="21"/>
                    </w:rPr>
                    <w:t>清洗</w:t>
                  </w:r>
                </w:p>
                <w:p>
                  <w:pPr>
                    <w:jc w:val="center"/>
                    <w:rPr>
                      <w:bCs/>
                      <w:color w:val="auto"/>
                      <w:szCs w:val="21"/>
                    </w:rPr>
                  </w:pPr>
                  <w:r>
                    <w:rPr>
                      <w:bCs/>
                      <w:color w:val="auto"/>
                      <w:szCs w:val="21"/>
                    </w:rPr>
                    <w:t>废水</w:t>
                  </w:r>
                  <w:r>
                    <w:rPr>
                      <w:rFonts w:hint="eastAsia"/>
                      <w:bCs/>
                      <w:color w:val="auto"/>
                      <w:sz w:val="18"/>
                      <w:szCs w:val="18"/>
                    </w:rPr>
                    <w:t>（含冲洗水）</w:t>
                  </w:r>
                </w:p>
              </w:tc>
              <w:tc>
                <w:tcPr>
                  <w:tcW w:w="791" w:type="pct"/>
                  <w:vMerge w:val="restart"/>
                  <w:vAlign w:val="center"/>
                </w:tcPr>
                <w:p>
                  <w:pPr>
                    <w:jc w:val="center"/>
                    <w:rPr>
                      <w:bCs/>
                      <w:color w:val="auto"/>
                      <w:szCs w:val="21"/>
                    </w:rPr>
                  </w:pPr>
                  <w:r>
                    <w:rPr>
                      <w:bCs/>
                      <w:color w:val="auto"/>
                      <w:szCs w:val="21"/>
                    </w:rPr>
                    <w:t>COD</w:t>
                  </w:r>
                </w:p>
                <w:p>
                  <w:pPr>
                    <w:jc w:val="center"/>
                    <w:rPr>
                      <w:bCs/>
                      <w:color w:val="auto"/>
                      <w:szCs w:val="21"/>
                    </w:rPr>
                  </w:pPr>
                  <w:r>
                    <w:rPr>
                      <w:bCs/>
                      <w:color w:val="auto"/>
                      <w:szCs w:val="21"/>
                    </w:rPr>
                    <w:t>SS</w:t>
                  </w:r>
                </w:p>
                <w:p>
                  <w:pPr>
                    <w:jc w:val="center"/>
                    <w:rPr>
                      <w:bCs/>
                      <w:color w:val="auto"/>
                      <w:szCs w:val="21"/>
                    </w:rPr>
                  </w:pPr>
                  <w:r>
                    <w:rPr>
                      <w:bCs/>
                      <w:color w:val="auto"/>
                      <w:szCs w:val="21"/>
                    </w:rPr>
                    <w:t>pH</w:t>
                  </w:r>
                </w:p>
              </w:tc>
              <w:tc>
                <w:tcPr>
                  <w:tcW w:w="1169" w:type="pct"/>
                  <w:vMerge w:val="restart"/>
                  <w:vAlign w:val="center"/>
                </w:tcPr>
                <w:p>
                  <w:pPr>
                    <w:jc w:val="center"/>
                    <w:rPr>
                      <w:rFonts w:hint="eastAsia" w:eastAsia="宋体"/>
                      <w:color w:val="auto"/>
                      <w:szCs w:val="21"/>
                      <w:lang w:eastAsia="zh-CN"/>
                    </w:rPr>
                  </w:pPr>
                  <w:r>
                    <w:rPr>
                      <w:rFonts w:hint="eastAsia"/>
                      <w:color w:val="auto"/>
                      <w:szCs w:val="21"/>
                      <w:lang w:eastAsia="zh-CN"/>
                    </w:rPr>
                    <w:t>酸碱清洗废水</w:t>
                  </w:r>
                  <w:r>
                    <w:rPr>
                      <w:color w:val="auto"/>
                      <w:szCs w:val="21"/>
                    </w:rPr>
                    <w:t>依托现</w:t>
                  </w:r>
                  <w:r>
                    <w:rPr>
                      <w:rFonts w:hint="eastAsia"/>
                      <w:color w:val="auto"/>
                      <w:szCs w:val="21"/>
                      <w:lang w:eastAsia="zh-CN"/>
                    </w:rPr>
                    <w:t>有</w:t>
                  </w:r>
                  <w:r>
                    <w:rPr>
                      <w:color w:val="auto"/>
                      <w:szCs w:val="21"/>
                    </w:rPr>
                    <w:t>酸碱中和处理设施处理</w:t>
                  </w:r>
                  <w:r>
                    <w:rPr>
                      <w:rFonts w:hint="eastAsia"/>
                      <w:color w:val="auto"/>
                      <w:szCs w:val="21"/>
                      <w:lang w:eastAsia="zh-CN"/>
                    </w:rPr>
                    <w:t>同冲洗水</w:t>
                  </w:r>
                  <w:r>
                    <w:rPr>
                      <w:color w:val="auto"/>
                      <w:sz w:val="21"/>
                      <w:szCs w:val="21"/>
                    </w:rPr>
                    <w:t>排入江宁经济技术</w:t>
                  </w:r>
                  <w:r>
                    <w:rPr>
                      <w:rFonts w:hint="eastAsia"/>
                      <w:color w:val="auto"/>
                      <w:sz w:val="21"/>
                      <w:szCs w:val="21"/>
                    </w:rPr>
                    <w:t>开</w:t>
                  </w:r>
                  <w:r>
                    <w:rPr>
                      <w:color w:val="auto"/>
                      <w:sz w:val="21"/>
                      <w:szCs w:val="21"/>
                    </w:rPr>
                    <w:t>发区污水处理厂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blHeader/>
                <w:jc w:val="center"/>
              </w:trPr>
              <w:tc>
                <w:tcPr>
                  <w:tcW w:w="304" w:type="pct"/>
                  <w:vMerge w:val="continue"/>
                  <w:vAlign w:val="center"/>
                </w:tcPr>
                <w:p>
                  <w:pPr>
                    <w:jc w:val="center"/>
                    <w:rPr>
                      <w:bCs/>
                      <w:color w:val="auto"/>
                      <w:szCs w:val="21"/>
                    </w:rPr>
                  </w:pPr>
                </w:p>
              </w:tc>
              <w:tc>
                <w:tcPr>
                  <w:tcW w:w="466" w:type="pct"/>
                  <w:vAlign w:val="center"/>
                </w:tcPr>
                <w:p>
                  <w:pPr>
                    <w:jc w:val="center"/>
                    <w:rPr>
                      <w:color w:val="auto"/>
                    </w:rPr>
                  </w:pPr>
                  <w:r>
                    <w:rPr>
                      <w:bCs/>
                      <w:color w:val="auto"/>
                      <w:szCs w:val="21"/>
                    </w:rPr>
                    <w:t>W2</w:t>
                  </w:r>
                </w:p>
              </w:tc>
              <w:tc>
                <w:tcPr>
                  <w:tcW w:w="1877" w:type="pct"/>
                  <w:gridSpan w:val="2"/>
                  <w:vAlign w:val="center"/>
                </w:tcPr>
                <w:p>
                  <w:pPr>
                    <w:jc w:val="center"/>
                    <w:rPr>
                      <w:bCs/>
                      <w:color w:val="auto"/>
                      <w:szCs w:val="21"/>
                    </w:rPr>
                  </w:pPr>
                  <w:r>
                    <w:rPr>
                      <w:bCs/>
                      <w:color w:val="auto"/>
                      <w:szCs w:val="21"/>
                    </w:rPr>
                    <w:t>锰球制备</w:t>
                  </w:r>
                </w:p>
              </w:tc>
              <w:tc>
                <w:tcPr>
                  <w:tcW w:w="391" w:type="pct"/>
                  <w:vMerge w:val="continue"/>
                  <w:vAlign w:val="center"/>
                </w:tcPr>
                <w:p>
                  <w:pPr>
                    <w:jc w:val="center"/>
                    <w:rPr>
                      <w:bCs/>
                      <w:color w:val="auto"/>
                      <w:szCs w:val="21"/>
                    </w:rPr>
                  </w:pPr>
                </w:p>
              </w:tc>
              <w:tc>
                <w:tcPr>
                  <w:tcW w:w="791" w:type="pct"/>
                  <w:vMerge w:val="continue"/>
                  <w:vAlign w:val="center"/>
                </w:tcPr>
                <w:p>
                  <w:pPr>
                    <w:jc w:val="center"/>
                    <w:rPr>
                      <w:bCs/>
                      <w:color w:val="auto"/>
                      <w:szCs w:val="21"/>
                    </w:rPr>
                  </w:pPr>
                </w:p>
              </w:tc>
              <w:tc>
                <w:tcPr>
                  <w:tcW w:w="1169" w:type="pct"/>
                  <w:vMerge w:val="continue"/>
                  <w:vAlign w:val="center"/>
                </w:tcPr>
                <w:p>
                  <w:pPr>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blHeader/>
                <w:jc w:val="center"/>
              </w:trPr>
              <w:tc>
                <w:tcPr>
                  <w:tcW w:w="304" w:type="pct"/>
                  <w:vMerge w:val="continue"/>
                  <w:vAlign w:val="center"/>
                </w:tcPr>
                <w:p>
                  <w:pPr>
                    <w:jc w:val="center"/>
                    <w:rPr>
                      <w:bCs/>
                      <w:color w:val="auto"/>
                      <w:szCs w:val="21"/>
                    </w:rPr>
                  </w:pPr>
                </w:p>
              </w:tc>
              <w:tc>
                <w:tcPr>
                  <w:tcW w:w="466" w:type="pct"/>
                  <w:vAlign w:val="center"/>
                </w:tcPr>
                <w:p>
                  <w:pPr>
                    <w:jc w:val="center"/>
                    <w:rPr>
                      <w:color w:val="auto"/>
                    </w:rPr>
                  </w:pPr>
                  <w:r>
                    <w:rPr>
                      <w:bCs/>
                      <w:color w:val="auto"/>
                      <w:szCs w:val="21"/>
                    </w:rPr>
                    <w:t>W3</w:t>
                  </w:r>
                </w:p>
              </w:tc>
              <w:tc>
                <w:tcPr>
                  <w:tcW w:w="1877" w:type="pct"/>
                  <w:gridSpan w:val="2"/>
                  <w:vAlign w:val="center"/>
                </w:tcPr>
                <w:p>
                  <w:pPr>
                    <w:jc w:val="center"/>
                    <w:rPr>
                      <w:bCs/>
                      <w:color w:val="auto"/>
                      <w:szCs w:val="21"/>
                    </w:rPr>
                  </w:pPr>
                  <w:r>
                    <w:rPr>
                      <w:bCs/>
                      <w:color w:val="auto"/>
                      <w:szCs w:val="21"/>
                    </w:rPr>
                    <w:t>陶瓷零部件</w:t>
                  </w:r>
                </w:p>
              </w:tc>
              <w:tc>
                <w:tcPr>
                  <w:tcW w:w="391" w:type="pct"/>
                  <w:vMerge w:val="continue"/>
                  <w:vAlign w:val="center"/>
                </w:tcPr>
                <w:p>
                  <w:pPr>
                    <w:jc w:val="center"/>
                    <w:rPr>
                      <w:bCs/>
                      <w:color w:val="auto"/>
                      <w:szCs w:val="21"/>
                    </w:rPr>
                  </w:pPr>
                </w:p>
              </w:tc>
              <w:tc>
                <w:tcPr>
                  <w:tcW w:w="791" w:type="pct"/>
                  <w:vMerge w:val="continue"/>
                  <w:vAlign w:val="center"/>
                </w:tcPr>
                <w:p>
                  <w:pPr>
                    <w:jc w:val="center"/>
                    <w:rPr>
                      <w:bCs/>
                      <w:color w:val="auto"/>
                      <w:szCs w:val="21"/>
                    </w:rPr>
                  </w:pPr>
                </w:p>
              </w:tc>
              <w:tc>
                <w:tcPr>
                  <w:tcW w:w="1169" w:type="pct"/>
                  <w:vMerge w:val="continue"/>
                  <w:vAlign w:val="center"/>
                </w:tcPr>
                <w:p>
                  <w:pPr>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blHeader/>
                <w:jc w:val="center"/>
              </w:trPr>
              <w:tc>
                <w:tcPr>
                  <w:tcW w:w="304" w:type="pct"/>
                  <w:vMerge w:val="continue"/>
                  <w:vAlign w:val="center"/>
                </w:tcPr>
                <w:p>
                  <w:pPr>
                    <w:jc w:val="center"/>
                    <w:rPr>
                      <w:bCs/>
                      <w:color w:val="auto"/>
                      <w:szCs w:val="21"/>
                    </w:rPr>
                  </w:pPr>
                </w:p>
              </w:tc>
              <w:tc>
                <w:tcPr>
                  <w:tcW w:w="466" w:type="pct"/>
                  <w:vAlign w:val="center"/>
                </w:tcPr>
                <w:p>
                  <w:pPr>
                    <w:jc w:val="center"/>
                    <w:rPr>
                      <w:color w:val="auto"/>
                    </w:rPr>
                  </w:pPr>
                  <w:r>
                    <w:rPr>
                      <w:bCs/>
                      <w:color w:val="auto"/>
                      <w:szCs w:val="21"/>
                    </w:rPr>
                    <w:t>W</w:t>
                  </w:r>
                  <w:r>
                    <w:rPr>
                      <w:rFonts w:hint="eastAsia"/>
                      <w:bCs/>
                      <w:color w:val="auto"/>
                      <w:szCs w:val="21"/>
                    </w:rPr>
                    <w:t>4</w:t>
                  </w:r>
                </w:p>
              </w:tc>
              <w:tc>
                <w:tcPr>
                  <w:tcW w:w="1877" w:type="pct"/>
                  <w:gridSpan w:val="2"/>
                  <w:vAlign w:val="center"/>
                </w:tcPr>
                <w:p>
                  <w:pPr>
                    <w:jc w:val="center"/>
                    <w:rPr>
                      <w:bCs/>
                      <w:color w:val="auto"/>
                      <w:szCs w:val="21"/>
                    </w:rPr>
                  </w:pPr>
                  <w:r>
                    <w:rPr>
                      <w:bCs/>
                      <w:color w:val="auto"/>
                      <w:szCs w:val="21"/>
                    </w:rPr>
                    <w:t>玻壳</w:t>
                  </w:r>
                </w:p>
              </w:tc>
              <w:tc>
                <w:tcPr>
                  <w:tcW w:w="391" w:type="pct"/>
                  <w:vMerge w:val="continue"/>
                  <w:vAlign w:val="center"/>
                </w:tcPr>
                <w:p>
                  <w:pPr>
                    <w:jc w:val="center"/>
                    <w:rPr>
                      <w:bCs/>
                      <w:color w:val="auto"/>
                      <w:szCs w:val="21"/>
                    </w:rPr>
                  </w:pPr>
                </w:p>
              </w:tc>
              <w:tc>
                <w:tcPr>
                  <w:tcW w:w="791" w:type="pct"/>
                  <w:vMerge w:val="continue"/>
                  <w:vAlign w:val="center"/>
                </w:tcPr>
                <w:p>
                  <w:pPr>
                    <w:jc w:val="center"/>
                    <w:rPr>
                      <w:bCs/>
                      <w:color w:val="auto"/>
                      <w:szCs w:val="21"/>
                    </w:rPr>
                  </w:pPr>
                </w:p>
              </w:tc>
              <w:tc>
                <w:tcPr>
                  <w:tcW w:w="1169" w:type="pct"/>
                  <w:vMerge w:val="continue"/>
                  <w:vAlign w:val="center"/>
                </w:tcPr>
                <w:p>
                  <w:pPr>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48" w:hRule="atLeast"/>
                <w:tblHeader/>
                <w:jc w:val="center"/>
              </w:trPr>
              <w:tc>
                <w:tcPr>
                  <w:tcW w:w="304" w:type="pct"/>
                  <w:vMerge w:val="continue"/>
                  <w:vAlign w:val="center"/>
                </w:tcPr>
                <w:p>
                  <w:pPr>
                    <w:jc w:val="center"/>
                    <w:rPr>
                      <w:bCs/>
                      <w:color w:val="auto"/>
                      <w:szCs w:val="21"/>
                    </w:rPr>
                  </w:pPr>
                </w:p>
              </w:tc>
              <w:tc>
                <w:tcPr>
                  <w:tcW w:w="466" w:type="pct"/>
                  <w:vAlign w:val="center"/>
                </w:tcPr>
                <w:p>
                  <w:pPr>
                    <w:jc w:val="center"/>
                    <w:rPr>
                      <w:bCs/>
                      <w:color w:val="auto"/>
                      <w:szCs w:val="21"/>
                    </w:rPr>
                  </w:pPr>
                  <w:r>
                    <w:rPr>
                      <w:rFonts w:hint="eastAsia"/>
                      <w:bCs/>
                      <w:color w:val="auto"/>
                      <w:szCs w:val="21"/>
                    </w:rPr>
                    <w:t>W5</w:t>
                  </w:r>
                </w:p>
              </w:tc>
              <w:tc>
                <w:tcPr>
                  <w:tcW w:w="1877" w:type="pct"/>
                  <w:gridSpan w:val="2"/>
                  <w:vAlign w:val="center"/>
                </w:tcPr>
                <w:p>
                  <w:pPr>
                    <w:jc w:val="center"/>
                    <w:rPr>
                      <w:bCs/>
                      <w:color w:val="auto"/>
                      <w:szCs w:val="21"/>
                    </w:rPr>
                  </w:pPr>
                  <w:r>
                    <w:rPr>
                      <w:color w:val="auto"/>
                      <w:kern w:val="0"/>
                      <w:szCs w:val="21"/>
                    </w:rPr>
                    <w:t>废气处理喷淋水</w:t>
                  </w:r>
                </w:p>
              </w:tc>
              <w:tc>
                <w:tcPr>
                  <w:tcW w:w="1182" w:type="pct"/>
                  <w:gridSpan w:val="2"/>
                  <w:vAlign w:val="center"/>
                </w:tcPr>
                <w:p>
                  <w:pPr>
                    <w:jc w:val="center"/>
                    <w:rPr>
                      <w:bCs/>
                      <w:color w:val="auto"/>
                      <w:szCs w:val="21"/>
                    </w:rPr>
                  </w:pPr>
                  <w:r>
                    <w:rPr>
                      <w:bCs/>
                      <w:color w:val="auto"/>
                      <w:szCs w:val="21"/>
                    </w:rPr>
                    <w:t>pH</w:t>
                  </w:r>
                  <w:r>
                    <w:rPr>
                      <w:rFonts w:hint="eastAsia"/>
                      <w:bCs/>
                      <w:color w:val="auto"/>
                      <w:szCs w:val="21"/>
                    </w:rPr>
                    <w:t>、</w:t>
                  </w:r>
                  <w:r>
                    <w:rPr>
                      <w:bCs/>
                      <w:color w:val="auto"/>
                      <w:szCs w:val="21"/>
                    </w:rPr>
                    <w:t>COD</w:t>
                  </w:r>
                  <w:r>
                    <w:rPr>
                      <w:rFonts w:hint="eastAsia"/>
                      <w:bCs/>
                      <w:color w:val="auto"/>
                      <w:szCs w:val="21"/>
                    </w:rPr>
                    <w:t>、</w:t>
                  </w:r>
                  <w:r>
                    <w:rPr>
                      <w:bCs/>
                      <w:color w:val="auto"/>
                      <w:szCs w:val="21"/>
                    </w:rPr>
                    <w:t>SS</w:t>
                  </w:r>
                </w:p>
              </w:tc>
              <w:tc>
                <w:tcPr>
                  <w:tcW w:w="1169" w:type="pct"/>
                  <w:vMerge w:val="continue"/>
                  <w:vAlign w:val="center"/>
                </w:tcPr>
                <w:p>
                  <w:pPr>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blHeader/>
                <w:jc w:val="center"/>
              </w:trPr>
              <w:tc>
                <w:tcPr>
                  <w:tcW w:w="304" w:type="pct"/>
                  <w:vMerge w:val="continue"/>
                  <w:vAlign w:val="center"/>
                </w:tcPr>
                <w:p>
                  <w:pPr>
                    <w:jc w:val="center"/>
                    <w:rPr>
                      <w:bCs/>
                      <w:color w:val="auto"/>
                      <w:szCs w:val="21"/>
                    </w:rPr>
                  </w:pPr>
                </w:p>
              </w:tc>
              <w:tc>
                <w:tcPr>
                  <w:tcW w:w="466" w:type="pct"/>
                  <w:vAlign w:val="center"/>
                </w:tcPr>
                <w:p>
                  <w:pPr>
                    <w:jc w:val="center"/>
                    <w:rPr>
                      <w:bCs/>
                      <w:color w:val="auto"/>
                      <w:szCs w:val="21"/>
                    </w:rPr>
                  </w:pPr>
                  <w:r>
                    <w:rPr>
                      <w:rFonts w:hint="eastAsia"/>
                      <w:bCs/>
                      <w:color w:val="auto"/>
                      <w:szCs w:val="21"/>
                    </w:rPr>
                    <w:t>W6</w:t>
                  </w:r>
                </w:p>
              </w:tc>
              <w:tc>
                <w:tcPr>
                  <w:tcW w:w="1877" w:type="pct"/>
                  <w:gridSpan w:val="2"/>
                  <w:vAlign w:val="center"/>
                </w:tcPr>
                <w:p>
                  <w:pPr>
                    <w:jc w:val="center"/>
                    <w:rPr>
                      <w:bCs/>
                      <w:color w:val="auto"/>
                      <w:szCs w:val="21"/>
                    </w:rPr>
                  </w:pPr>
                  <w:r>
                    <w:rPr>
                      <w:color w:val="auto"/>
                      <w:kern w:val="0"/>
                      <w:szCs w:val="21"/>
                    </w:rPr>
                    <w:t>循环水排水</w:t>
                  </w:r>
                </w:p>
              </w:tc>
              <w:tc>
                <w:tcPr>
                  <w:tcW w:w="1182" w:type="pct"/>
                  <w:gridSpan w:val="2"/>
                  <w:vAlign w:val="center"/>
                </w:tcPr>
                <w:p>
                  <w:pPr>
                    <w:jc w:val="center"/>
                    <w:rPr>
                      <w:bCs/>
                      <w:color w:val="auto"/>
                      <w:szCs w:val="21"/>
                    </w:rPr>
                  </w:pPr>
                  <w:r>
                    <w:rPr>
                      <w:color w:val="auto"/>
                      <w:kern w:val="0"/>
                      <w:szCs w:val="21"/>
                    </w:rPr>
                    <w:t>COD</w:t>
                  </w:r>
                  <w:r>
                    <w:rPr>
                      <w:rFonts w:hint="eastAsia"/>
                      <w:color w:val="auto"/>
                      <w:kern w:val="0"/>
                      <w:szCs w:val="21"/>
                    </w:rPr>
                    <w:t>、</w:t>
                  </w:r>
                  <w:r>
                    <w:rPr>
                      <w:bCs/>
                      <w:color w:val="auto"/>
                      <w:szCs w:val="21"/>
                    </w:rPr>
                    <w:t>SS</w:t>
                  </w:r>
                </w:p>
              </w:tc>
              <w:tc>
                <w:tcPr>
                  <w:tcW w:w="1169" w:type="pct"/>
                  <w:vMerge w:val="restart"/>
                  <w:vAlign w:val="center"/>
                </w:tcPr>
                <w:p>
                  <w:pPr>
                    <w:jc w:val="center"/>
                    <w:rPr>
                      <w:color w:val="auto"/>
                      <w:szCs w:val="21"/>
                    </w:rPr>
                  </w:pPr>
                  <w:r>
                    <w:rPr>
                      <w:color w:val="auto"/>
                      <w:sz w:val="21"/>
                      <w:szCs w:val="21"/>
                    </w:rPr>
                    <w:t>排入江宁经济技术</w:t>
                  </w:r>
                  <w:r>
                    <w:rPr>
                      <w:rFonts w:hint="eastAsia"/>
                      <w:color w:val="auto"/>
                      <w:sz w:val="21"/>
                      <w:szCs w:val="21"/>
                    </w:rPr>
                    <w:t>开</w:t>
                  </w:r>
                  <w:r>
                    <w:rPr>
                      <w:color w:val="auto"/>
                      <w:sz w:val="21"/>
                      <w:szCs w:val="21"/>
                    </w:rPr>
                    <w:t>发区污水处理厂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blHeader/>
                <w:jc w:val="center"/>
              </w:trPr>
              <w:tc>
                <w:tcPr>
                  <w:tcW w:w="304" w:type="pct"/>
                  <w:vMerge w:val="continue"/>
                  <w:vAlign w:val="center"/>
                </w:tcPr>
                <w:p>
                  <w:pPr>
                    <w:jc w:val="center"/>
                    <w:rPr>
                      <w:bCs/>
                      <w:color w:val="auto"/>
                      <w:szCs w:val="21"/>
                    </w:rPr>
                  </w:pPr>
                </w:p>
              </w:tc>
              <w:tc>
                <w:tcPr>
                  <w:tcW w:w="466" w:type="pct"/>
                  <w:vAlign w:val="center"/>
                </w:tcPr>
                <w:p>
                  <w:pPr>
                    <w:jc w:val="center"/>
                    <w:rPr>
                      <w:bCs/>
                      <w:color w:val="auto"/>
                      <w:szCs w:val="21"/>
                    </w:rPr>
                  </w:pPr>
                  <w:r>
                    <w:rPr>
                      <w:rFonts w:hint="eastAsia"/>
                      <w:bCs/>
                      <w:color w:val="auto"/>
                      <w:szCs w:val="21"/>
                    </w:rPr>
                    <w:t>W7</w:t>
                  </w:r>
                </w:p>
              </w:tc>
              <w:tc>
                <w:tcPr>
                  <w:tcW w:w="1877" w:type="pct"/>
                  <w:gridSpan w:val="2"/>
                  <w:vAlign w:val="center"/>
                </w:tcPr>
                <w:p>
                  <w:pPr>
                    <w:jc w:val="center"/>
                    <w:rPr>
                      <w:bCs/>
                      <w:color w:val="auto"/>
                      <w:szCs w:val="21"/>
                    </w:rPr>
                  </w:pPr>
                  <w:r>
                    <w:rPr>
                      <w:rFonts w:hint="eastAsia"/>
                      <w:color w:val="auto"/>
                      <w:kern w:val="0"/>
                      <w:szCs w:val="21"/>
                    </w:rPr>
                    <w:t>纯水制备</w:t>
                  </w:r>
                  <w:r>
                    <w:rPr>
                      <w:color w:val="auto"/>
                      <w:kern w:val="0"/>
                      <w:szCs w:val="21"/>
                    </w:rPr>
                    <w:t>浓水</w:t>
                  </w:r>
                </w:p>
              </w:tc>
              <w:tc>
                <w:tcPr>
                  <w:tcW w:w="1182" w:type="pct"/>
                  <w:gridSpan w:val="2"/>
                  <w:vAlign w:val="center"/>
                </w:tcPr>
                <w:p>
                  <w:pPr>
                    <w:jc w:val="center"/>
                    <w:rPr>
                      <w:color w:val="auto"/>
                      <w:kern w:val="0"/>
                    </w:rPr>
                  </w:pPr>
                  <w:r>
                    <w:rPr>
                      <w:color w:val="auto"/>
                      <w:kern w:val="0"/>
                      <w:szCs w:val="21"/>
                    </w:rPr>
                    <w:t>COD</w:t>
                  </w:r>
                  <w:r>
                    <w:rPr>
                      <w:rFonts w:hint="eastAsia"/>
                      <w:color w:val="auto"/>
                      <w:kern w:val="0"/>
                      <w:szCs w:val="21"/>
                    </w:rPr>
                    <w:t>、SS、全盐量</w:t>
                  </w:r>
                </w:p>
              </w:tc>
              <w:tc>
                <w:tcPr>
                  <w:tcW w:w="1169" w:type="pct"/>
                  <w:vMerge w:val="continue"/>
                  <w:vAlign w:val="center"/>
                </w:tcPr>
                <w:p>
                  <w:pPr>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blHeader/>
                <w:jc w:val="center"/>
              </w:trPr>
              <w:tc>
                <w:tcPr>
                  <w:tcW w:w="304" w:type="pct"/>
                  <w:vMerge w:val="restart"/>
                  <w:vAlign w:val="center"/>
                </w:tcPr>
                <w:p>
                  <w:pPr>
                    <w:jc w:val="center"/>
                    <w:rPr>
                      <w:bCs/>
                      <w:color w:val="auto"/>
                      <w:szCs w:val="21"/>
                    </w:rPr>
                  </w:pPr>
                  <w:r>
                    <w:rPr>
                      <w:bCs/>
                      <w:color w:val="auto"/>
                      <w:szCs w:val="21"/>
                    </w:rPr>
                    <w:t>固废</w:t>
                  </w:r>
                </w:p>
              </w:tc>
              <w:tc>
                <w:tcPr>
                  <w:tcW w:w="466" w:type="pct"/>
                  <w:vAlign w:val="center"/>
                </w:tcPr>
                <w:p>
                  <w:pPr>
                    <w:jc w:val="center"/>
                    <w:rPr>
                      <w:bCs/>
                      <w:color w:val="auto"/>
                      <w:szCs w:val="21"/>
                    </w:rPr>
                  </w:pPr>
                  <w:r>
                    <w:rPr>
                      <w:bCs/>
                      <w:color w:val="auto"/>
                      <w:szCs w:val="21"/>
                    </w:rPr>
                    <w:t>S1</w:t>
                  </w:r>
                </w:p>
              </w:tc>
              <w:tc>
                <w:tcPr>
                  <w:tcW w:w="1877" w:type="pct"/>
                  <w:gridSpan w:val="2"/>
                  <w:vAlign w:val="center"/>
                </w:tcPr>
                <w:p>
                  <w:pPr>
                    <w:jc w:val="center"/>
                    <w:rPr>
                      <w:bCs/>
                      <w:color w:val="auto"/>
                      <w:szCs w:val="21"/>
                    </w:rPr>
                  </w:pPr>
                  <w:r>
                    <w:rPr>
                      <w:bCs/>
                      <w:color w:val="auto"/>
                      <w:szCs w:val="21"/>
                    </w:rPr>
                    <w:t>锑球制备</w:t>
                  </w:r>
                </w:p>
              </w:tc>
              <w:tc>
                <w:tcPr>
                  <w:tcW w:w="1182" w:type="pct"/>
                  <w:gridSpan w:val="2"/>
                  <w:vAlign w:val="center"/>
                </w:tcPr>
                <w:p>
                  <w:pPr>
                    <w:jc w:val="center"/>
                    <w:rPr>
                      <w:bCs/>
                      <w:color w:val="auto"/>
                      <w:szCs w:val="21"/>
                    </w:rPr>
                  </w:pPr>
                  <w:r>
                    <w:rPr>
                      <w:bCs/>
                      <w:color w:val="auto"/>
                      <w:szCs w:val="21"/>
                    </w:rPr>
                    <w:t>清洗废液</w:t>
                  </w:r>
                </w:p>
              </w:tc>
              <w:tc>
                <w:tcPr>
                  <w:tcW w:w="1169" w:type="pct"/>
                  <w:vMerge w:val="restart"/>
                  <w:vAlign w:val="center"/>
                </w:tcPr>
                <w:p>
                  <w:pPr>
                    <w:jc w:val="center"/>
                    <w:rPr>
                      <w:color w:val="auto"/>
                      <w:kern w:val="0"/>
                    </w:rPr>
                  </w:pPr>
                  <w:r>
                    <w:rPr>
                      <w:rFonts w:hint="eastAsia"/>
                      <w:color w:val="auto"/>
                      <w:kern w:val="0"/>
                      <w:szCs w:val="21"/>
                      <w:lang w:eastAsia="zh-CN"/>
                    </w:rPr>
                    <w:t>依托现有危废间暂存，送有资质单位处理。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blHeader/>
                <w:jc w:val="center"/>
              </w:trPr>
              <w:tc>
                <w:tcPr>
                  <w:tcW w:w="304" w:type="pct"/>
                  <w:vMerge w:val="continue"/>
                  <w:vAlign w:val="center"/>
                </w:tcPr>
                <w:p>
                  <w:pPr>
                    <w:jc w:val="center"/>
                    <w:rPr>
                      <w:bCs/>
                      <w:color w:val="auto"/>
                      <w:szCs w:val="21"/>
                    </w:rPr>
                  </w:pPr>
                </w:p>
              </w:tc>
              <w:tc>
                <w:tcPr>
                  <w:tcW w:w="466" w:type="pct"/>
                  <w:tcBorders>
                    <w:bottom w:val="single" w:color="auto" w:sz="4" w:space="0"/>
                  </w:tcBorders>
                  <w:vAlign w:val="center"/>
                </w:tcPr>
                <w:p>
                  <w:pPr>
                    <w:jc w:val="center"/>
                    <w:rPr>
                      <w:bCs/>
                      <w:color w:val="auto"/>
                      <w:szCs w:val="21"/>
                    </w:rPr>
                  </w:pPr>
                  <w:r>
                    <w:rPr>
                      <w:bCs/>
                      <w:color w:val="auto"/>
                      <w:szCs w:val="21"/>
                    </w:rPr>
                    <w:t>S2</w:t>
                  </w:r>
                </w:p>
              </w:tc>
              <w:tc>
                <w:tcPr>
                  <w:tcW w:w="1877" w:type="pct"/>
                  <w:gridSpan w:val="2"/>
                  <w:tcBorders>
                    <w:bottom w:val="single" w:color="auto" w:sz="4" w:space="0"/>
                  </w:tcBorders>
                  <w:vAlign w:val="center"/>
                </w:tcPr>
                <w:p>
                  <w:pPr>
                    <w:jc w:val="center"/>
                    <w:rPr>
                      <w:bCs/>
                      <w:color w:val="auto"/>
                      <w:szCs w:val="21"/>
                    </w:rPr>
                  </w:pPr>
                  <w:r>
                    <w:rPr>
                      <w:bCs/>
                      <w:color w:val="auto"/>
                      <w:szCs w:val="21"/>
                    </w:rPr>
                    <w:t>锰球制备</w:t>
                  </w:r>
                </w:p>
              </w:tc>
              <w:tc>
                <w:tcPr>
                  <w:tcW w:w="1182" w:type="pct"/>
                  <w:gridSpan w:val="2"/>
                  <w:tcBorders>
                    <w:bottom w:val="single" w:color="auto" w:sz="4" w:space="0"/>
                  </w:tcBorders>
                  <w:vAlign w:val="center"/>
                </w:tcPr>
                <w:p>
                  <w:pPr>
                    <w:jc w:val="center"/>
                    <w:rPr>
                      <w:bCs/>
                      <w:color w:val="auto"/>
                      <w:szCs w:val="21"/>
                    </w:rPr>
                  </w:pPr>
                  <w:r>
                    <w:rPr>
                      <w:bCs/>
                      <w:color w:val="auto"/>
                      <w:szCs w:val="21"/>
                    </w:rPr>
                    <w:t>清洗废液</w:t>
                  </w:r>
                </w:p>
              </w:tc>
              <w:tc>
                <w:tcPr>
                  <w:tcW w:w="1169" w:type="pct"/>
                  <w:vMerge w:val="continue"/>
                  <w:vAlign w:val="center"/>
                </w:tcPr>
                <w:p>
                  <w:pPr>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blHeader/>
                <w:jc w:val="center"/>
              </w:trPr>
              <w:tc>
                <w:tcPr>
                  <w:tcW w:w="304" w:type="pct"/>
                  <w:vMerge w:val="continue"/>
                  <w:vAlign w:val="center"/>
                </w:tcPr>
                <w:p>
                  <w:pPr>
                    <w:jc w:val="center"/>
                    <w:rPr>
                      <w:bCs/>
                      <w:color w:val="auto"/>
                      <w:szCs w:val="21"/>
                    </w:rPr>
                  </w:pPr>
                </w:p>
              </w:tc>
              <w:tc>
                <w:tcPr>
                  <w:tcW w:w="466" w:type="pct"/>
                  <w:vAlign w:val="center"/>
                </w:tcPr>
                <w:p>
                  <w:pPr>
                    <w:jc w:val="center"/>
                    <w:rPr>
                      <w:bCs/>
                      <w:color w:val="auto"/>
                      <w:szCs w:val="21"/>
                    </w:rPr>
                  </w:pPr>
                  <w:r>
                    <w:rPr>
                      <w:bCs/>
                      <w:color w:val="auto"/>
                      <w:szCs w:val="21"/>
                    </w:rPr>
                    <w:t>S3</w:t>
                  </w:r>
                </w:p>
              </w:tc>
              <w:tc>
                <w:tcPr>
                  <w:tcW w:w="1877" w:type="pct"/>
                  <w:gridSpan w:val="2"/>
                  <w:vAlign w:val="center"/>
                </w:tcPr>
                <w:p>
                  <w:pPr>
                    <w:jc w:val="center"/>
                    <w:rPr>
                      <w:bCs/>
                      <w:color w:val="auto"/>
                      <w:szCs w:val="21"/>
                    </w:rPr>
                  </w:pPr>
                  <w:r>
                    <w:rPr>
                      <w:bCs/>
                      <w:color w:val="auto"/>
                      <w:szCs w:val="21"/>
                    </w:rPr>
                    <w:t>锰球制</w:t>
                  </w:r>
                  <w:r>
                    <w:rPr>
                      <w:rFonts w:hint="eastAsia"/>
                      <w:bCs/>
                      <w:color w:val="auto"/>
                      <w:szCs w:val="21"/>
                    </w:rPr>
                    <w:t>备</w:t>
                  </w:r>
                </w:p>
              </w:tc>
              <w:tc>
                <w:tcPr>
                  <w:tcW w:w="1182" w:type="pct"/>
                  <w:gridSpan w:val="2"/>
                  <w:vAlign w:val="center"/>
                </w:tcPr>
                <w:p>
                  <w:pPr>
                    <w:jc w:val="center"/>
                    <w:rPr>
                      <w:color w:val="auto"/>
                    </w:rPr>
                  </w:pPr>
                  <w:r>
                    <w:rPr>
                      <w:color w:val="auto"/>
                    </w:rPr>
                    <w:t>清洗废液</w:t>
                  </w:r>
                </w:p>
              </w:tc>
              <w:tc>
                <w:tcPr>
                  <w:tcW w:w="1169" w:type="pct"/>
                  <w:vMerge w:val="continue"/>
                  <w:vAlign w:val="center"/>
                </w:tcPr>
                <w:p>
                  <w:pPr>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blHeader/>
                <w:jc w:val="center"/>
              </w:trPr>
              <w:tc>
                <w:tcPr>
                  <w:tcW w:w="304" w:type="pct"/>
                  <w:vMerge w:val="continue"/>
                  <w:vAlign w:val="center"/>
                </w:tcPr>
                <w:p>
                  <w:pPr>
                    <w:jc w:val="center"/>
                    <w:rPr>
                      <w:bCs/>
                      <w:color w:val="auto"/>
                      <w:szCs w:val="21"/>
                    </w:rPr>
                  </w:pPr>
                </w:p>
              </w:tc>
              <w:tc>
                <w:tcPr>
                  <w:tcW w:w="466" w:type="pct"/>
                  <w:vAlign w:val="center"/>
                </w:tcPr>
                <w:p>
                  <w:pPr>
                    <w:jc w:val="center"/>
                    <w:rPr>
                      <w:bCs/>
                      <w:color w:val="auto"/>
                      <w:szCs w:val="21"/>
                    </w:rPr>
                  </w:pPr>
                  <w:r>
                    <w:rPr>
                      <w:bCs/>
                      <w:color w:val="auto"/>
                      <w:szCs w:val="21"/>
                    </w:rPr>
                    <w:t>S4</w:t>
                  </w:r>
                </w:p>
              </w:tc>
              <w:tc>
                <w:tcPr>
                  <w:tcW w:w="1877" w:type="pct"/>
                  <w:gridSpan w:val="2"/>
                  <w:vAlign w:val="center"/>
                </w:tcPr>
                <w:p>
                  <w:pPr>
                    <w:jc w:val="center"/>
                    <w:rPr>
                      <w:bCs/>
                      <w:color w:val="auto"/>
                      <w:szCs w:val="21"/>
                    </w:rPr>
                  </w:pPr>
                  <w:r>
                    <w:rPr>
                      <w:bCs/>
                      <w:color w:val="auto"/>
                      <w:szCs w:val="21"/>
                    </w:rPr>
                    <w:t>陶瓷零部件</w:t>
                  </w:r>
                </w:p>
              </w:tc>
              <w:tc>
                <w:tcPr>
                  <w:tcW w:w="1182" w:type="pct"/>
                  <w:gridSpan w:val="2"/>
                  <w:vAlign w:val="center"/>
                </w:tcPr>
                <w:p>
                  <w:pPr>
                    <w:jc w:val="center"/>
                    <w:rPr>
                      <w:color w:val="auto"/>
                    </w:rPr>
                  </w:pPr>
                  <w:r>
                    <w:rPr>
                      <w:color w:val="auto"/>
                    </w:rPr>
                    <w:t>清洗废液</w:t>
                  </w:r>
                </w:p>
              </w:tc>
              <w:tc>
                <w:tcPr>
                  <w:tcW w:w="1169" w:type="pct"/>
                  <w:vMerge w:val="continue"/>
                  <w:vAlign w:val="center"/>
                </w:tcPr>
                <w:p>
                  <w:pPr>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blHeader/>
                <w:jc w:val="center"/>
              </w:trPr>
              <w:tc>
                <w:tcPr>
                  <w:tcW w:w="304" w:type="pct"/>
                  <w:vMerge w:val="continue"/>
                  <w:vAlign w:val="center"/>
                </w:tcPr>
                <w:p>
                  <w:pPr>
                    <w:jc w:val="center"/>
                    <w:rPr>
                      <w:bCs/>
                      <w:color w:val="auto"/>
                      <w:szCs w:val="21"/>
                    </w:rPr>
                  </w:pPr>
                </w:p>
              </w:tc>
              <w:tc>
                <w:tcPr>
                  <w:tcW w:w="466" w:type="pct"/>
                  <w:vAlign w:val="center"/>
                </w:tcPr>
                <w:p>
                  <w:pPr>
                    <w:jc w:val="center"/>
                    <w:rPr>
                      <w:bCs/>
                      <w:color w:val="auto"/>
                      <w:szCs w:val="21"/>
                    </w:rPr>
                  </w:pPr>
                  <w:r>
                    <w:rPr>
                      <w:bCs/>
                      <w:color w:val="auto"/>
                      <w:szCs w:val="21"/>
                    </w:rPr>
                    <w:t>S</w:t>
                  </w:r>
                  <w:r>
                    <w:rPr>
                      <w:rFonts w:hint="eastAsia"/>
                      <w:bCs/>
                      <w:color w:val="auto"/>
                      <w:szCs w:val="21"/>
                    </w:rPr>
                    <w:t>5</w:t>
                  </w:r>
                </w:p>
              </w:tc>
              <w:tc>
                <w:tcPr>
                  <w:tcW w:w="1877" w:type="pct"/>
                  <w:gridSpan w:val="2"/>
                  <w:vAlign w:val="center"/>
                </w:tcPr>
                <w:p>
                  <w:pPr>
                    <w:jc w:val="center"/>
                    <w:rPr>
                      <w:bCs/>
                      <w:color w:val="auto"/>
                      <w:szCs w:val="21"/>
                    </w:rPr>
                  </w:pPr>
                  <w:r>
                    <w:rPr>
                      <w:bCs/>
                      <w:color w:val="auto"/>
                      <w:szCs w:val="21"/>
                    </w:rPr>
                    <w:t>玻壳</w:t>
                  </w:r>
                </w:p>
              </w:tc>
              <w:tc>
                <w:tcPr>
                  <w:tcW w:w="1182" w:type="pct"/>
                  <w:gridSpan w:val="2"/>
                  <w:vAlign w:val="center"/>
                </w:tcPr>
                <w:p>
                  <w:pPr>
                    <w:jc w:val="center"/>
                    <w:rPr>
                      <w:color w:val="auto"/>
                    </w:rPr>
                  </w:pPr>
                  <w:r>
                    <w:rPr>
                      <w:color w:val="auto"/>
                    </w:rPr>
                    <w:t>清洗废液</w:t>
                  </w:r>
                </w:p>
              </w:tc>
              <w:tc>
                <w:tcPr>
                  <w:tcW w:w="1169" w:type="pct"/>
                  <w:vMerge w:val="continue"/>
                  <w:vAlign w:val="center"/>
                </w:tcPr>
                <w:p>
                  <w:pPr>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blHeader/>
                <w:jc w:val="center"/>
              </w:trPr>
              <w:tc>
                <w:tcPr>
                  <w:tcW w:w="304" w:type="pct"/>
                  <w:vMerge w:val="continue"/>
                  <w:vAlign w:val="center"/>
                </w:tcPr>
                <w:p>
                  <w:pPr>
                    <w:jc w:val="center"/>
                    <w:rPr>
                      <w:bCs/>
                      <w:color w:val="auto"/>
                      <w:szCs w:val="21"/>
                    </w:rPr>
                  </w:pPr>
                </w:p>
              </w:tc>
              <w:tc>
                <w:tcPr>
                  <w:tcW w:w="466" w:type="pct"/>
                  <w:vAlign w:val="center"/>
                </w:tcPr>
                <w:p>
                  <w:pPr>
                    <w:jc w:val="center"/>
                    <w:rPr>
                      <w:bCs/>
                      <w:color w:val="auto"/>
                      <w:szCs w:val="21"/>
                    </w:rPr>
                  </w:pPr>
                  <w:r>
                    <w:rPr>
                      <w:bCs/>
                      <w:color w:val="auto"/>
                      <w:szCs w:val="21"/>
                    </w:rPr>
                    <w:t>S</w:t>
                  </w:r>
                  <w:r>
                    <w:rPr>
                      <w:rFonts w:hint="eastAsia"/>
                      <w:bCs/>
                      <w:color w:val="auto"/>
                      <w:szCs w:val="21"/>
                    </w:rPr>
                    <w:t>6</w:t>
                  </w:r>
                </w:p>
              </w:tc>
              <w:tc>
                <w:tcPr>
                  <w:tcW w:w="1877" w:type="pct"/>
                  <w:gridSpan w:val="2"/>
                  <w:vAlign w:val="center"/>
                </w:tcPr>
                <w:p>
                  <w:pPr>
                    <w:jc w:val="center"/>
                    <w:rPr>
                      <w:bCs/>
                      <w:color w:val="auto"/>
                      <w:szCs w:val="21"/>
                    </w:rPr>
                  </w:pPr>
                  <w:r>
                    <w:rPr>
                      <w:color w:val="auto"/>
                      <w:szCs w:val="21"/>
                    </w:rPr>
                    <w:t>产品制作</w:t>
                  </w:r>
                </w:p>
              </w:tc>
              <w:tc>
                <w:tcPr>
                  <w:tcW w:w="1182" w:type="pct"/>
                  <w:gridSpan w:val="2"/>
                  <w:vAlign w:val="center"/>
                </w:tcPr>
                <w:p>
                  <w:pPr>
                    <w:jc w:val="center"/>
                    <w:rPr>
                      <w:color w:val="auto"/>
                      <w:szCs w:val="21"/>
                    </w:rPr>
                  </w:pPr>
                  <w:r>
                    <w:rPr>
                      <w:bCs/>
                      <w:color w:val="auto"/>
                      <w:szCs w:val="21"/>
                    </w:rPr>
                    <w:t>不合格件</w:t>
                  </w:r>
                </w:p>
              </w:tc>
              <w:tc>
                <w:tcPr>
                  <w:tcW w:w="1169" w:type="pct"/>
                  <w:vMerge w:val="continue"/>
                  <w:vAlign w:val="center"/>
                </w:tcPr>
                <w:p>
                  <w:pPr>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blHeader/>
                <w:jc w:val="center"/>
              </w:trPr>
              <w:tc>
                <w:tcPr>
                  <w:tcW w:w="304" w:type="pct"/>
                  <w:vMerge w:val="continue"/>
                  <w:vAlign w:val="center"/>
                </w:tcPr>
                <w:p>
                  <w:pPr>
                    <w:jc w:val="center"/>
                    <w:rPr>
                      <w:bCs/>
                      <w:color w:val="auto"/>
                      <w:szCs w:val="21"/>
                    </w:rPr>
                  </w:pPr>
                </w:p>
              </w:tc>
              <w:tc>
                <w:tcPr>
                  <w:tcW w:w="466" w:type="pct"/>
                  <w:vAlign w:val="center"/>
                </w:tcPr>
                <w:p>
                  <w:pPr>
                    <w:jc w:val="center"/>
                    <w:rPr>
                      <w:bCs/>
                      <w:color w:val="auto"/>
                      <w:szCs w:val="21"/>
                    </w:rPr>
                  </w:pPr>
                  <w:r>
                    <w:rPr>
                      <w:bCs/>
                      <w:color w:val="auto"/>
                      <w:szCs w:val="21"/>
                    </w:rPr>
                    <w:t>S</w:t>
                  </w:r>
                  <w:r>
                    <w:rPr>
                      <w:rFonts w:hint="eastAsia"/>
                      <w:bCs/>
                      <w:color w:val="auto"/>
                      <w:szCs w:val="21"/>
                    </w:rPr>
                    <w:t>7</w:t>
                  </w:r>
                </w:p>
              </w:tc>
              <w:tc>
                <w:tcPr>
                  <w:tcW w:w="1877" w:type="pct"/>
                  <w:gridSpan w:val="2"/>
                  <w:vAlign w:val="center"/>
                </w:tcPr>
                <w:p>
                  <w:pPr>
                    <w:jc w:val="center"/>
                    <w:rPr>
                      <w:bCs/>
                      <w:color w:val="auto"/>
                      <w:szCs w:val="21"/>
                    </w:rPr>
                  </w:pPr>
                  <w:r>
                    <w:rPr>
                      <w:bCs/>
                      <w:color w:val="auto"/>
                      <w:szCs w:val="21"/>
                    </w:rPr>
                    <w:t>纯水制备</w:t>
                  </w:r>
                </w:p>
              </w:tc>
              <w:tc>
                <w:tcPr>
                  <w:tcW w:w="1182" w:type="pct"/>
                  <w:gridSpan w:val="2"/>
                  <w:vAlign w:val="center"/>
                </w:tcPr>
                <w:p>
                  <w:pPr>
                    <w:jc w:val="center"/>
                    <w:rPr>
                      <w:color w:val="auto"/>
                      <w:szCs w:val="21"/>
                    </w:rPr>
                  </w:pPr>
                  <w:r>
                    <w:rPr>
                      <w:color w:val="auto"/>
                      <w:szCs w:val="21"/>
                    </w:rPr>
                    <w:t>废过滤筒</w:t>
                  </w:r>
                </w:p>
              </w:tc>
              <w:tc>
                <w:tcPr>
                  <w:tcW w:w="1169" w:type="pct"/>
                  <w:vMerge w:val="continue"/>
                  <w:vAlign w:val="center"/>
                </w:tcPr>
                <w:p>
                  <w:pPr>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blHeader/>
                <w:jc w:val="center"/>
              </w:trPr>
              <w:tc>
                <w:tcPr>
                  <w:tcW w:w="304" w:type="pct"/>
                  <w:vMerge w:val="continue"/>
                  <w:vAlign w:val="center"/>
                </w:tcPr>
                <w:p>
                  <w:pPr>
                    <w:jc w:val="center"/>
                    <w:rPr>
                      <w:bCs/>
                      <w:color w:val="auto"/>
                      <w:szCs w:val="21"/>
                    </w:rPr>
                  </w:pPr>
                </w:p>
              </w:tc>
              <w:tc>
                <w:tcPr>
                  <w:tcW w:w="466" w:type="pct"/>
                  <w:vAlign w:val="center"/>
                </w:tcPr>
                <w:p>
                  <w:pPr>
                    <w:jc w:val="center"/>
                    <w:rPr>
                      <w:bCs/>
                      <w:color w:val="auto"/>
                      <w:szCs w:val="21"/>
                    </w:rPr>
                  </w:pPr>
                  <w:r>
                    <w:rPr>
                      <w:bCs/>
                      <w:color w:val="auto"/>
                      <w:szCs w:val="21"/>
                    </w:rPr>
                    <w:t>S</w:t>
                  </w:r>
                  <w:r>
                    <w:rPr>
                      <w:rFonts w:hint="eastAsia"/>
                      <w:bCs/>
                      <w:color w:val="auto"/>
                      <w:szCs w:val="21"/>
                    </w:rPr>
                    <w:t>8</w:t>
                  </w:r>
                </w:p>
              </w:tc>
              <w:tc>
                <w:tcPr>
                  <w:tcW w:w="1877" w:type="pct"/>
                  <w:gridSpan w:val="2"/>
                  <w:vAlign w:val="center"/>
                </w:tcPr>
                <w:p>
                  <w:pPr>
                    <w:jc w:val="center"/>
                    <w:rPr>
                      <w:bCs/>
                      <w:color w:val="auto"/>
                      <w:szCs w:val="21"/>
                    </w:rPr>
                  </w:pPr>
                  <w:r>
                    <w:rPr>
                      <w:bCs/>
                      <w:color w:val="auto"/>
                      <w:szCs w:val="21"/>
                    </w:rPr>
                    <w:t>清洗工序</w:t>
                  </w:r>
                </w:p>
              </w:tc>
              <w:tc>
                <w:tcPr>
                  <w:tcW w:w="1182" w:type="pct"/>
                  <w:gridSpan w:val="2"/>
                  <w:vAlign w:val="center"/>
                </w:tcPr>
                <w:p>
                  <w:pPr>
                    <w:jc w:val="center"/>
                    <w:rPr>
                      <w:color w:val="auto"/>
                      <w:szCs w:val="21"/>
                    </w:rPr>
                  </w:pPr>
                  <w:r>
                    <w:rPr>
                      <w:bCs/>
                      <w:color w:val="auto"/>
                      <w:szCs w:val="21"/>
                    </w:rPr>
                    <w:t>废包装瓶</w:t>
                  </w:r>
                </w:p>
              </w:tc>
              <w:tc>
                <w:tcPr>
                  <w:tcW w:w="1169" w:type="pct"/>
                  <w:vMerge w:val="continue"/>
                  <w:vAlign w:val="center"/>
                </w:tcPr>
                <w:p>
                  <w:pPr>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blHeader/>
                <w:jc w:val="center"/>
              </w:trPr>
              <w:tc>
                <w:tcPr>
                  <w:tcW w:w="304" w:type="pct"/>
                  <w:vMerge w:val="continue"/>
                  <w:vAlign w:val="center"/>
                </w:tcPr>
                <w:p>
                  <w:pPr>
                    <w:jc w:val="center"/>
                    <w:rPr>
                      <w:bCs/>
                      <w:color w:val="auto"/>
                      <w:szCs w:val="21"/>
                    </w:rPr>
                  </w:pPr>
                </w:p>
              </w:tc>
              <w:tc>
                <w:tcPr>
                  <w:tcW w:w="466" w:type="pct"/>
                  <w:vAlign w:val="center"/>
                </w:tcPr>
                <w:p>
                  <w:pPr>
                    <w:jc w:val="center"/>
                    <w:rPr>
                      <w:bCs/>
                      <w:color w:val="auto"/>
                      <w:szCs w:val="21"/>
                    </w:rPr>
                  </w:pPr>
                  <w:r>
                    <w:rPr>
                      <w:bCs/>
                      <w:color w:val="auto"/>
                      <w:szCs w:val="21"/>
                    </w:rPr>
                    <w:t>S</w:t>
                  </w:r>
                  <w:r>
                    <w:rPr>
                      <w:rFonts w:hint="eastAsia"/>
                      <w:bCs/>
                      <w:color w:val="auto"/>
                      <w:szCs w:val="21"/>
                    </w:rPr>
                    <w:t>9</w:t>
                  </w:r>
                </w:p>
              </w:tc>
              <w:tc>
                <w:tcPr>
                  <w:tcW w:w="1877" w:type="pct"/>
                  <w:gridSpan w:val="2"/>
                  <w:vAlign w:val="center"/>
                </w:tcPr>
                <w:p>
                  <w:pPr>
                    <w:jc w:val="center"/>
                    <w:rPr>
                      <w:bCs/>
                      <w:color w:val="auto"/>
                      <w:szCs w:val="21"/>
                    </w:rPr>
                  </w:pPr>
                  <w:r>
                    <w:rPr>
                      <w:bCs/>
                      <w:color w:val="auto"/>
                      <w:szCs w:val="21"/>
                    </w:rPr>
                    <w:t>清洗工序</w:t>
                  </w:r>
                </w:p>
              </w:tc>
              <w:tc>
                <w:tcPr>
                  <w:tcW w:w="1182" w:type="pct"/>
                  <w:gridSpan w:val="2"/>
                  <w:vAlign w:val="center"/>
                </w:tcPr>
                <w:p>
                  <w:pPr>
                    <w:jc w:val="center"/>
                    <w:rPr>
                      <w:bCs/>
                      <w:color w:val="auto"/>
                      <w:szCs w:val="21"/>
                    </w:rPr>
                  </w:pPr>
                  <w:r>
                    <w:rPr>
                      <w:bCs/>
                      <w:color w:val="auto"/>
                      <w:szCs w:val="21"/>
                    </w:rPr>
                    <w:t>废润滑油</w:t>
                  </w:r>
                </w:p>
              </w:tc>
              <w:tc>
                <w:tcPr>
                  <w:tcW w:w="1169" w:type="pct"/>
                  <w:vMerge w:val="continue"/>
                  <w:vAlign w:val="center"/>
                </w:tcPr>
                <w:p>
                  <w:pPr>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blHeader/>
                <w:jc w:val="center"/>
              </w:trPr>
              <w:tc>
                <w:tcPr>
                  <w:tcW w:w="304" w:type="pct"/>
                  <w:vMerge w:val="continue"/>
                  <w:vAlign w:val="center"/>
                </w:tcPr>
                <w:p>
                  <w:pPr>
                    <w:jc w:val="center"/>
                    <w:rPr>
                      <w:bCs/>
                      <w:color w:val="auto"/>
                      <w:szCs w:val="21"/>
                    </w:rPr>
                  </w:pPr>
                </w:p>
              </w:tc>
              <w:tc>
                <w:tcPr>
                  <w:tcW w:w="466" w:type="pct"/>
                  <w:vAlign w:val="center"/>
                </w:tcPr>
                <w:p>
                  <w:pPr>
                    <w:jc w:val="center"/>
                    <w:rPr>
                      <w:bCs/>
                      <w:color w:val="auto"/>
                      <w:szCs w:val="21"/>
                    </w:rPr>
                  </w:pPr>
                  <w:r>
                    <w:rPr>
                      <w:bCs/>
                      <w:color w:val="auto"/>
                      <w:szCs w:val="21"/>
                    </w:rPr>
                    <w:t>S</w:t>
                  </w:r>
                  <w:r>
                    <w:rPr>
                      <w:rFonts w:hint="eastAsia"/>
                      <w:bCs/>
                      <w:color w:val="auto"/>
                      <w:szCs w:val="21"/>
                    </w:rPr>
                    <w:t>10</w:t>
                  </w:r>
                </w:p>
              </w:tc>
              <w:tc>
                <w:tcPr>
                  <w:tcW w:w="1877" w:type="pct"/>
                  <w:gridSpan w:val="2"/>
                  <w:vAlign w:val="center"/>
                </w:tcPr>
                <w:p>
                  <w:pPr>
                    <w:jc w:val="center"/>
                    <w:rPr>
                      <w:bCs/>
                      <w:color w:val="auto"/>
                      <w:szCs w:val="21"/>
                    </w:rPr>
                  </w:pPr>
                  <w:r>
                    <w:rPr>
                      <w:bCs/>
                      <w:color w:val="auto"/>
                      <w:szCs w:val="21"/>
                    </w:rPr>
                    <w:t>废气处理</w:t>
                  </w:r>
                </w:p>
              </w:tc>
              <w:tc>
                <w:tcPr>
                  <w:tcW w:w="1182" w:type="pct"/>
                  <w:gridSpan w:val="2"/>
                  <w:vAlign w:val="center"/>
                </w:tcPr>
                <w:p>
                  <w:pPr>
                    <w:jc w:val="center"/>
                    <w:rPr>
                      <w:bCs/>
                      <w:color w:val="auto"/>
                      <w:szCs w:val="21"/>
                    </w:rPr>
                  </w:pPr>
                  <w:r>
                    <w:rPr>
                      <w:bCs/>
                      <w:color w:val="auto"/>
                      <w:szCs w:val="21"/>
                    </w:rPr>
                    <w:t>废活性炭</w:t>
                  </w:r>
                </w:p>
              </w:tc>
              <w:tc>
                <w:tcPr>
                  <w:tcW w:w="1169" w:type="pct"/>
                  <w:vMerge w:val="continue"/>
                  <w:vAlign w:val="center"/>
                </w:tcPr>
                <w:p>
                  <w:pPr>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blHeader/>
                <w:jc w:val="center"/>
              </w:trPr>
              <w:tc>
                <w:tcPr>
                  <w:tcW w:w="304" w:type="pct"/>
                  <w:vMerge w:val="restart"/>
                  <w:vAlign w:val="center"/>
                </w:tcPr>
                <w:p>
                  <w:pPr>
                    <w:jc w:val="center"/>
                    <w:rPr>
                      <w:bCs/>
                      <w:color w:val="auto"/>
                      <w:szCs w:val="21"/>
                    </w:rPr>
                  </w:pPr>
                  <w:r>
                    <w:rPr>
                      <w:bCs/>
                      <w:color w:val="auto"/>
                      <w:szCs w:val="21"/>
                    </w:rPr>
                    <w:t>噪声</w:t>
                  </w:r>
                </w:p>
              </w:tc>
              <w:tc>
                <w:tcPr>
                  <w:tcW w:w="466" w:type="pct"/>
                  <w:vAlign w:val="center"/>
                </w:tcPr>
                <w:p>
                  <w:pPr>
                    <w:jc w:val="center"/>
                    <w:rPr>
                      <w:bCs/>
                      <w:color w:val="auto"/>
                      <w:szCs w:val="21"/>
                    </w:rPr>
                  </w:pPr>
                  <w:r>
                    <w:rPr>
                      <w:bCs/>
                      <w:color w:val="auto"/>
                      <w:szCs w:val="21"/>
                    </w:rPr>
                    <w:t>N</w:t>
                  </w:r>
                  <w:r>
                    <w:rPr>
                      <w:bCs/>
                      <w:color w:val="auto"/>
                      <w:szCs w:val="21"/>
                      <w:vertAlign w:val="subscript"/>
                    </w:rPr>
                    <w:t>1</w:t>
                  </w:r>
                </w:p>
              </w:tc>
              <w:tc>
                <w:tcPr>
                  <w:tcW w:w="1877" w:type="pct"/>
                  <w:gridSpan w:val="2"/>
                  <w:vAlign w:val="center"/>
                </w:tcPr>
                <w:p>
                  <w:pPr>
                    <w:jc w:val="center"/>
                    <w:rPr>
                      <w:bCs/>
                      <w:color w:val="auto"/>
                      <w:szCs w:val="21"/>
                    </w:rPr>
                  </w:pPr>
                  <w:r>
                    <w:rPr>
                      <w:bCs/>
                      <w:color w:val="auto"/>
                      <w:szCs w:val="21"/>
                    </w:rPr>
                    <w:t>清洗噪声</w:t>
                  </w:r>
                </w:p>
              </w:tc>
              <w:tc>
                <w:tcPr>
                  <w:tcW w:w="1182" w:type="pct"/>
                  <w:gridSpan w:val="2"/>
                  <w:vAlign w:val="center"/>
                </w:tcPr>
                <w:p>
                  <w:pPr>
                    <w:jc w:val="center"/>
                    <w:rPr>
                      <w:color w:val="auto"/>
                    </w:rPr>
                  </w:pPr>
                  <w:r>
                    <w:rPr>
                      <w:color w:val="auto"/>
                      <w:szCs w:val="21"/>
                    </w:rPr>
                    <w:t>Leq(A)</w:t>
                  </w:r>
                </w:p>
              </w:tc>
              <w:tc>
                <w:tcPr>
                  <w:tcW w:w="1169" w:type="pct"/>
                  <w:vMerge w:val="restart"/>
                  <w:vAlign w:val="center"/>
                </w:tcPr>
                <w:p>
                  <w:pPr>
                    <w:jc w:val="center"/>
                    <w:rPr>
                      <w:color w:val="auto"/>
                      <w:szCs w:val="21"/>
                    </w:rPr>
                  </w:pPr>
                  <w:r>
                    <w:rPr>
                      <w:color w:val="auto"/>
                      <w:szCs w:val="21"/>
                    </w:rPr>
                    <w:t>减振、消声、隔音、距离</w:t>
                  </w:r>
                  <w:r>
                    <w:rPr>
                      <w:color w:val="auto"/>
                      <w:szCs w:val="21"/>
                    </w:rPr>
                    <w:cr/>
                  </w:r>
                  <w:r>
                    <w:rPr>
                      <w:color w:val="auto"/>
                      <w:szCs w:val="21"/>
                    </w:rPr>
                    <w:t>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blHeader/>
                <w:jc w:val="center"/>
              </w:trPr>
              <w:tc>
                <w:tcPr>
                  <w:tcW w:w="304" w:type="pct"/>
                  <w:vMerge w:val="continue"/>
                  <w:vAlign w:val="center"/>
                </w:tcPr>
                <w:p>
                  <w:pPr>
                    <w:jc w:val="center"/>
                    <w:rPr>
                      <w:bCs/>
                      <w:color w:val="auto"/>
                      <w:szCs w:val="21"/>
                    </w:rPr>
                  </w:pPr>
                </w:p>
              </w:tc>
              <w:tc>
                <w:tcPr>
                  <w:tcW w:w="466" w:type="pct"/>
                  <w:vAlign w:val="center"/>
                </w:tcPr>
                <w:p>
                  <w:pPr>
                    <w:jc w:val="center"/>
                    <w:rPr>
                      <w:bCs/>
                      <w:color w:val="auto"/>
                      <w:szCs w:val="21"/>
                    </w:rPr>
                  </w:pPr>
                  <w:r>
                    <w:rPr>
                      <w:bCs/>
                      <w:color w:val="auto"/>
                      <w:szCs w:val="21"/>
                    </w:rPr>
                    <w:t>N</w:t>
                  </w:r>
                  <w:r>
                    <w:rPr>
                      <w:bCs/>
                      <w:color w:val="auto"/>
                      <w:szCs w:val="21"/>
                      <w:vertAlign w:val="subscript"/>
                    </w:rPr>
                    <w:t>2</w:t>
                  </w:r>
                </w:p>
              </w:tc>
              <w:tc>
                <w:tcPr>
                  <w:tcW w:w="1877" w:type="pct"/>
                  <w:gridSpan w:val="2"/>
                  <w:vAlign w:val="center"/>
                </w:tcPr>
                <w:p>
                  <w:pPr>
                    <w:jc w:val="center"/>
                    <w:rPr>
                      <w:bCs/>
                      <w:color w:val="auto"/>
                      <w:szCs w:val="21"/>
                    </w:rPr>
                  </w:pPr>
                  <w:r>
                    <w:rPr>
                      <w:bCs/>
                      <w:color w:val="auto"/>
                      <w:szCs w:val="21"/>
                    </w:rPr>
                    <w:t>风机噪声</w:t>
                  </w:r>
                </w:p>
              </w:tc>
              <w:tc>
                <w:tcPr>
                  <w:tcW w:w="1182" w:type="pct"/>
                  <w:gridSpan w:val="2"/>
                  <w:vAlign w:val="center"/>
                </w:tcPr>
                <w:p>
                  <w:pPr>
                    <w:jc w:val="center"/>
                    <w:rPr>
                      <w:color w:val="auto"/>
                    </w:rPr>
                  </w:pPr>
                  <w:r>
                    <w:rPr>
                      <w:color w:val="auto"/>
                      <w:szCs w:val="21"/>
                    </w:rPr>
                    <w:t>Leq(A)</w:t>
                  </w:r>
                </w:p>
              </w:tc>
              <w:tc>
                <w:tcPr>
                  <w:tcW w:w="1169" w:type="pct"/>
                  <w:vMerge w:val="continue"/>
                  <w:vAlign w:val="center"/>
                </w:tcPr>
                <w:p>
                  <w:pPr>
                    <w:jc w:val="center"/>
                    <w:rPr>
                      <w:color w:val="auto"/>
                      <w:szCs w:val="21"/>
                    </w:rPr>
                  </w:pPr>
                </w:p>
              </w:tc>
            </w:tr>
          </w:tbl>
          <w:p>
            <w:pPr>
              <w:rPr>
                <w:color w:val="auto"/>
              </w:rPr>
            </w:pPr>
          </w:p>
          <w:p>
            <w:pPr>
              <w:rPr>
                <w:color w:val="auto"/>
              </w:rPr>
            </w:pPr>
          </w:p>
          <w:p>
            <w:pPr>
              <w:rPr>
                <w:color w:val="auto"/>
              </w:rPr>
            </w:pPr>
          </w:p>
          <w:p>
            <w:pPr>
              <w:rPr>
                <w:color w:val="auto"/>
              </w:rPr>
            </w:pPr>
          </w:p>
          <w:p>
            <w:pPr>
              <w:rPr>
                <w:color w:val="auto"/>
              </w:rPr>
            </w:pPr>
          </w:p>
        </w:tc>
      </w:tr>
    </w:tbl>
    <w:p>
      <w:pPr>
        <w:pStyle w:val="30"/>
        <w:adjustRightInd w:val="0"/>
        <w:snapToGrid w:val="0"/>
        <w:spacing w:before="0" w:beforeAutospacing="0" w:after="0" w:afterAutospacing="0"/>
        <w:jc w:val="both"/>
        <w:rPr>
          <w:rFonts w:ascii="Times New Roman" w:hAnsi="Times New Roman"/>
          <w:bCs/>
          <w:kern w:val="2"/>
          <w:sz w:val="21"/>
          <w:szCs w:val="21"/>
        </w:rPr>
        <w:sectPr>
          <w:pgSz w:w="11906" w:h="16838"/>
          <w:pgMar w:top="1474" w:right="1474" w:bottom="1474" w:left="1474" w:header="851" w:footer="851" w:gutter="0"/>
          <w:pgNumType w:fmt="numberInDash"/>
          <w:cols w:space="720" w:num="1"/>
          <w:docGrid w:linePitch="312" w:charSpace="0"/>
        </w:sectPr>
      </w:pPr>
    </w:p>
    <w:tbl>
      <w:tblPr>
        <w:tblStyle w:val="34"/>
        <w:tblW w:w="501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332"/>
        <w:gridCol w:w="868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84" w:type="pct"/>
            <w:vAlign w:val="center"/>
          </w:tcPr>
          <w:p>
            <w:pPr>
              <w:pStyle w:val="30"/>
              <w:adjustRightInd w:val="0"/>
              <w:snapToGrid w:val="0"/>
              <w:spacing w:before="0" w:beforeAutospacing="0" w:after="0" w:afterAutospacing="0"/>
              <w:jc w:val="center"/>
              <w:rPr>
                <w:rFonts w:ascii="Times New Roman" w:hAnsi="Times New Roman"/>
                <w:bCs/>
                <w:kern w:val="2"/>
                <w:szCs w:val="24"/>
              </w:rPr>
            </w:pPr>
            <w:r>
              <w:rPr>
                <w:rFonts w:ascii="Times New Roman" w:hAnsi="Times New Roman"/>
                <w:bCs/>
                <w:kern w:val="2"/>
                <w:sz w:val="21"/>
                <w:szCs w:val="21"/>
              </w:rPr>
              <w:br w:type="page"/>
            </w:r>
            <w:r>
              <w:rPr>
                <w:rFonts w:ascii="Times New Roman" w:hAnsi="Times New Roman"/>
                <w:bCs/>
                <w:kern w:val="2"/>
                <w:sz w:val="21"/>
                <w:szCs w:val="21"/>
              </w:rPr>
              <w:br w:type="page"/>
            </w:r>
            <w:r>
              <w:rPr>
                <w:rFonts w:ascii="Times New Roman" w:hAnsi="Times New Roman"/>
                <w:bCs/>
                <w:kern w:val="2"/>
                <w:szCs w:val="24"/>
              </w:rPr>
              <w:t>与项</w:t>
            </w:r>
          </w:p>
          <w:p>
            <w:pPr>
              <w:pStyle w:val="30"/>
              <w:adjustRightInd w:val="0"/>
              <w:snapToGrid w:val="0"/>
              <w:spacing w:before="0" w:beforeAutospacing="0" w:after="0" w:afterAutospacing="0"/>
              <w:jc w:val="center"/>
              <w:rPr>
                <w:rFonts w:ascii="Times New Roman" w:hAnsi="Times New Roman"/>
                <w:bCs/>
                <w:kern w:val="2"/>
                <w:szCs w:val="24"/>
              </w:rPr>
            </w:pPr>
            <w:r>
              <w:rPr>
                <w:rFonts w:ascii="Times New Roman" w:hAnsi="Times New Roman"/>
                <w:bCs/>
                <w:kern w:val="2"/>
                <w:szCs w:val="24"/>
              </w:rPr>
              <w:t>目有</w:t>
            </w:r>
          </w:p>
          <w:p>
            <w:pPr>
              <w:pStyle w:val="30"/>
              <w:adjustRightInd w:val="0"/>
              <w:snapToGrid w:val="0"/>
              <w:spacing w:before="0" w:beforeAutospacing="0" w:after="0" w:afterAutospacing="0"/>
              <w:jc w:val="center"/>
              <w:rPr>
                <w:rFonts w:ascii="Times New Roman" w:hAnsi="Times New Roman"/>
                <w:bCs/>
                <w:kern w:val="2"/>
                <w:szCs w:val="24"/>
              </w:rPr>
            </w:pPr>
            <w:r>
              <w:rPr>
                <w:rFonts w:ascii="Times New Roman" w:hAnsi="Times New Roman"/>
                <w:bCs/>
                <w:kern w:val="2"/>
                <w:szCs w:val="24"/>
              </w:rPr>
              <w:t>关的</w:t>
            </w:r>
          </w:p>
          <w:p>
            <w:pPr>
              <w:pStyle w:val="30"/>
              <w:adjustRightInd w:val="0"/>
              <w:snapToGrid w:val="0"/>
              <w:spacing w:before="0" w:beforeAutospacing="0" w:after="0" w:afterAutospacing="0"/>
              <w:jc w:val="center"/>
              <w:rPr>
                <w:rFonts w:ascii="Times New Roman" w:hAnsi="Times New Roman"/>
                <w:bCs/>
                <w:kern w:val="2"/>
                <w:szCs w:val="24"/>
              </w:rPr>
            </w:pPr>
            <w:r>
              <w:rPr>
                <w:rFonts w:ascii="Times New Roman" w:hAnsi="Times New Roman"/>
                <w:bCs/>
                <w:kern w:val="2"/>
                <w:szCs w:val="24"/>
              </w:rPr>
              <w:t>原有</w:t>
            </w:r>
          </w:p>
          <w:p>
            <w:pPr>
              <w:pStyle w:val="30"/>
              <w:adjustRightInd w:val="0"/>
              <w:snapToGrid w:val="0"/>
              <w:spacing w:before="0" w:beforeAutospacing="0" w:after="0" w:afterAutospacing="0"/>
              <w:jc w:val="center"/>
              <w:rPr>
                <w:rFonts w:ascii="Times New Roman" w:hAnsi="Times New Roman"/>
                <w:bCs/>
                <w:kern w:val="2"/>
                <w:szCs w:val="24"/>
              </w:rPr>
            </w:pPr>
            <w:r>
              <w:rPr>
                <w:rFonts w:ascii="Times New Roman" w:hAnsi="Times New Roman"/>
                <w:bCs/>
                <w:kern w:val="2"/>
                <w:szCs w:val="24"/>
              </w:rPr>
              <w:t>环境</w:t>
            </w:r>
          </w:p>
          <w:p>
            <w:pPr>
              <w:pStyle w:val="30"/>
              <w:adjustRightInd w:val="0"/>
              <w:snapToGrid w:val="0"/>
              <w:spacing w:before="0" w:beforeAutospacing="0" w:after="0" w:afterAutospacing="0"/>
              <w:jc w:val="center"/>
              <w:rPr>
                <w:rFonts w:ascii="Times New Roman" w:hAnsi="Times New Roman"/>
                <w:bCs/>
                <w:kern w:val="2"/>
                <w:szCs w:val="24"/>
              </w:rPr>
            </w:pPr>
            <w:r>
              <w:rPr>
                <w:rFonts w:ascii="Times New Roman" w:hAnsi="Times New Roman"/>
                <w:bCs/>
                <w:kern w:val="2"/>
                <w:szCs w:val="24"/>
              </w:rPr>
              <w:t>污染</w:t>
            </w:r>
          </w:p>
          <w:p>
            <w:pPr>
              <w:pStyle w:val="30"/>
              <w:adjustRightInd w:val="0"/>
              <w:snapToGrid w:val="0"/>
              <w:spacing w:before="0" w:beforeAutospacing="0" w:after="0" w:afterAutospacing="0"/>
              <w:jc w:val="center"/>
              <w:rPr>
                <w:rFonts w:ascii="Times New Roman" w:hAnsi="Times New Roman"/>
                <w:sz w:val="21"/>
                <w:szCs w:val="21"/>
              </w:rPr>
            </w:pPr>
            <w:r>
              <w:rPr>
                <w:rFonts w:ascii="Times New Roman" w:hAnsi="Times New Roman"/>
                <w:bCs/>
                <w:kern w:val="2"/>
                <w:szCs w:val="24"/>
              </w:rPr>
              <w:t>问题</w:t>
            </w:r>
          </w:p>
        </w:tc>
        <w:tc>
          <w:tcPr>
            <w:tcW w:w="4816" w:type="pct"/>
          </w:tcPr>
          <w:p>
            <w:pPr>
              <w:spacing w:beforeLines="50" w:line="360" w:lineRule="auto"/>
              <w:rPr>
                <w:b/>
                <w:sz w:val="24"/>
              </w:rPr>
            </w:pPr>
            <w:r>
              <w:rPr>
                <w:b/>
                <w:sz w:val="24"/>
              </w:rPr>
              <w:t>1、现有项目环保手续履行情况</w:t>
            </w:r>
          </w:p>
          <w:p>
            <w:pPr>
              <w:spacing w:line="360" w:lineRule="auto"/>
              <w:jc w:val="center"/>
              <w:rPr>
                <w:b/>
                <w:color w:val="auto"/>
                <w:sz w:val="24"/>
              </w:rPr>
            </w:pPr>
            <w:r>
              <w:rPr>
                <w:b/>
                <w:color w:val="auto"/>
                <w:sz w:val="24"/>
              </w:rPr>
              <w:t>表2-1</w:t>
            </w:r>
            <w:r>
              <w:rPr>
                <w:rFonts w:hint="eastAsia"/>
                <w:b/>
                <w:color w:val="auto"/>
                <w:sz w:val="24"/>
              </w:rPr>
              <w:t>2</w:t>
            </w:r>
            <w:r>
              <w:rPr>
                <w:b/>
                <w:color w:val="auto"/>
                <w:sz w:val="24"/>
              </w:rPr>
              <w:t xml:space="preserve">  现有项目环保手续履行情况</w:t>
            </w:r>
          </w:p>
          <w:tbl>
            <w:tblPr>
              <w:tblStyle w:val="3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8"/>
              <w:gridCol w:w="2236"/>
              <w:gridCol w:w="1837"/>
              <w:gridCol w:w="1528"/>
              <w:gridCol w:w="1560"/>
              <w:gridCol w:w="10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04" w:hRule="atLeast"/>
              </w:trPr>
              <w:tc>
                <w:tcPr>
                  <w:tcW w:w="270"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szCs w:val="21"/>
                    </w:rPr>
                  </w:pPr>
                  <w:r>
                    <w:rPr>
                      <w:color w:val="auto"/>
                      <w:szCs w:val="21"/>
                    </w:rPr>
                    <w:t>序号</w:t>
                  </w:r>
                </w:p>
              </w:tc>
              <w:tc>
                <w:tcPr>
                  <w:tcW w:w="1292"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szCs w:val="21"/>
                    </w:rPr>
                  </w:pPr>
                  <w:r>
                    <w:rPr>
                      <w:color w:val="auto"/>
                      <w:szCs w:val="21"/>
                    </w:rPr>
                    <w:t>项目名称</w:t>
                  </w:r>
                </w:p>
              </w:tc>
              <w:tc>
                <w:tcPr>
                  <w:tcW w:w="1061"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szCs w:val="21"/>
                    </w:rPr>
                  </w:pPr>
                  <w:r>
                    <w:rPr>
                      <w:color w:val="auto"/>
                      <w:szCs w:val="21"/>
                    </w:rPr>
                    <w:t>批复产品产能</w:t>
                  </w:r>
                </w:p>
              </w:tc>
              <w:tc>
                <w:tcPr>
                  <w:tcW w:w="883"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szCs w:val="21"/>
                    </w:rPr>
                  </w:pPr>
                  <w:r>
                    <w:rPr>
                      <w:color w:val="auto"/>
                      <w:szCs w:val="21"/>
                    </w:rPr>
                    <w:t>环评批复</w:t>
                  </w:r>
                </w:p>
              </w:tc>
              <w:tc>
                <w:tcPr>
                  <w:tcW w:w="901"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szCs w:val="21"/>
                    </w:rPr>
                  </w:pPr>
                  <w:r>
                    <w:rPr>
                      <w:color w:val="auto"/>
                      <w:szCs w:val="21"/>
                    </w:rPr>
                    <w:t>环保验</w:t>
                  </w:r>
                </w:p>
                <w:p>
                  <w:pPr>
                    <w:adjustRightInd w:val="0"/>
                    <w:snapToGrid w:val="0"/>
                    <w:jc w:val="center"/>
                    <w:rPr>
                      <w:color w:val="auto"/>
                      <w:szCs w:val="21"/>
                    </w:rPr>
                  </w:pPr>
                  <w:r>
                    <w:rPr>
                      <w:color w:val="auto"/>
                      <w:szCs w:val="21"/>
                    </w:rPr>
                    <w:t>收情况</w:t>
                  </w:r>
                </w:p>
              </w:tc>
              <w:tc>
                <w:tcPr>
                  <w:tcW w:w="593"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szCs w:val="21"/>
                    </w:rPr>
                  </w:pPr>
                  <w:r>
                    <w:rPr>
                      <w:color w:val="auto"/>
                      <w:szCs w:val="21"/>
                    </w:rPr>
                    <w:t>运营</w:t>
                  </w:r>
                </w:p>
                <w:p>
                  <w:pPr>
                    <w:adjustRightInd w:val="0"/>
                    <w:snapToGrid w:val="0"/>
                    <w:jc w:val="center"/>
                    <w:rPr>
                      <w:color w:val="auto"/>
                      <w:szCs w:val="21"/>
                    </w:rPr>
                  </w:pPr>
                  <w:r>
                    <w:rPr>
                      <w:color w:val="auto"/>
                      <w:szCs w:val="21"/>
                    </w:rPr>
                    <w:t>状况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trPr>
              <w:tc>
                <w:tcPr>
                  <w:tcW w:w="270"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szCs w:val="21"/>
                    </w:rPr>
                  </w:pPr>
                  <w:r>
                    <w:rPr>
                      <w:color w:val="auto"/>
                      <w:szCs w:val="21"/>
                    </w:rPr>
                    <w:t>1</w:t>
                  </w:r>
                </w:p>
              </w:tc>
              <w:tc>
                <w:tcPr>
                  <w:tcW w:w="1292"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szCs w:val="21"/>
                    </w:rPr>
                  </w:pPr>
                  <w:r>
                    <w:rPr>
                      <w:color w:val="auto"/>
                      <w:szCs w:val="21"/>
                    </w:rPr>
                    <w:t>微通道板生产线技术改造项目</w:t>
                  </w:r>
                </w:p>
              </w:tc>
              <w:tc>
                <w:tcPr>
                  <w:tcW w:w="1061"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szCs w:val="21"/>
                    </w:rPr>
                  </w:pPr>
                  <w:r>
                    <w:rPr>
                      <w:color w:val="auto"/>
                      <w:szCs w:val="21"/>
                    </w:rPr>
                    <w:t>--</w:t>
                  </w:r>
                </w:p>
              </w:tc>
              <w:tc>
                <w:tcPr>
                  <w:tcW w:w="883"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szCs w:val="21"/>
                    </w:rPr>
                  </w:pPr>
                  <w:r>
                    <w:rPr>
                      <w:color w:val="auto"/>
                      <w:szCs w:val="21"/>
                    </w:rPr>
                    <w:t>江苏省环境保护厅苏环便管</w:t>
                  </w:r>
                  <w:r>
                    <w:rPr>
                      <w:rFonts w:hint="eastAsia"/>
                      <w:color w:val="auto"/>
                    </w:rPr>
                    <w:t>〔</w:t>
                  </w:r>
                  <w:r>
                    <w:rPr>
                      <w:color w:val="auto"/>
                      <w:szCs w:val="21"/>
                    </w:rPr>
                    <w:t>2003</w:t>
                  </w:r>
                  <w:r>
                    <w:rPr>
                      <w:rFonts w:hint="eastAsia"/>
                      <w:color w:val="auto"/>
                    </w:rPr>
                    <w:t>〕</w:t>
                  </w:r>
                  <w:r>
                    <w:rPr>
                      <w:color w:val="auto"/>
                      <w:szCs w:val="21"/>
                    </w:rPr>
                    <w:t>46号</w:t>
                  </w:r>
                </w:p>
              </w:tc>
              <w:tc>
                <w:tcPr>
                  <w:tcW w:w="901"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szCs w:val="21"/>
                    </w:rPr>
                  </w:pPr>
                  <w:r>
                    <w:rPr>
                      <w:color w:val="auto"/>
                      <w:szCs w:val="21"/>
                    </w:rPr>
                    <w:t>江苏省环境监测中心环监字</w:t>
                  </w:r>
                  <w:r>
                    <w:rPr>
                      <w:rFonts w:hint="eastAsia"/>
                      <w:color w:val="auto"/>
                    </w:rPr>
                    <w:t>〔</w:t>
                  </w:r>
                  <w:r>
                    <w:rPr>
                      <w:color w:val="auto"/>
                      <w:szCs w:val="21"/>
                    </w:rPr>
                    <w:t>200</w:t>
                  </w:r>
                  <w:r>
                    <w:rPr>
                      <w:rFonts w:hint="eastAsia"/>
                      <w:color w:val="auto"/>
                      <w:szCs w:val="21"/>
                    </w:rPr>
                    <w:t>6</w:t>
                  </w:r>
                  <w:r>
                    <w:rPr>
                      <w:rFonts w:hint="eastAsia"/>
                      <w:color w:val="auto"/>
                    </w:rPr>
                    <w:t>〕</w:t>
                  </w:r>
                  <w:r>
                    <w:rPr>
                      <w:color w:val="auto"/>
                      <w:szCs w:val="21"/>
                    </w:rPr>
                    <w:t>153号</w:t>
                  </w:r>
                </w:p>
              </w:tc>
              <w:tc>
                <w:tcPr>
                  <w:tcW w:w="593"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szCs w:val="21"/>
                    </w:rPr>
                  </w:pPr>
                  <w:r>
                    <w:rPr>
                      <w:color w:val="auto"/>
                      <w:szCs w:val="21"/>
                    </w:rPr>
                    <w:t>正常</w:t>
                  </w:r>
                </w:p>
                <w:p>
                  <w:pPr>
                    <w:adjustRightInd w:val="0"/>
                    <w:snapToGrid w:val="0"/>
                    <w:jc w:val="center"/>
                    <w:rPr>
                      <w:color w:val="auto"/>
                      <w:szCs w:val="21"/>
                    </w:rPr>
                  </w:pPr>
                  <w:r>
                    <w:rPr>
                      <w:color w:val="auto"/>
                      <w:szCs w:val="21"/>
                    </w:rPr>
                    <w:t>生产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trPr>
              <w:tc>
                <w:tcPr>
                  <w:tcW w:w="270"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szCs w:val="21"/>
                    </w:rPr>
                  </w:pPr>
                  <w:r>
                    <w:rPr>
                      <w:color w:val="auto"/>
                      <w:szCs w:val="21"/>
                    </w:rPr>
                    <w:t>2</w:t>
                  </w:r>
                </w:p>
              </w:tc>
              <w:tc>
                <w:tcPr>
                  <w:tcW w:w="1292"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szCs w:val="21"/>
                    </w:rPr>
                  </w:pPr>
                  <w:r>
                    <w:rPr>
                      <w:color w:val="auto"/>
                      <w:szCs w:val="21"/>
                    </w:rPr>
                    <w:t>微光夜视元件科研基础建设</w:t>
                  </w:r>
                  <w:r>
                    <w:rPr>
                      <w:rFonts w:hint="eastAsia"/>
                      <w:color w:val="auto"/>
                      <w:szCs w:val="21"/>
                    </w:rPr>
                    <w:t>项目</w:t>
                  </w:r>
                </w:p>
              </w:tc>
              <w:tc>
                <w:tcPr>
                  <w:tcW w:w="1061"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szCs w:val="21"/>
                    </w:rPr>
                  </w:pPr>
                  <w:r>
                    <w:rPr>
                      <w:color w:val="auto"/>
                      <w:szCs w:val="21"/>
                    </w:rPr>
                    <w:t>微通道板、光纤元件2万片</w:t>
                  </w:r>
                </w:p>
              </w:tc>
              <w:tc>
                <w:tcPr>
                  <w:tcW w:w="883"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szCs w:val="21"/>
                    </w:rPr>
                  </w:pPr>
                  <w:r>
                    <w:rPr>
                      <w:color w:val="auto"/>
                      <w:szCs w:val="21"/>
                    </w:rPr>
                    <w:t>江苏省环境保护厅苏环便管</w:t>
                  </w:r>
                  <w:r>
                    <w:rPr>
                      <w:rFonts w:hint="eastAsia"/>
                      <w:color w:val="auto"/>
                    </w:rPr>
                    <w:t>〔</w:t>
                  </w:r>
                  <w:r>
                    <w:rPr>
                      <w:color w:val="auto"/>
                      <w:szCs w:val="21"/>
                    </w:rPr>
                    <w:t>200</w:t>
                  </w:r>
                  <w:r>
                    <w:rPr>
                      <w:rFonts w:hint="eastAsia"/>
                      <w:color w:val="auto"/>
                      <w:szCs w:val="21"/>
                    </w:rPr>
                    <w:t>4</w:t>
                  </w:r>
                  <w:r>
                    <w:rPr>
                      <w:rFonts w:hint="eastAsia"/>
                      <w:color w:val="auto"/>
                    </w:rPr>
                    <w:t>〕</w:t>
                  </w:r>
                  <w:r>
                    <w:rPr>
                      <w:color w:val="auto"/>
                      <w:szCs w:val="21"/>
                    </w:rPr>
                    <w:t>251号</w:t>
                  </w:r>
                </w:p>
              </w:tc>
              <w:tc>
                <w:tcPr>
                  <w:tcW w:w="901"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szCs w:val="21"/>
                    </w:rPr>
                  </w:pPr>
                  <w:r>
                    <w:rPr>
                      <w:color w:val="auto"/>
                      <w:szCs w:val="21"/>
                    </w:rPr>
                    <w:t>江苏省环境监测中心环监字</w:t>
                  </w:r>
                  <w:r>
                    <w:rPr>
                      <w:rFonts w:hint="eastAsia"/>
                      <w:color w:val="auto"/>
                    </w:rPr>
                    <w:t>〔</w:t>
                  </w:r>
                  <w:r>
                    <w:rPr>
                      <w:color w:val="auto"/>
                      <w:szCs w:val="21"/>
                    </w:rPr>
                    <w:t>200</w:t>
                  </w:r>
                  <w:r>
                    <w:rPr>
                      <w:rFonts w:hint="eastAsia"/>
                      <w:color w:val="auto"/>
                      <w:szCs w:val="21"/>
                    </w:rPr>
                    <w:t>8</w:t>
                  </w:r>
                  <w:r>
                    <w:rPr>
                      <w:rFonts w:hint="eastAsia"/>
                      <w:color w:val="auto"/>
                    </w:rPr>
                    <w:t>〕</w:t>
                  </w:r>
                  <w:r>
                    <w:rPr>
                      <w:color w:val="auto"/>
                      <w:szCs w:val="21"/>
                    </w:rPr>
                    <w:t>271号</w:t>
                  </w:r>
                </w:p>
              </w:tc>
              <w:tc>
                <w:tcPr>
                  <w:tcW w:w="593"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szCs w:val="21"/>
                    </w:rPr>
                  </w:pPr>
                  <w:r>
                    <w:rPr>
                      <w:color w:val="auto"/>
                      <w:szCs w:val="21"/>
                    </w:rPr>
                    <w:t>正常</w:t>
                  </w:r>
                </w:p>
                <w:p>
                  <w:pPr>
                    <w:adjustRightInd w:val="0"/>
                    <w:snapToGrid w:val="0"/>
                    <w:jc w:val="center"/>
                    <w:rPr>
                      <w:color w:val="auto"/>
                      <w:szCs w:val="21"/>
                    </w:rPr>
                  </w:pPr>
                  <w:r>
                    <w:rPr>
                      <w:color w:val="auto"/>
                      <w:szCs w:val="21"/>
                    </w:rPr>
                    <w:t>生产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rPr>
              <w:tc>
                <w:tcPr>
                  <w:tcW w:w="270"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szCs w:val="21"/>
                    </w:rPr>
                  </w:pPr>
                  <w:r>
                    <w:rPr>
                      <w:color w:val="auto"/>
                      <w:szCs w:val="21"/>
                    </w:rPr>
                    <w:t>3</w:t>
                  </w:r>
                </w:p>
              </w:tc>
              <w:tc>
                <w:tcPr>
                  <w:tcW w:w="1292"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szCs w:val="21"/>
                    </w:rPr>
                  </w:pPr>
                  <w:r>
                    <w:rPr>
                      <w:color w:val="auto"/>
                      <w:szCs w:val="21"/>
                    </w:rPr>
                    <w:t>20英寸光电倍增管生产线技术改造</w:t>
                  </w:r>
                </w:p>
              </w:tc>
              <w:tc>
                <w:tcPr>
                  <w:tcW w:w="1061"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szCs w:val="21"/>
                    </w:rPr>
                  </w:pPr>
                  <w:r>
                    <w:rPr>
                      <w:color w:val="auto"/>
                      <w:szCs w:val="21"/>
                    </w:rPr>
                    <w:t>年产20英寸光电倍增管7500只及配套的探测级微通道板1.6万片的生产能力</w:t>
                  </w:r>
                </w:p>
              </w:tc>
              <w:tc>
                <w:tcPr>
                  <w:tcW w:w="883"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szCs w:val="21"/>
                    </w:rPr>
                  </w:pPr>
                  <w:r>
                    <w:rPr>
                      <w:color w:val="auto"/>
                      <w:szCs w:val="21"/>
                    </w:rPr>
                    <w:t>南京市环保局宁环表复</w:t>
                  </w:r>
                  <w:r>
                    <w:rPr>
                      <w:rFonts w:hint="eastAsia"/>
                      <w:color w:val="auto"/>
                    </w:rPr>
                    <w:t>〔</w:t>
                  </w:r>
                  <w:r>
                    <w:rPr>
                      <w:color w:val="auto"/>
                      <w:szCs w:val="21"/>
                    </w:rPr>
                    <w:t>20</w:t>
                  </w:r>
                  <w:r>
                    <w:rPr>
                      <w:rFonts w:hint="eastAsia"/>
                      <w:color w:val="auto"/>
                      <w:szCs w:val="21"/>
                    </w:rPr>
                    <w:t>16</w:t>
                  </w:r>
                  <w:r>
                    <w:rPr>
                      <w:rFonts w:hint="eastAsia"/>
                      <w:color w:val="auto"/>
                    </w:rPr>
                    <w:t>〕</w:t>
                  </w:r>
                  <w:r>
                    <w:rPr>
                      <w:color w:val="auto"/>
                      <w:szCs w:val="21"/>
                    </w:rPr>
                    <w:t>12号</w:t>
                  </w:r>
                </w:p>
              </w:tc>
              <w:tc>
                <w:tcPr>
                  <w:tcW w:w="901"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szCs w:val="21"/>
                    </w:rPr>
                  </w:pPr>
                  <w:r>
                    <w:rPr>
                      <w:color w:val="auto"/>
                      <w:szCs w:val="21"/>
                    </w:rPr>
                    <w:t>南京市生态环境局宁环验</w:t>
                  </w:r>
                  <w:r>
                    <w:rPr>
                      <w:rFonts w:hint="eastAsia"/>
                      <w:color w:val="auto"/>
                    </w:rPr>
                    <w:t>〔</w:t>
                  </w:r>
                  <w:r>
                    <w:rPr>
                      <w:color w:val="auto"/>
                      <w:szCs w:val="21"/>
                    </w:rPr>
                    <w:t>20</w:t>
                  </w:r>
                  <w:r>
                    <w:rPr>
                      <w:rFonts w:hint="eastAsia"/>
                      <w:color w:val="auto"/>
                      <w:szCs w:val="21"/>
                    </w:rPr>
                    <w:t>17</w:t>
                  </w:r>
                  <w:r>
                    <w:rPr>
                      <w:rFonts w:hint="eastAsia"/>
                      <w:color w:val="auto"/>
                    </w:rPr>
                    <w:t>〕</w:t>
                  </w:r>
                  <w:r>
                    <w:rPr>
                      <w:color w:val="auto"/>
                      <w:szCs w:val="21"/>
                    </w:rPr>
                    <w:t>9号</w:t>
                  </w:r>
                </w:p>
              </w:tc>
              <w:tc>
                <w:tcPr>
                  <w:tcW w:w="593"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szCs w:val="21"/>
                    </w:rPr>
                  </w:pPr>
                  <w:r>
                    <w:rPr>
                      <w:color w:val="auto"/>
                      <w:szCs w:val="21"/>
                    </w:rPr>
                    <w:t>正常</w:t>
                  </w:r>
                </w:p>
                <w:p>
                  <w:pPr>
                    <w:adjustRightInd w:val="0"/>
                    <w:snapToGrid w:val="0"/>
                    <w:jc w:val="center"/>
                    <w:rPr>
                      <w:color w:val="auto"/>
                      <w:szCs w:val="21"/>
                    </w:rPr>
                  </w:pPr>
                  <w:r>
                    <w:rPr>
                      <w:color w:val="auto"/>
                      <w:szCs w:val="21"/>
                    </w:rPr>
                    <w:t>生产</w:t>
                  </w:r>
                </w:p>
              </w:tc>
            </w:tr>
          </w:tbl>
          <w:p>
            <w:pPr>
              <w:snapToGrid w:val="0"/>
              <w:spacing w:beforeLines="50" w:line="360" w:lineRule="auto"/>
              <w:rPr>
                <w:b/>
                <w:color w:val="auto"/>
                <w:sz w:val="24"/>
              </w:rPr>
            </w:pPr>
            <w:r>
              <w:rPr>
                <w:b/>
                <w:color w:val="auto"/>
                <w:sz w:val="24"/>
              </w:rPr>
              <w:t>2、</w:t>
            </w:r>
            <w:r>
              <w:rPr>
                <w:rFonts w:hint="eastAsia"/>
                <w:b/>
                <w:color w:val="auto"/>
                <w:sz w:val="24"/>
              </w:rPr>
              <w:t>现有项目排污许可申领情况</w:t>
            </w:r>
          </w:p>
          <w:p>
            <w:pPr>
              <w:snapToGrid w:val="0"/>
              <w:spacing w:beforeLines="50" w:line="360" w:lineRule="auto"/>
              <w:ind w:firstLine="480" w:firstLineChars="200"/>
              <w:rPr>
                <w:color w:val="auto"/>
                <w:sz w:val="24"/>
              </w:rPr>
            </w:pPr>
            <w:r>
              <w:rPr>
                <w:color w:val="auto"/>
                <w:sz w:val="24"/>
              </w:rPr>
              <w:t>北方夜视技术股份有限公司现有项目于2021年10月30日取得了固定污染源排污登记回执（登记编号：91320115721758662T001W），有效期：自2020年10月30至2026年10月29日</w:t>
            </w:r>
            <w:r>
              <w:rPr>
                <w:bCs/>
                <w:color w:val="auto"/>
                <w:sz w:val="24"/>
              </w:rPr>
              <w:t>。</w:t>
            </w:r>
          </w:p>
          <w:p>
            <w:pPr>
              <w:pStyle w:val="6"/>
              <w:jc w:val="both"/>
              <w:rPr>
                <w:rFonts w:ascii="Times New Roman" w:hAnsi="Times New Roman"/>
                <w:b/>
                <w:bCs/>
                <w:color w:val="auto"/>
                <w:kern w:val="2"/>
                <w:sz w:val="24"/>
                <w:szCs w:val="24"/>
                <w:lang w:val="zh-CN"/>
              </w:rPr>
            </w:pPr>
            <w:r>
              <w:rPr>
                <w:rFonts w:hint="eastAsia" w:ascii="Times New Roman" w:hAnsi="Times New Roman"/>
                <w:b/>
                <w:bCs/>
                <w:color w:val="auto"/>
                <w:kern w:val="2"/>
                <w:sz w:val="24"/>
                <w:szCs w:val="24"/>
              </w:rPr>
              <w:t>3</w:t>
            </w:r>
            <w:r>
              <w:rPr>
                <w:rFonts w:ascii="Times New Roman" w:hAnsi="Times New Roman"/>
                <w:b/>
                <w:bCs/>
                <w:color w:val="auto"/>
                <w:kern w:val="2"/>
                <w:sz w:val="24"/>
                <w:szCs w:val="24"/>
              </w:rPr>
              <w:t>、</w:t>
            </w:r>
            <w:r>
              <w:rPr>
                <w:rFonts w:ascii="Times New Roman" w:hAnsi="Times New Roman"/>
                <w:b/>
                <w:bCs/>
                <w:color w:val="auto"/>
                <w:kern w:val="2"/>
                <w:sz w:val="24"/>
                <w:szCs w:val="24"/>
                <w:lang w:val="zh-CN"/>
              </w:rPr>
              <w:t>现有项目环保措施及污染物排放情况</w:t>
            </w:r>
          </w:p>
          <w:p>
            <w:pPr>
              <w:numPr>
                <w:ilvl w:val="0"/>
                <w:numId w:val="7"/>
              </w:numPr>
              <w:snapToGrid w:val="0"/>
              <w:spacing w:line="360" w:lineRule="auto"/>
              <w:ind w:firstLine="482" w:firstLineChars="200"/>
              <w:rPr>
                <w:b/>
                <w:bCs/>
                <w:color w:val="auto"/>
                <w:sz w:val="24"/>
                <w:lang w:val="zh-CN"/>
              </w:rPr>
            </w:pPr>
            <w:r>
              <w:rPr>
                <w:b/>
                <w:bCs/>
                <w:color w:val="auto"/>
                <w:sz w:val="24"/>
                <w:lang w:val="zh-CN"/>
              </w:rPr>
              <w:t>环保措施</w:t>
            </w:r>
          </w:p>
          <w:p>
            <w:pPr>
              <w:snapToGrid w:val="0"/>
              <w:spacing w:line="360" w:lineRule="auto"/>
              <w:ind w:firstLine="482" w:firstLineChars="200"/>
              <w:rPr>
                <w:b/>
                <w:bCs/>
                <w:color w:val="auto"/>
                <w:sz w:val="24"/>
                <w:lang w:val="zh-CN"/>
              </w:rPr>
            </w:pPr>
            <w:r>
              <w:rPr>
                <w:b/>
                <w:bCs/>
                <w:color w:val="auto"/>
                <w:sz w:val="24"/>
                <w:lang w:val="zh-CN"/>
              </w:rPr>
              <w:fldChar w:fldCharType="begin"/>
            </w:r>
            <w:r>
              <w:rPr>
                <w:b/>
                <w:bCs/>
                <w:color w:val="auto"/>
                <w:sz w:val="24"/>
                <w:lang w:val="zh-CN"/>
              </w:rPr>
              <w:instrText xml:space="preserve"> = 1 \* GB3 \* MERGEFORMAT </w:instrText>
            </w:r>
            <w:r>
              <w:rPr>
                <w:b/>
                <w:bCs/>
                <w:color w:val="auto"/>
                <w:sz w:val="24"/>
                <w:lang w:val="zh-CN"/>
              </w:rPr>
              <w:fldChar w:fldCharType="separate"/>
            </w:r>
            <w:r>
              <w:rPr>
                <w:rFonts w:hint="eastAsia" w:ascii="宋体" w:hAnsi="宋体" w:cs="宋体"/>
                <w:b/>
                <w:bCs/>
                <w:color w:val="auto"/>
                <w:sz w:val="24"/>
                <w:lang w:val="zh-CN"/>
              </w:rPr>
              <w:t>①</w:t>
            </w:r>
            <w:r>
              <w:rPr>
                <w:b/>
                <w:bCs/>
                <w:color w:val="auto"/>
                <w:sz w:val="24"/>
                <w:lang w:val="zh-CN"/>
              </w:rPr>
              <w:fldChar w:fldCharType="end"/>
            </w:r>
            <w:r>
              <w:rPr>
                <w:b/>
                <w:bCs/>
                <w:color w:val="auto"/>
                <w:sz w:val="24"/>
                <w:lang w:val="zh-CN"/>
              </w:rPr>
              <w:t>废气</w:t>
            </w:r>
          </w:p>
          <w:p>
            <w:pPr>
              <w:spacing w:line="360" w:lineRule="auto"/>
              <w:ind w:firstLine="480" w:firstLineChars="200"/>
              <w:rPr>
                <w:color w:val="auto"/>
                <w:sz w:val="24"/>
                <w:lang w:val="zh-CN"/>
              </w:rPr>
            </w:pPr>
            <w:r>
              <w:rPr>
                <w:color w:val="auto"/>
                <w:sz w:val="24"/>
                <w:lang w:val="zh-CN"/>
              </w:rPr>
              <w:t>研磨过程产生的玻璃屑经冷却水喷淋并经沉淀后玻璃屑</w:t>
            </w:r>
            <w:r>
              <w:rPr>
                <w:rFonts w:hint="eastAsia"/>
                <w:color w:val="auto"/>
                <w:sz w:val="24"/>
                <w:lang w:val="zh-CN"/>
              </w:rPr>
              <w:t>送专业单位处置</w:t>
            </w:r>
            <w:r>
              <w:rPr>
                <w:color w:val="auto"/>
                <w:sz w:val="24"/>
                <w:lang w:val="zh-CN"/>
              </w:rPr>
              <w:t>，废水排放市政污水管网。</w:t>
            </w:r>
          </w:p>
          <w:p>
            <w:pPr>
              <w:spacing w:line="360" w:lineRule="auto"/>
              <w:ind w:firstLine="480" w:firstLineChars="200"/>
              <w:rPr>
                <w:color w:val="auto"/>
                <w:kern w:val="0"/>
                <w:sz w:val="24"/>
              </w:rPr>
            </w:pPr>
            <w:bookmarkStart w:id="2" w:name="_Hlk3053413"/>
            <w:r>
              <w:rPr>
                <w:color w:val="auto"/>
                <w:kern w:val="0"/>
                <w:sz w:val="24"/>
              </w:rPr>
              <w:t>8#厂房清洗工序产生的废气，主要为</w:t>
            </w:r>
            <w:r>
              <w:rPr>
                <w:rFonts w:hint="eastAsia"/>
                <w:color w:val="auto"/>
                <w:kern w:val="0"/>
                <w:sz w:val="24"/>
              </w:rPr>
              <w:t>非甲烷总烃</w:t>
            </w:r>
            <w:r>
              <w:rPr>
                <w:color w:val="auto"/>
                <w:kern w:val="0"/>
                <w:sz w:val="24"/>
              </w:rPr>
              <w:t>、氯化氢，通过酸洗柜收集后，</w:t>
            </w:r>
            <w:r>
              <w:rPr>
                <w:rFonts w:hint="eastAsia"/>
                <w:color w:val="auto"/>
                <w:kern w:val="0"/>
                <w:sz w:val="24"/>
              </w:rPr>
              <w:t>经</w:t>
            </w:r>
            <w:r>
              <w:rPr>
                <w:color w:val="auto"/>
                <w:kern w:val="0"/>
                <w:sz w:val="24"/>
              </w:rPr>
              <w:t>水喷淋净化塔处理</w:t>
            </w:r>
            <w:r>
              <w:rPr>
                <w:rFonts w:hint="eastAsia"/>
                <w:color w:val="auto"/>
                <w:kern w:val="0"/>
                <w:sz w:val="24"/>
              </w:rPr>
              <w:t>+</w:t>
            </w:r>
            <w:r>
              <w:rPr>
                <w:color w:val="auto"/>
                <w:kern w:val="0"/>
                <w:sz w:val="24"/>
              </w:rPr>
              <w:t>15米高的排气筒P2排放，</w:t>
            </w:r>
            <w:r>
              <w:rPr>
                <w:rFonts w:hint="eastAsia"/>
                <w:color w:val="auto"/>
                <w:kern w:val="0"/>
                <w:sz w:val="24"/>
              </w:rPr>
              <w:t>未收集</w:t>
            </w:r>
            <w:r>
              <w:rPr>
                <w:color w:val="auto"/>
                <w:kern w:val="0"/>
                <w:sz w:val="24"/>
              </w:rPr>
              <w:t>废气以无组织形式排放。</w:t>
            </w:r>
          </w:p>
          <w:p>
            <w:pPr>
              <w:spacing w:line="360" w:lineRule="auto"/>
              <w:ind w:firstLine="480" w:firstLineChars="200"/>
              <w:rPr>
                <w:color w:val="auto"/>
                <w:kern w:val="0"/>
                <w:sz w:val="24"/>
              </w:rPr>
            </w:pPr>
            <w:r>
              <w:rPr>
                <w:color w:val="auto"/>
                <w:kern w:val="0"/>
                <w:sz w:val="24"/>
              </w:rPr>
              <w:t>1#生产厂房</w:t>
            </w:r>
            <w:r>
              <w:rPr>
                <w:rFonts w:hint="eastAsia"/>
                <w:color w:val="auto"/>
                <w:kern w:val="0"/>
                <w:sz w:val="24"/>
              </w:rPr>
              <w:t>生产</w:t>
            </w:r>
            <w:r>
              <w:rPr>
                <w:color w:val="auto"/>
                <w:kern w:val="0"/>
                <w:sz w:val="24"/>
              </w:rPr>
              <w:t>过程产生</w:t>
            </w:r>
            <w:r>
              <w:rPr>
                <w:rFonts w:hint="eastAsia"/>
                <w:color w:val="auto"/>
                <w:kern w:val="0"/>
                <w:sz w:val="24"/>
              </w:rPr>
              <w:t>的废气，主要为</w:t>
            </w:r>
            <w:r>
              <w:rPr>
                <w:color w:val="auto"/>
                <w:kern w:val="0"/>
                <w:sz w:val="24"/>
              </w:rPr>
              <w:t>非甲烷总烃</w:t>
            </w:r>
            <w:r>
              <w:rPr>
                <w:rFonts w:hint="eastAsia"/>
                <w:color w:val="auto"/>
                <w:kern w:val="0"/>
                <w:sz w:val="24"/>
              </w:rPr>
              <w:t>、</w:t>
            </w:r>
            <w:r>
              <w:rPr>
                <w:color w:val="auto"/>
                <w:kern w:val="0"/>
                <w:sz w:val="24"/>
              </w:rPr>
              <w:t>氯化氢经</w:t>
            </w:r>
            <w:r>
              <w:rPr>
                <w:rFonts w:hint="eastAsia"/>
                <w:color w:val="auto"/>
                <w:kern w:val="0"/>
                <w:sz w:val="24"/>
              </w:rPr>
              <w:t>集气罩收集+</w:t>
            </w:r>
            <w:r>
              <w:rPr>
                <w:color w:val="auto"/>
                <w:kern w:val="0"/>
                <w:sz w:val="24"/>
              </w:rPr>
              <w:t>水喷淋+</w:t>
            </w:r>
            <w:r>
              <w:rPr>
                <w:rFonts w:hint="eastAsia"/>
                <w:color w:val="auto"/>
                <w:kern w:val="0"/>
                <w:sz w:val="24"/>
              </w:rPr>
              <w:t>一级</w:t>
            </w:r>
            <w:r>
              <w:rPr>
                <w:color w:val="auto"/>
                <w:kern w:val="0"/>
                <w:sz w:val="24"/>
              </w:rPr>
              <w:t>活性炭</w:t>
            </w:r>
            <w:r>
              <w:rPr>
                <w:rFonts w:hint="eastAsia"/>
                <w:color w:val="auto"/>
                <w:kern w:val="0"/>
                <w:sz w:val="24"/>
              </w:rPr>
              <w:t>吸附</w:t>
            </w:r>
            <w:r>
              <w:rPr>
                <w:color w:val="auto"/>
                <w:kern w:val="0"/>
                <w:sz w:val="24"/>
              </w:rPr>
              <w:t>处理</w:t>
            </w:r>
            <w:r>
              <w:rPr>
                <w:rFonts w:hint="eastAsia"/>
                <w:color w:val="auto"/>
                <w:kern w:val="0"/>
                <w:sz w:val="24"/>
              </w:rPr>
              <w:t>+</w:t>
            </w:r>
            <w:r>
              <w:rPr>
                <w:color w:val="auto"/>
                <w:kern w:val="0"/>
                <w:sz w:val="24"/>
              </w:rPr>
              <w:t>15m高排气筒P1排放，</w:t>
            </w:r>
            <w:r>
              <w:rPr>
                <w:rFonts w:hint="eastAsia"/>
                <w:color w:val="auto"/>
                <w:kern w:val="0"/>
                <w:sz w:val="24"/>
              </w:rPr>
              <w:t>未收集</w:t>
            </w:r>
            <w:r>
              <w:rPr>
                <w:color w:val="auto"/>
                <w:kern w:val="0"/>
                <w:sz w:val="24"/>
              </w:rPr>
              <w:t>废气以无组织形式排放。</w:t>
            </w:r>
          </w:p>
          <w:bookmarkEnd w:id="2"/>
          <w:p>
            <w:pPr>
              <w:spacing w:line="360" w:lineRule="auto"/>
              <w:ind w:firstLine="482" w:firstLineChars="200"/>
              <w:rPr>
                <w:b/>
                <w:color w:val="auto"/>
                <w:kern w:val="0"/>
                <w:sz w:val="24"/>
                <w:lang w:val="zh-CN"/>
              </w:rPr>
            </w:pPr>
            <w:r>
              <w:rPr>
                <w:b/>
                <w:color w:val="auto"/>
                <w:kern w:val="0"/>
                <w:sz w:val="24"/>
                <w:lang w:val="zh-CN"/>
              </w:rPr>
              <w:fldChar w:fldCharType="begin"/>
            </w:r>
            <w:r>
              <w:rPr>
                <w:b/>
                <w:color w:val="auto"/>
                <w:kern w:val="0"/>
                <w:sz w:val="24"/>
                <w:lang w:val="zh-CN"/>
              </w:rPr>
              <w:instrText xml:space="preserve"> = 2 \* GB3 \* MERGEFORMAT </w:instrText>
            </w:r>
            <w:r>
              <w:rPr>
                <w:b/>
                <w:color w:val="auto"/>
                <w:kern w:val="0"/>
                <w:sz w:val="24"/>
                <w:lang w:val="zh-CN"/>
              </w:rPr>
              <w:fldChar w:fldCharType="separate"/>
            </w:r>
            <w:r>
              <w:rPr>
                <w:rFonts w:hint="eastAsia" w:ascii="宋体" w:hAnsi="宋体" w:cs="宋体"/>
                <w:b/>
                <w:color w:val="auto"/>
                <w:kern w:val="0"/>
                <w:sz w:val="24"/>
                <w:lang w:val="zh-CN"/>
              </w:rPr>
              <w:t>②</w:t>
            </w:r>
            <w:r>
              <w:rPr>
                <w:b/>
                <w:color w:val="auto"/>
                <w:kern w:val="0"/>
                <w:sz w:val="24"/>
                <w:lang w:val="zh-CN"/>
              </w:rPr>
              <w:fldChar w:fldCharType="end"/>
            </w:r>
            <w:r>
              <w:rPr>
                <w:b/>
                <w:color w:val="auto"/>
                <w:kern w:val="0"/>
                <w:sz w:val="24"/>
                <w:lang w:val="zh-CN"/>
              </w:rPr>
              <w:t>废水</w:t>
            </w:r>
          </w:p>
          <w:p>
            <w:pPr>
              <w:spacing w:line="360" w:lineRule="auto"/>
              <w:ind w:firstLine="480" w:firstLineChars="200"/>
              <w:rPr>
                <w:color w:val="auto"/>
                <w:kern w:val="0"/>
                <w:sz w:val="24"/>
              </w:rPr>
            </w:pPr>
            <w:bookmarkStart w:id="3" w:name="_Hlk3053394"/>
            <w:r>
              <w:rPr>
                <w:color w:val="auto"/>
                <w:kern w:val="0"/>
                <w:sz w:val="24"/>
              </w:rPr>
              <w:t>厂区雨污分流，厂区北侧设置2雨水总排口和1个污水总排口。现有项目产生的废水主要为生活污水、清洗废水、冲洗废水和水喷淋塔排水、</w:t>
            </w:r>
            <w:r>
              <w:rPr>
                <w:color w:val="auto"/>
                <w:sz w:val="24"/>
                <w:lang w:val="zh-CN"/>
              </w:rPr>
              <w:t>研磨过程的冷却喷淋废水、循环水排水、纯水制备浓水</w:t>
            </w:r>
            <w:r>
              <w:rPr>
                <w:color w:val="auto"/>
                <w:kern w:val="0"/>
                <w:sz w:val="24"/>
              </w:rPr>
              <w:t>。</w:t>
            </w:r>
          </w:p>
          <w:p>
            <w:pPr>
              <w:spacing w:line="360" w:lineRule="auto"/>
              <w:ind w:firstLine="480" w:firstLineChars="200"/>
              <w:rPr>
                <w:color w:val="auto"/>
                <w:sz w:val="24"/>
                <w:lang w:val="zh-CN"/>
              </w:rPr>
            </w:pPr>
            <w:r>
              <w:rPr>
                <w:color w:val="auto"/>
                <w:kern w:val="0"/>
                <w:sz w:val="24"/>
              </w:rPr>
              <w:t>生活污水</w:t>
            </w:r>
            <w:r>
              <w:rPr>
                <w:rFonts w:hint="eastAsia"/>
                <w:color w:val="auto"/>
                <w:kern w:val="0"/>
                <w:sz w:val="24"/>
              </w:rPr>
              <w:t>经</w:t>
            </w:r>
            <w:r>
              <w:rPr>
                <w:color w:val="auto"/>
                <w:kern w:val="0"/>
                <w:sz w:val="24"/>
              </w:rPr>
              <w:t>化粪池预处理后，</w:t>
            </w:r>
            <w:r>
              <w:rPr>
                <w:rFonts w:hint="eastAsia"/>
                <w:color w:val="auto"/>
                <w:kern w:val="0"/>
                <w:sz w:val="24"/>
              </w:rPr>
              <w:t>经总排口接入污水管网，排入</w:t>
            </w:r>
            <w:r>
              <w:rPr>
                <w:color w:val="auto"/>
                <w:sz w:val="24"/>
              </w:rPr>
              <w:t>江宁经济技术</w:t>
            </w:r>
            <w:r>
              <w:rPr>
                <w:rFonts w:hint="eastAsia"/>
                <w:color w:val="auto"/>
                <w:kern w:val="0"/>
                <w:sz w:val="24"/>
              </w:rPr>
              <w:t>开发区污水处理厂处理；</w:t>
            </w:r>
            <w:r>
              <w:rPr>
                <w:color w:val="auto"/>
                <w:kern w:val="0"/>
                <w:sz w:val="24"/>
              </w:rPr>
              <w:t>零件清洗时产生的酸碱废水、废气处理喷淋</w:t>
            </w:r>
            <w:r>
              <w:rPr>
                <w:rFonts w:hint="eastAsia"/>
                <w:color w:val="auto"/>
                <w:kern w:val="0"/>
                <w:sz w:val="24"/>
              </w:rPr>
              <w:t>装置排水</w:t>
            </w:r>
            <w:r>
              <w:rPr>
                <w:color w:val="auto"/>
                <w:kern w:val="0"/>
                <w:sz w:val="24"/>
              </w:rPr>
              <w:t>经酸碱</w:t>
            </w:r>
            <w:r>
              <w:rPr>
                <w:rFonts w:hint="eastAsia"/>
                <w:color w:val="auto"/>
                <w:kern w:val="0"/>
                <w:sz w:val="24"/>
              </w:rPr>
              <w:t>中和</w:t>
            </w:r>
            <w:r>
              <w:rPr>
                <w:color w:val="auto"/>
                <w:kern w:val="0"/>
                <w:sz w:val="24"/>
              </w:rPr>
              <w:t>处理装置处理后同零部件表面冲洗废水、</w:t>
            </w:r>
            <w:r>
              <w:rPr>
                <w:color w:val="auto"/>
                <w:sz w:val="24"/>
                <w:lang w:val="zh-CN"/>
              </w:rPr>
              <w:t>研磨冷却喷淋水经沉淀处理</w:t>
            </w:r>
            <w:r>
              <w:rPr>
                <w:rFonts w:hint="eastAsia"/>
                <w:color w:val="auto"/>
                <w:sz w:val="24"/>
                <w:lang w:val="zh-CN"/>
              </w:rPr>
              <w:t>后排</w:t>
            </w:r>
            <w:r>
              <w:rPr>
                <w:color w:val="auto"/>
                <w:sz w:val="24"/>
                <w:lang w:val="zh-CN"/>
              </w:rPr>
              <w:t>水、循环水排水、纯水制备浓水经总排口</w:t>
            </w:r>
            <w:r>
              <w:rPr>
                <w:color w:val="auto"/>
                <w:kern w:val="0"/>
                <w:sz w:val="24"/>
              </w:rPr>
              <w:t>接入污水管网</w:t>
            </w:r>
            <w:r>
              <w:rPr>
                <w:rFonts w:hint="eastAsia"/>
                <w:color w:val="auto"/>
                <w:kern w:val="0"/>
                <w:sz w:val="24"/>
              </w:rPr>
              <w:t>（废水污染物深度低，达到接管标准）</w:t>
            </w:r>
            <w:r>
              <w:rPr>
                <w:color w:val="auto"/>
                <w:kern w:val="0"/>
                <w:sz w:val="24"/>
              </w:rPr>
              <w:t>；排入</w:t>
            </w:r>
            <w:r>
              <w:rPr>
                <w:color w:val="auto"/>
                <w:sz w:val="24"/>
              </w:rPr>
              <w:t>江宁经济技术</w:t>
            </w:r>
            <w:r>
              <w:rPr>
                <w:color w:val="auto"/>
                <w:kern w:val="0"/>
                <w:sz w:val="24"/>
              </w:rPr>
              <w:t>开发区污水处理厂处理。</w:t>
            </w:r>
          </w:p>
          <w:p>
            <w:pPr>
              <w:pStyle w:val="6"/>
              <w:ind w:firstLine="480" w:firstLineChars="200"/>
              <w:rPr>
                <w:rFonts w:ascii="Times New Roman" w:hAnsi="Times New Roman"/>
                <w:color w:val="auto"/>
                <w:sz w:val="24"/>
                <w:szCs w:val="24"/>
              </w:rPr>
            </w:pPr>
            <w:r>
              <w:rPr>
                <w:rFonts w:ascii="Times New Roman" w:hAnsi="Times New Roman"/>
                <w:color w:val="auto"/>
                <w:sz w:val="24"/>
                <w:szCs w:val="24"/>
              </w:rPr>
              <w:t>酸碱废水处理系统采用10%氢氧化钠溶液进行中和酸性废水，在中和桶内设置pH监测探头（监测探头设定阈值为6＜pH＜9），根据桶内废水的pH浓度自动添加氢氧化钠溶液来进行调节</w:t>
            </w:r>
            <w:bookmarkEnd w:id="3"/>
            <w:r>
              <w:rPr>
                <w:rFonts w:ascii="Times New Roman" w:hAnsi="Times New Roman"/>
                <w:color w:val="auto"/>
                <w:sz w:val="24"/>
                <w:szCs w:val="24"/>
              </w:rPr>
              <w:t>。</w:t>
            </w:r>
          </w:p>
          <w:p>
            <w:pPr>
              <w:jc w:val="center"/>
            </w:pPr>
            <w:r>
              <w:rPr>
                <w:b/>
                <w:bCs/>
                <w:color w:val="auto"/>
                <w:sz w:val="24"/>
                <w:lang w:val="zh-CN"/>
              </w:rPr>
              <w:object>
                <v:shape id="_x0000_i1025" o:spt="75" type="#_x0000_t75" style="height:472pt;width:390pt;" o:ole="t" filled="f" o:preferrelative="t" stroked="f" coordsize="21600,21600">
                  <v:path/>
                  <v:fill on="f" focussize="0,0"/>
                  <v:stroke on="f" joinstyle="miter"/>
                  <v:imagedata r:id="rId10" o:title=""/>
                  <o:lock v:ext="edit" aspectratio="f"/>
                  <w10:wrap type="none"/>
                  <w10:anchorlock/>
                </v:shape>
                <o:OLEObject Type="Embed" ProgID="Visio.Drawing.11" ShapeID="_x0000_i1025" DrawAspect="Content" ObjectID="_1468075725" r:id="rId9">
                  <o:LockedField>false</o:LockedField>
                </o:OLEObject>
              </w:object>
            </w:r>
          </w:p>
          <w:p>
            <w:pPr>
              <w:snapToGrid w:val="0"/>
              <w:spacing w:line="360" w:lineRule="auto"/>
              <w:ind w:firstLine="482" w:firstLineChars="200"/>
              <w:jc w:val="center"/>
              <w:rPr>
                <w:b/>
                <w:bCs/>
                <w:color w:val="auto"/>
                <w:sz w:val="24"/>
                <w:lang w:val="zh-CN"/>
              </w:rPr>
            </w:pPr>
            <w:r>
              <w:rPr>
                <w:b/>
                <w:bCs/>
                <w:color w:val="auto"/>
                <w:sz w:val="24"/>
                <w:lang w:val="zh-CN"/>
              </w:rPr>
              <w:t>图</w:t>
            </w:r>
            <w:r>
              <w:rPr>
                <w:b/>
                <w:bCs/>
                <w:color w:val="auto"/>
                <w:sz w:val="24"/>
              </w:rPr>
              <w:t>2-</w:t>
            </w:r>
            <w:r>
              <w:rPr>
                <w:rFonts w:hint="eastAsia"/>
                <w:b/>
                <w:bCs/>
                <w:color w:val="auto"/>
                <w:sz w:val="24"/>
              </w:rPr>
              <w:t>4</w:t>
            </w:r>
            <w:r>
              <w:rPr>
                <w:b/>
                <w:bCs/>
                <w:color w:val="auto"/>
                <w:sz w:val="24"/>
                <w:lang w:val="zh-CN"/>
              </w:rPr>
              <w:t>现有项目水平衡图</w:t>
            </w:r>
            <w:r>
              <w:rPr>
                <w:rFonts w:hint="eastAsia"/>
                <w:b/>
                <w:bCs/>
                <w:color w:val="auto"/>
                <w:sz w:val="24"/>
                <w:lang w:val="zh-CN"/>
              </w:rPr>
              <w:t>（t/a）</w:t>
            </w:r>
          </w:p>
          <w:p/>
          <w:p>
            <w:pPr>
              <w:snapToGrid w:val="0"/>
              <w:spacing w:line="360" w:lineRule="auto"/>
              <w:ind w:firstLine="482" w:firstLineChars="200"/>
              <w:rPr>
                <w:b/>
                <w:bCs/>
                <w:color w:val="auto"/>
                <w:sz w:val="24"/>
                <w:lang w:val="zh-CN"/>
              </w:rPr>
            </w:pPr>
            <w:r>
              <w:rPr>
                <w:b/>
                <w:bCs/>
                <w:color w:val="auto"/>
                <w:sz w:val="24"/>
                <w:lang w:val="zh-CN"/>
              </w:rPr>
              <w:fldChar w:fldCharType="begin"/>
            </w:r>
            <w:r>
              <w:rPr>
                <w:b/>
                <w:bCs/>
                <w:color w:val="auto"/>
                <w:sz w:val="24"/>
                <w:lang w:val="zh-CN"/>
              </w:rPr>
              <w:instrText xml:space="preserve"> = 3 \* GB3 \* MERGEFORMAT </w:instrText>
            </w:r>
            <w:r>
              <w:rPr>
                <w:b/>
                <w:bCs/>
                <w:color w:val="auto"/>
                <w:sz w:val="24"/>
                <w:lang w:val="zh-CN"/>
              </w:rPr>
              <w:fldChar w:fldCharType="separate"/>
            </w:r>
            <w:r>
              <w:rPr>
                <w:rFonts w:hint="eastAsia" w:ascii="宋体" w:hAnsi="宋体" w:cs="宋体"/>
                <w:b/>
                <w:bCs/>
                <w:color w:val="auto"/>
                <w:sz w:val="24"/>
                <w:lang w:val="zh-CN"/>
              </w:rPr>
              <w:t>③</w:t>
            </w:r>
            <w:r>
              <w:rPr>
                <w:b/>
                <w:bCs/>
                <w:color w:val="auto"/>
                <w:sz w:val="24"/>
                <w:lang w:val="zh-CN"/>
              </w:rPr>
              <w:fldChar w:fldCharType="end"/>
            </w:r>
            <w:r>
              <w:rPr>
                <w:b/>
                <w:bCs/>
                <w:color w:val="auto"/>
                <w:sz w:val="24"/>
                <w:lang w:val="zh-CN"/>
              </w:rPr>
              <w:t>噪声</w:t>
            </w:r>
          </w:p>
          <w:p>
            <w:pPr>
              <w:spacing w:line="360" w:lineRule="auto"/>
              <w:ind w:firstLine="420" w:firstLineChars="200"/>
              <w:rPr>
                <w:color w:val="auto"/>
                <w:kern w:val="0"/>
                <w:szCs w:val="20"/>
              </w:rPr>
            </w:pPr>
            <w:bookmarkStart w:id="4" w:name="_Hlk3053424"/>
            <w:r>
              <w:rPr>
                <w:color w:val="auto"/>
                <w:kern w:val="0"/>
                <w:szCs w:val="20"/>
              </w:rPr>
              <w:t>现有项目主要噪声源为清洗机、风机等，清洗机位于室内</w:t>
            </w:r>
            <w:r>
              <w:rPr>
                <w:rStyle w:val="43"/>
                <w:rFonts w:hint="eastAsia"/>
                <w:color w:val="auto"/>
                <w:kern w:val="0"/>
                <w:szCs w:val="20"/>
              </w:rPr>
              <w:t>、风机位于厂房楼顶</w:t>
            </w:r>
            <w:r>
              <w:rPr>
                <w:color w:val="auto"/>
                <w:kern w:val="0"/>
                <w:szCs w:val="20"/>
              </w:rPr>
              <w:t>，采用了合理布局、减振、隔音等措施，对周围环境影响较小</w:t>
            </w:r>
            <w:bookmarkEnd w:id="4"/>
            <w:r>
              <w:rPr>
                <w:color w:val="auto"/>
                <w:kern w:val="0"/>
                <w:szCs w:val="20"/>
              </w:rPr>
              <w:t>。</w:t>
            </w:r>
          </w:p>
          <w:p>
            <w:pPr>
              <w:snapToGrid w:val="0"/>
              <w:spacing w:line="360" w:lineRule="auto"/>
              <w:ind w:firstLine="482" w:firstLineChars="200"/>
              <w:rPr>
                <w:b/>
                <w:bCs/>
                <w:color w:val="auto"/>
                <w:sz w:val="24"/>
                <w:lang w:val="zh-CN"/>
              </w:rPr>
            </w:pPr>
            <w:r>
              <w:rPr>
                <w:b/>
                <w:bCs/>
                <w:color w:val="auto"/>
                <w:sz w:val="24"/>
                <w:lang w:val="zh-CN"/>
              </w:rPr>
              <w:fldChar w:fldCharType="begin"/>
            </w:r>
            <w:r>
              <w:rPr>
                <w:b/>
                <w:bCs/>
                <w:color w:val="auto"/>
                <w:sz w:val="24"/>
                <w:lang w:val="zh-CN"/>
              </w:rPr>
              <w:instrText xml:space="preserve"> = 4 \* GB3 \* MERGEFORMAT </w:instrText>
            </w:r>
            <w:r>
              <w:rPr>
                <w:b/>
                <w:bCs/>
                <w:color w:val="auto"/>
                <w:sz w:val="24"/>
                <w:lang w:val="zh-CN"/>
              </w:rPr>
              <w:fldChar w:fldCharType="separate"/>
            </w:r>
            <w:r>
              <w:rPr>
                <w:rFonts w:hint="eastAsia" w:ascii="宋体" w:hAnsi="宋体" w:cs="宋体"/>
                <w:b/>
                <w:bCs/>
                <w:color w:val="auto"/>
                <w:sz w:val="24"/>
                <w:lang w:val="zh-CN"/>
              </w:rPr>
              <w:t>④</w:t>
            </w:r>
            <w:r>
              <w:rPr>
                <w:b/>
                <w:bCs/>
                <w:color w:val="auto"/>
                <w:sz w:val="24"/>
                <w:lang w:val="zh-CN"/>
              </w:rPr>
              <w:fldChar w:fldCharType="end"/>
            </w:r>
            <w:r>
              <w:rPr>
                <w:b/>
                <w:bCs/>
                <w:color w:val="auto"/>
                <w:sz w:val="24"/>
                <w:lang w:val="zh-CN"/>
              </w:rPr>
              <w:t>固体废物</w:t>
            </w:r>
          </w:p>
          <w:p>
            <w:pPr>
              <w:spacing w:line="360" w:lineRule="auto"/>
              <w:ind w:firstLine="420" w:firstLineChars="200"/>
              <w:rPr>
                <w:color w:val="auto"/>
                <w:kern w:val="0"/>
                <w:szCs w:val="20"/>
              </w:rPr>
            </w:pPr>
            <w:bookmarkStart w:id="5" w:name="_Hlk3053438"/>
            <w:r>
              <w:rPr>
                <w:color w:val="auto"/>
                <w:kern w:val="0"/>
                <w:szCs w:val="20"/>
              </w:rPr>
              <w:t>现有项目固体废物主要有生活垃圾、一般固废和危险废物。生活垃圾由环卫部门统一收集处理；一般固废</w:t>
            </w:r>
            <w:r>
              <w:rPr>
                <w:rFonts w:hint="eastAsia"/>
                <w:color w:val="auto"/>
                <w:kern w:val="0"/>
                <w:szCs w:val="20"/>
              </w:rPr>
              <w:t>暂存固废堆场</w:t>
            </w:r>
            <w:r>
              <w:rPr>
                <w:color w:val="auto"/>
                <w:szCs w:val="21"/>
              </w:rPr>
              <w:t>，堆场面积共20m</w:t>
            </w:r>
            <w:r>
              <w:rPr>
                <w:color w:val="auto"/>
                <w:szCs w:val="21"/>
                <w:vertAlign w:val="superscript"/>
              </w:rPr>
              <w:t>2</w:t>
            </w:r>
            <w:r>
              <w:rPr>
                <w:rFonts w:hint="eastAsia"/>
                <w:color w:val="auto"/>
                <w:szCs w:val="21"/>
              </w:rPr>
              <w:t>，送专业单位处理，危废</w:t>
            </w:r>
            <w:r>
              <w:rPr>
                <w:color w:val="auto"/>
                <w:kern w:val="0"/>
                <w:szCs w:val="20"/>
              </w:rPr>
              <w:t>暂存</w:t>
            </w:r>
            <w:r>
              <w:rPr>
                <w:color w:val="auto"/>
              </w:rPr>
              <w:t>30m</w:t>
            </w:r>
            <w:r>
              <w:rPr>
                <w:color w:val="auto"/>
                <w:vertAlign w:val="superscript"/>
              </w:rPr>
              <w:t>2</w:t>
            </w:r>
            <w:r>
              <w:rPr>
                <w:color w:val="auto"/>
              </w:rPr>
              <w:t>危废库</w:t>
            </w:r>
            <w:r>
              <w:rPr>
                <w:color w:val="auto"/>
                <w:kern w:val="0"/>
                <w:szCs w:val="20"/>
              </w:rPr>
              <w:t>，定期送有资质单位处理。</w:t>
            </w:r>
          </w:p>
          <w:p>
            <w:pPr>
              <w:spacing w:line="360" w:lineRule="auto"/>
              <w:jc w:val="center"/>
              <w:rPr>
                <w:b/>
                <w:bCs/>
                <w:color w:val="auto"/>
                <w:kern w:val="0"/>
                <w:szCs w:val="20"/>
              </w:rPr>
            </w:pPr>
            <w:r>
              <w:rPr>
                <w:rFonts w:hint="eastAsia"/>
                <w:b/>
                <w:bCs/>
                <w:color w:val="auto"/>
                <w:kern w:val="0"/>
                <w:sz w:val="24"/>
              </w:rPr>
              <w:t>表2-13  现有项目固废产生情况统计表</w:t>
            </w:r>
          </w:p>
          <w:tbl>
            <w:tblPr>
              <w:tblStyle w:val="3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06"/>
              <w:gridCol w:w="1008"/>
              <w:gridCol w:w="1323"/>
              <w:gridCol w:w="1072"/>
              <w:gridCol w:w="1814"/>
              <w:gridCol w:w="860"/>
              <w:gridCol w:w="859"/>
              <w:gridCol w:w="10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407" w:type="pct"/>
                  <w:vAlign w:val="center"/>
                </w:tcPr>
                <w:p>
                  <w:pPr>
                    <w:jc w:val="center"/>
                    <w:rPr>
                      <w:color w:val="auto"/>
                      <w:szCs w:val="21"/>
                    </w:rPr>
                  </w:pPr>
                  <w:r>
                    <w:rPr>
                      <w:rFonts w:hint="eastAsia"/>
                      <w:color w:val="auto"/>
                      <w:szCs w:val="21"/>
                    </w:rPr>
                    <w:t>序号</w:t>
                  </w:r>
                </w:p>
              </w:tc>
              <w:tc>
                <w:tcPr>
                  <w:tcW w:w="582" w:type="pct"/>
                  <w:vAlign w:val="center"/>
                </w:tcPr>
                <w:p>
                  <w:pPr>
                    <w:jc w:val="center"/>
                    <w:rPr>
                      <w:color w:val="auto"/>
                      <w:szCs w:val="21"/>
                    </w:rPr>
                  </w:pPr>
                  <w:r>
                    <w:rPr>
                      <w:color w:val="auto"/>
                      <w:szCs w:val="21"/>
                    </w:rPr>
                    <w:t>固体废物</w:t>
                  </w:r>
                </w:p>
                <w:p>
                  <w:pPr>
                    <w:jc w:val="center"/>
                    <w:rPr>
                      <w:color w:val="auto"/>
                      <w:szCs w:val="21"/>
                    </w:rPr>
                  </w:pPr>
                  <w:r>
                    <w:rPr>
                      <w:color w:val="auto"/>
                      <w:szCs w:val="21"/>
                    </w:rPr>
                    <w:t>名称</w:t>
                  </w:r>
                </w:p>
              </w:tc>
              <w:tc>
                <w:tcPr>
                  <w:tcW w:w="764" w:type="pct"/>
                  <w:vAlign w:val="center"/>
                </w:tcPr>
                <w:p>
                  <w:pPr>
                    <w:jc w:val="center"/>
                    <w:rPr>
                      <w:color w:val="auto"/>
                      <w:szCs w:val="21"/>
                    </w:rPr>
                  </w:pPr>
                  <w:r>
                    <w:rPr>
                      <w:color w:val="auto"/>
                      <w:szCs w:val="21"/>
                    </w:rPr>
                    <w:t>产生工序</w:t>
                  </w:r>
                </w:p>
              </w:tc>
              <w:tc>
                <w:tcPr>
                  <w:tcW w:w="619" w:type="pct"/>
                  <w:vAlign w:val="center"/>
                </w:tcPr>
                <w:p>
                  <w:pPr>
                    <w:jc w:val="center"/>
                    <w:rPr>
                      <w:color w:val="auto"/>
                      <w:szCs w:val="21"/>
                    </w:rPr>
                  </w:pPr>
                  <w:r>
                    <w:rPr>
                      <w:color w:val="auto"/>
                      <w:szCs w:val="21"/>
                    </w:rPr>
                    <w:t>属性</w:t>
                  </w:r>
                </w:p>
              </w:tc>
              <w:tc>
                <w:tcPr>
                  <w:tcW w:w="1047" w:type="pct"/>
                  <w:vAlign w:val="center"/>
                </w:tcPr>
                <w:p>
                  <w:pPr>
                    <w:jc w:val="center"/>
                    <w:rPr>
                      <w:color w:val="auto"/>
                      <w:szCs w:val="21"/>
                    </w:rPr>
                  </w:pPr>
                  <w:r>
                    <w:rPr>
                      <w:color w:val="auto"/>
                      <w:szCs w:val="21"/>
                    </w:rPr>
                    <w:t>废物代码</w:t>
                  </w:r>
                </w:p>
              </w:tc>
              <w:tc>
                <w:tcPr>
                  <w:tcW w:w="497" w:type="pct"/>
                  <w:vAlign w:val="center"/>
                </w:tcPr>
                <w:p>
                  <w:pPr>
                    <w:jc w:val="center"/>
                    <w:rPr>
                      <w:color w:val="auto"/>
                      <w:szCs w:val="21"/>
                    </w:rPr>
                  </w:pPr>
                  <w:r>
                    <w:rPr>
                      <w:color w:val="auto"/>
                      <w:szCs w:val="21"/>
                    </w:rPr>
                    <w:t>产生量（t/a）</w:t>
                  </w:r>
                </w:p>
              </w:tc>
              <w:tc>
                <w:tcPr>
                  <w:tcW w:w="496" w:type="pct"/>
                  <w:vAlign w:val="center"/>
                </w:tcPr>
                <w:p>
                  <w:pPr>
                    <w:jc w:val="center"/>
                    <w:rPr>
                      <w:color w:val="auto"/>
                      <w:szCs w:val="21"/>
                    </w:rPr>
                  </w:pPr>
                  <w:r>
                    <w:rPr>
                      <w:color w:val="auto"/>
                      <w:szCs w:val="21"/>
                    </w:rPr>
                    <w:t>利用处</w:t>
                  </w:r>
                </w:p>
                <w:p>
                  <w:pPr>
                    <w:jc w:val="center"/>
                    <w:rPr>
                      <w:color w:val="auto"/>
                      <w:szCs w:val="21"/>
                    </w:rPr>
                  </w:pPr>
                  <w:r>
                    <w:rPr>
                      <w:color w:val="auto"/>
                      <w:szCs w:val="21"/>
                    </w:rPr>
                    <w:t>置方式</w:t>
                  </w:r>
                </w:p>
              </w:tc>
              <w:tc>
                <w:tcPr>
                  <w:tcW w:w="585" w:type="pct"/>
                  <w:vAlign w:val="center"/>
                </w:tcPr>
                <w:p>
                  <w:pPr>
                    <w:jc w:val="center"/>
                    <w:rPr>
                      <w:color w:val="auto"/>
                      <w:szCs w:val="21"/>
                    </w:rPr>
                  </w:pPr>
                  <w:r>
                    <w:rPr>
                      <w:color w:val="auto"/>
                      <w:szCs w:val="21"/>
                    </w:rPr>
                    <w:t>利用处置</w:t>
                  </w:r>
                </w:p>
                <w:p>
                  <w:pPr>
                    <w:jc w:val="center"/>
                    <w:rPr>
                      <w:color w:val="auto"/>
                      <w:szCs w:val="21"/>
                    </w:rPr>
                  </w:pPr>
                  <w:r>
                    <w:rPr>
                      <w:color w:val="auto"/>
                      <w:szCs w:val="21"/>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4" w:hRule="atLeast"/>
              </w:trPr>
              <w:tc>
                <w:tcPr>
                  <w:tcW w:w="407" w:type="pct"/>
                  <w:shd w:val="clear" w:color="auto" w:fill="FFFFFF"/>
                  <w:vAlign w:val="center"/>
                </w:tcPr>
                <w:p>
                  <w:pPr>
                    <w:jc w:val="center"/>
                    <w:rPr>
                      <w:bCs/>
                      <w:color w:val="auto"/>
                      <w:szCs w:val="21"/>
                    </w:rPr>
                  </w:pPr>
                  <w:r>
                    <w:rPr>
                      <w:rFonts w:hint="eastAsia"/>
                      <w:bCs/>
                      <w:color w:val="auto"/>
                      <w:szCs w:val="21"/>
                    </w:rPr>
                    <w:t>1</w:t>
                  </w:r>
                </w:p>
              </w:tc>
              <w:tc>
                <w:tcPr>
                  <w:tcW w:w="582" w:type="pct"/>
                  <w:shd w:val="clear" w:color="auto" w:fill="FFFFFF"/>
                  <w:vAlign w:val="center"/>
                </w:tcPr>
                <w:p>
                  <w:pPr>
                    <w:jc w:val="center"/>
                    <w:rPr>
                      <w:bCs/>
                      <w:color w:val="auto"/>
                      <w:szCs w:val="21"/>
                    </w:rPr>
                  </w:pPr>
                  <w:r>
                    <w:rPr>
                      <w:bCs/>
                      <w:color w:val="auto"/>
                      <w:szCs w:val="21"/>
                    </w:rPr>
                    <w:t>清洗废液</w:t>
                  </w:r>
                </w:p>
              </w:tc>
              <w:tc>
                <w:tcPr>
                  <w:tcW w:w="764" w:type="pct"/>
                  <w:shd w:val="clear" w:color="auto" w:fill="auto"/>
                  <w:vAlign w:val="center"/>
                </w:tcPr>
                <w:p>
                  <w:pPr>
                    <w:jc w:val="center"/>
                    <w:rPr>
                      <w:bCs/>
                      <w:color w:val="auto"/>
                      <w:szCs w:val="21"/>
                    </w:rPr>
                  </w:pPr>
                  <w:r>
                    <w:rPr>
                      <w:bCs/>
                      <w:color w:val="auto"/>
                      <w:szCs w:val="21"/>
                    </w:rPr>
                    <w:t>零部件清洗</w:t>
                  </w:r>
                </w:p>
              </w:tc>
              <w:tc>
                <w:tcPr>
                  <w:tcW w:w="619" w:type="pct"/>
                  <w:vMerge w:val="restart"/>
                  <w:shd w:val="clear" w:color="auto" w:fill="FFFFFF"/>
                  <w:vAlign w:val="center"/>
                </w:tcPr>
                <w:p>
                  <w:pPr>
                    <w:jc w:val="center"/>
                    <w:rPr>
                      <w:color w:val="auto"/>
                      <w:kern w:val="0"/>
                      <w:szCs w:val="21"/>
                    </w:rPr>
                  </w:pPr>
                  <w:r>
                    <w:rPr>
                      <w:color w:val="auto"/>
                      <w:kern w:val="0"/>
                      <w:szCs w:val="21"/>
                    </w:rPr>
                    <w:t>危险</w:t>
                  </w:r>
                </w:p>
                <w:p>
                  <w:pPr>
                    <w:jc w:val="center"/>
                    <w:rPr>
                      <w:color w:val="auto"/>
                      <w:kern w:val="0"/>
                      <w:szCs w:val="21"/>
                    </w:rPr>
                  </w:pPr>
                  <w:r>
                    <w:rPr>
                      <w:color w:val="auto"/>
                      <w:kern w:val="0"/>
                      <w:szCs w:val="21"/>
                    </w:rPr>
                    <w:t>固废</w:t>
                  </w:r>
                </w:p>
              </w:tc>
              <w:tc>
                <w:tcPr>
                  <w:tcW w:w="1047" w:type="pct"/>
                  <w:vAlign w:val="center"/>
                </w:tcPr>
                <w:p>
                  <w:pPr>
                    <w:adjustRightInd w:val="0"/>
                    <w:snapToGrid w:val="0"/>
                    <w:jc w:val="center"/>
                    <w:rPr>
                      <w:color w:val="auto"/>
                      <w:szCs w:val="21"/>
                    </w:rPr>
                  </w:pPr>
                  <w:r>
                    <w:rPr>
                      <w:color w:val="auto"/>
                      <w:szCs w:val="21"/>
                    </w:rPr>
                    <w:t>900-402-06</w:t>
                  </w:r>
                </w:p>
              </w:tc>
              <w:tc>
                <w:tcPr>
                  <w:tcW w:w="497" w:type="pct"/>
                  <w:vAlign w:val="center"/>
                </w:tcPr>
                <w:p>
                  <w:pPr>
                    <w:jc w:val="center"/>
                    <w:rPr>
                      <w:color w:val="auto"/>
                      <w:szCs w:val="21"/>
                    </w:rPr>
                  </w:pPr>
                  <w:r>
                    <w:rPr>
                      <w:rFonts w:hint="eastAsia"/>
                      <w:color w:val="auto"/>
                      <w:szCs w:val="21"/>
                    </w:rPr>
                    <w:t>25</w:t>
                  </w:r>
                </w:p>
              </w:tc>
              <w:tc>
                <w:tcPr>
                  <w:tcW w:w="496" w:type="pct"/>
                  <w:vMerge w:val="restart"/>
                  <w:vAlign w:val="center"/>
                </w:tcPr>
                <w:p>
                  <w:pPr>
                    <w:jc w:val="center"/>
                    <w:rPr>
                      <w:color w:val="auto"/>
                      <w:kern w:val="0"/>
                      <w:szCs w:val="21"/>
                    </w:rPr>
                  </w:pPr>
                  <w:r>
                    <w:rPr>
                      <w:color w:val="auto"/>
                      <w:kern w:val="0"/>
                      <w:szCs w:val="21"/>
                    </w:rPr>
                    <w:t>处置</w:t>
                  </w:r>
                </w:p>
              </w:tc>
              <w:tc>
                <w:tcPr>
                  <w:tcW w:w="585" w:type="pct"/>
                  <w:vMerge w:val="restart"/>
                  <w:vAlign w:val="center"/>
                </w:tcPr>
                <w:p>
                  <w:pPr>
                    <w:jc w:val="center"/>
                    <w:rPr>
                      <w:rFonts w:hint="eastAsia" w:eastAsia="宋体"/>
                      <w:color w:val="auto"/>
                      <w:szCs w:val="21"/>
                      <w:lang w:eastAsia="zh-CN"/>
                    </w:rPr>
                  </w:pPr>
                  <w:r>
                    <w:rPr>
                      <w:rFonts w:hint="eastAsia"/>
                      <w:color w:val="auto"/>
                      <w:szCs w:val="21"/>
                      <w:lang w:eastAsia="zh-CN"/>
                    </w:rPr>
                    <w:t>常州大维环境科技有限公司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37" w:hRule="atLeast"/>
              </w:trPr>
              <w:tc>
                <w:tcPr>
                  <w:tcW w:w="407" w:type="pct"/>
                  <w:shd w:val="clear" w:color="auto" w:fill="FFFFFF"/>
                  <w:vAlign w:val="center"/>
                </w:tcPr>
                <w:p>
                  <w:pPr>
                    <w:jc w:val="center"/>
                    <w:rPr>
                      <w:bCs/>
                      <w:color w:val="auto"/>
                      <w:szCs w:val="21"/>
                    </w:rPr>
                  </w:pPr>
                  <w:r>
                    <w:rPr>
                      <w:rFonts w:hint="eastAsia"/>
                      <w:bCs/>
                      <w:color w:val="auto"/>
                      <w:szCs w:val="21"/>
                    </w:rPr>
                    <w:t>2</w:t>
                  </w:r>
                </w:p>
              </w:tc>
              <w:tc>
                <w:tcPr>
                  <w:tcW w:w="582" w:type="pct"/>
                  <w:shd w:val="clear" w:color="auto" w:fill="FFFFFF"/>
                  <w:vAlign w:val="center"/>
                </w:tcPr>
                <w:p>
                  <w:pPr>
                    <w:jc w:val="center"/>
                    <w:rPr>
                      <w:bCs/>
                      <w:color w:val="auto"/>
                      <w:szCs w:val="21"/>
                    </w:rPr>
                  </w:pPr>
                  <w:r>
                    <w:rPr>
                      <w:bCs/>
                      <w:color w:val="auto"/>
                      <w:szCs w:val="21"/>
                    </w:rPr>
                    <w:t>废包装瓶</w:t>
                  </w:r>
                </w:p>
              </w:tc>
              <w:tc>
                <w:tcPr>
                  <w:tcW w:w="764" w:type="pct"/>
                  <w:shd w:val="clear" w:color="auto" w:fill="auto"/>
                  <w:vAlign w:val="center"/>
                </w:tcPr>
                <w:p>
                  <w:pPr>
                    <w:jc w:val="center"/>
                    <w:rPr>
                      <w:bCs/>
                      <w:color w:val="auto"/>
                      <w:szCs w:val="21"/>
                    </w:rPr>
                  </w:pPr>
                  <w:r>
                    <w:rPr>
                      <w:bCs/>
                      <w:color w:val="auto"/>
                      <w:szCs w:val="21"/>
                    </w:rPr>
                    <w:t>零部件清洗</w:t>
                  </w:r>
                </w:p>
              </w:tc>
              <w:tc>
                <w:tcPr>
                  <w:tcW w:w="619" w:type="pct"/>
                  <w:vMerge w:val="continue"/>
                  <w:shd w:val="clear" w:color="auto" w:fill="FFFFFF"/>
                  <w:vAlign w:val="center"/>
                </w:tcPr>
                <w:p>
                  <w:pPr>
                    <w:jc w:val="center"/>
                    <w:rPr>
                      <w:color w:val="auto"/>
                      <w:kern w:val="0"/>
                      <w:szCs w:val="21"/>
                    </w:rPr>
                  </w:pPr>
                </w:p>
              </w:tc>
              <w:tc>
                <w:tcPr>
                  <w:tcW w:w="1047" w:type="pct"/>
                  <w:vAlign w:val="center"/>
                </w:tcPr>
                <w:p>
                  <w:pPr>
                    <w:adjustRightInd w:val="0"/>
                    <w:snapToGrid w:val="0"/>
                    <w:jc w:val="center"/>
                    <w:rPr>
                      <w:color w:val="auto"/>
                    </w:rPr>
                  </w:pPr>
                  <w:r>
                    <w:rPr>
                      <w:color w:val="auto"/>
                      <w:szCs w:val="21"/>
                    </w:rPr>
                    <w:t>900-041-49</w:t>
                  </w:r>
                </w:p>
              </w:tc>
              <w:tc>
                <w:tcPr>
                  <w:tcW w:w="497" w:type="pct"/>
                  <w:vAlign w:val="center"/>
                </w:tcPr>
                <w:p>
                  <w:pPr>
                    <w:jc w:val="center"/>
                    <w:rPr>
                      <w:color w:val="auto"/>
                      <w:szCs w:val="21"/>
                    </w:rPr>
                  </w:pPr>
                  <w:r>
                    <w:rPr>
                      <w:color w:val="auto"/>
                      <w:szCs w:val="21"/>
                    </w:rPr>
                    <w:t>0.5</w:t>
                  </w:r>
                </w:p>
              </w:tc>
              <w:tc>
                <w:tcPr>
                  <w:tcW w:w="496" w:type="pct"/>
                  <w:vMerge w:val="continue"/>
                  <w:vAlign w:val="center"/>
                </w:tcPr>
                <w:p>
                  <w:pPr>
                    <w:jc w:val="center"/>
                    <w:rPr>
                      <w:color w:val="auto"/>
                      <w:kern w:val="0"/>
                      <w:szCs w:val="21"/>
                    </w:rPr>
                  </w:pPr>
                </w:p>
              </w:tc>
              <w:tc>
                <w:tcPr>
                  <w:tcW w:w="585" w:type="pct"/>
                  <w:vMerge w:val="continue"/>
                  <w:vAlign w:val="center"/>
                </w:tcPr>
                <w:p>
                  <w:pPr>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44" w:hRule="atLeast"/>
              </w:trPr>
              <w:tc>
                <w:tcPr>
                  <w:tcW w:w="407" w:type="pct"/>
                  <w:shd w:val="clear" w:color="auto" w:fill="FFFFFF"/>
                  <w:vAlign w:val="center"/>
                </w:tcPr>
                <w:p>
                  <w:pPr>
                    <w:jc w:val="center"/>
                    <w:rPr>
                      <w:bCs/>
                      <w:color w:val="auto"/>
                      <w:szCs w:val="21"/>
                    </w:rPr>
                  </w:pPr>
                  <w:r>
                    <w:rPr>
                      <w:rFonts w:hint="eastAsia"/>
                      <w:bCs/>
                      <w:color w:val="auto"/>
                      <w:szCs w:val="21"/>
                    </w:rPr>
                    <w:t>3</w:t>
                  </w:r>
                </w:p>
              </w:tc>
              <w:tc>
                <w:tcPr>
                  <w:tcW w:w="582" w:type="pct"/>
                  <w:shd w:val="clear" w:color="auto" w:fill="FFFFFF"/>
                  <w:vAlign w:val="center"/>
                </w:tcPr>
                <w:p>
                  <w:pPr>
                    <w:jc w:val="center"/>
                    <w:rPr>
                      <w:bCs/>
                      <w:color w:val="auto"/>
                      <w:szCs w:val="21"/>
                    </w:rPr>
                  </w:pPr>
                  <w:r>
                    <w:rPr>
                      <w:bCs/>
                      <w:color w:val="auto"/>
                      <w:szCs w:val="21"/>
                    </w:rPr>
                    <w:t>废润滑油</w:t>
                  </w:r>
                </w:p>
              </w:tc>
              <w:tc>
                <w:tcPr>
                  <w:tcW w:w="764" w:type="pct"/>
                  <w:shd w:val="clear" w:color="auto" w:fill="auto"/>
                  <w:vAlign w:val="center"/>
                </w:tcPr>
                <w:p>
                  <w:pPr>
                    <w:jc w:val="center"/>
                    <w:rPr>
                      <w:bCs/>
                      <w:color w:val="auto"/>
                      <w:szCs w:val="21"/>
                    </w:rPr>
                  </w:pPr>
                  <w:r>
                    <w:rPr>
                      <w:bCs/>
                      <w:color w:val="auto"/>
                      <w:szCs w:val="21"/>
                    </w:rPr>
                    <w:t>零部件清洗</w:t>
                  </w:r>
                </w:p>
              </w:tc>
              <w:tc>
                <w:tcPr>
                  <w:tcW w:w="619" w:type="pct"/>
                  <w:vMerge w:val="continue"/>
                  <w:shd w:val="clear" w:color="auto" w:fill="FFFFFF"/>
                  <w:vAlign w:val="center"/>
                </w:tcPr>
                <w:p>
                  <w:pPr>
                    <w:jc w:val="center"/>
                    <w:rPr>
                      <w:color w:val="auto"/>
                      <w:kern w:val="0"/>
                      <w:szCs w:val="21"/>
                    </w:rPr>
                  </w:pPr>
                </w:p>
              </w:tc>
              <w:tc>
                <w:tcPr>
                  <w:tcW w:w="1047" w:type="pct"/>
                  <w:vAlign w:val="center"/>
                </w:tcPr>
                <w:p>
                  <w:pPr>
                    <w:jc w:val="center"/>
                    <w:rPr>
                      <w:color w:val="auto"/>
                    </w:rPr>
                  </w:pPr>
                  <w:r>
                    <w:rPr>
                      <w:color w:val="auto"/>
                    </w:rPr>
                    <w:t>900-200-08</w:t>
                  </w:r>
                </w:p>
              </w:tc>
              <w:tc>
                <w:tcPr>
                  <w:tcW w:w="497" w:type="pct"/>
                  <w:vAlign w:val="center"/>
                </w:tcPr>
                <w:p>
                  <w:pPr>
                    <w:jc w:val="center"/>
                    <w:rPr>
                      <w:color w:val="auto"/>
                      <w:szCs w:val="21"/>
                    </w:rPr>
                  </w:pPr>
                  <w:r>
                    <w:rPr>
                      <w:rFonts w:hint="eastAsia"/>
                      <w:color w:val="auto"/>
                      <w:szCs w:val="21"/>
                    </w:rPr>
                    <w:t>0.5</w:t>
                  </w:r>
                </w:p>
              </w:tc>
              <w:tc>
                <w:tcPr>
                  <w:tcW w:w="496" w:type="pct"/>
                  <w:vMerge w:val="continue"/>
                  <w:vAlign w:val="center"/>
                </w:tcPr>
                <w:p>
                  <w:pPr>
                    <w:jc w:val="center"/>
                    <w:rPr>
                      <w:color w:val="auto"/>
                      <w:kern w:val="0"/>
                      <w:szCs w:val="21"/>
                    </w:rPr>
                  </w:pPr>
                </w:p>
              </w:tc>
              <w:tc>
                <w:tcPr>
                  <w:tcW w:w="585" w:type="pct"/>
                  <w:vMerge w:val="continue"/>
                  <w:vAlign w:val="center"/>
                </w:tcPr>
                <w:p>
                  <w:pPr>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trPr>
              <w:tc>
                <w:tcPr>
                  <w:tcW w:w="407" w:type="pct"/>
                  <w:vAlign w:val="center"/>
                </w:tcPr>
                <w:p>
                  <w:pPr>
                    <w:jc w:val="center"/>
                    <w:rPr>
                      <w:bCs/>
                      <w:color w:val="auto"/>
                      <w:szCs w:val="21"/>
                    </w:rPr>
                  </w:pPr>
                  <w:r>
                    <w:rPr>
                      <w:rFonts w:hint="eastAsia"/>
                      <w:bCs/>
                      <w:color w:val="auto"/>
                      <w:szCs w:val="21"/>
                    </w:rPr>
                    <w:t>4</w:t>
                  </w:r>
                </w:p>
              </w:tc>
              <w:tc>
                <w:tcPr>
                  <w:tcW w:w="582" w:type="pct"/>
                  <w:vAlign w:val="center"/>
                </w:tcPr>
                <w:p>
                  <w:pPr>
                    <w:jc w:val="center"/>
                    <w:rPr>
                      <w:bCs/>
                      <w:color w:val="auto"/>
                      <w:szCs w:val="21"/>
                    </w:rPr>
                  </w:pPr>
                  <w:r>
                    <w:rPr>
                      <w:bCs/>
                      <w:color w:val="auto"/>
                      <w:szCs w:val="21"/>
                    </w:rPr>
                    <w:t>废活性炭</w:t>
                  </w:r>
                </w:p>
              </w:tc>
              <w:tc>
                <w:tcPr>
                  <w:tcW w:w="764" w:type="pct"/>
                  <w:vAlign w:val="center"/>
                </w:tcPr>
                <w:p>
                  <w:pPr>
                    <w:jc w:val="center"/>
                    <w:rPr>
                      <w:bCs/>
                      <w:color w:val="auto"/>
                      <w:szCs w:val="21"/>
                    </w:rPr>
                  </w:pPr>
                  <w:r>
                    <w:rPr>
                      <w:bCs/>
                      <w:color w:val="auto"/>
                      <w:szCs w:val="21"/>
                    </w:rPr>
                    <w:t>废气处理</w:t>
                  </w:r>
                </w:p>
              </w:tc>
              <w:tc>
                <w:tcPr>
                  <w:tcW w:w="619" w:type="pct"/>
                  <w:vMerge w:val="continue"/>
                  <w:vAlign w:val="center"/>
                </w:tcPr>
                <w:p>
                  <w:pPr>
                    <w:jc w:val="center"/>
                    <w:rPr>
                      <w:color w:val="auto"/>
                      <w:kern w:val="0"/>
                      <w:szCs w:val="21"/>
                    </w:rPr>
                  </w:pPr>
                </w:p>
              </w:tc>
              <w:tc>
                <w:tcPr>
                  <w:tcW w:w="1047" w:type="pct"/>
                  <w:vAlign w:val="center"/>
                </w:tcPr>
                <w:p>
                  <w:pPr>
                    <w:jc w:val="center"/>
                    <w:rPr>
                      <w:color w:val="auto"/>
                    </w:rPr>
                  </w:pPr>
                  <w:r>
                    <w:rPr>
                      <w:color w:val="auto"/>
                    </w:rPr>
                    <w:t>900-039-49</w:t>
                  </w:r>
                </w:p>
              </w:tc>
              <w:tc>
                <w:tcPr>
                  <w:tcW w:w="497" w:type="pct"/>
                  <w:vAlign w:val="center"/>
                </w:tcPr>
                <w:p>
                  <w:pPr>
                    <w:jc w:val="center"/>
                    <w:rPr>
                      <w:color w:val="auto"/>
                      <w:szCs w:val="21"/>
                    </w:rPr>
                  </w:pPr>
                  <w:r>
                    <w:rPr>
                      <w:color w:val="auto"/>
                      <w:szCs w:val="21"/>
                    </w:rPr>
                    <w:t>4</w:t>
                  </w:r>
                </w:p>
              </w:tc>
              <w:tc>
                <w:tcPr>
                  <w:tcW w:w="496" w:type="pct"/>
                  <w:vMerge w:val="continue"/>
                  <w:vAlign w:val="center"/>
                </w:tcPr>
                <w:p>
                  <w:pPr>
                    <w:jc w:val="center"/>
                    <w:rPr>
                      <w:color w:val="auto"/>
                      <w:kern w:val="0"/>
                      <w:szCs w:val="21"/>
                    </w:rPr>
                  </w:pPr>
                </w:p>
              </w:tc>
              <w:tc>
                <w:tcPr>
                  <w:tcW w:w="585" w:type="pct"/>
                  <w:vMerge w:val="continue"/>
                  <w:vAlign w:val="center"/>
                </w:tcPr>
                <w:p>
                  <w:pPr>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72" w:hRule="atLeast"/>
              </w:trPr>
              <w:tc>
                <w:tcPr>
                  <w:tcW w:w="407" w:type="pct"/>
                  <w:vAlign w:val="center"/>
                </w:tcPr>
                <w:p>
                  <w:pPr>
                    <w:jc w:val="center"/>
                    <w:rPr>
                      <w:bCs/>
                      <w:color w:val="auto"/>
                      <w:szCs w:val="21"/>
                    </w:rPr>
                  </w:pPr>
                  <w:r>
                    <w:rPr>
                      <w:rFonts w:hint="eastAsia"/>
                      <w:bCs/>
                      <w:color w:val="auto"/>
                      <w:szCs w:val="21"/>
                    </w:rPr>
                    <w:t>5</w:t>
                  </w:r>
                </w:p>
              </w:tc>
              <w:tc>
                <w:tcPr>
                  <w:tcW w:w="582" w:type="pct"/>
                  <w:vAlign w:val="center"/>
                </w:tcPr>
                <w:p>
                  <w:pPr>
                    <w:jc w:val="center"/>
                    <w:rPr>
                      <w:bCs/>
                      <w:color w:val="auto"/>
                      <w:szCs w:val="21"/>
                    </w:rPr>
                  </w:pPr>
                  <w:r>
                    <w:rPr>
                      <w:bCs/>
                      <w:color w:val="auto"/>
                      <w:szCs w:val="21"/>
                    </w:rPr>
                    <w:t>废过滤筒</w:t>
                  </w:r>
                </w:p>
              </w:tc>
              <w:tc>
                <w:tcPr>
                  <w:tcW w:w="764" w:type="pct"/>
                  <w:vAlign w:val="center"/>
                </w:tcPr>
                <w:p>
                  <w:pPr>
                    <w:jc w:val="center"/>
                    <w:rPr>
                      <w:bCs/>
                      <w:color w:val="auto"/>
                      <w:szCs w:val="21"/>
                    </w:rPr>
                  </w:pPr>
                  <w:r>
                    <w:rPr>
                      <w:bCs/>
                      <w:color w:val="auto"/>
                      <w:szCs w:val="21"/>
                    </w:rPr>
                    <w:t>纯水制备</w:t>
                  </w:r>
                </w:p>
              </w:tc>
              <w:tc>
                <w:tcPr>
                  <w:tcW w:w="619" w:type="pct"/>
                  <w:vMerge w:val="restart"/>
                  <w:vAlign w:val="center"/>
                </w:tcPr>
                <w:p>
                  <w:pPr>
                    <w:jc w:val="center"/>
                    <w:rPr>
                      <w:color w:val="auto"/>
                      <w:kern w:val="0"/>
                      <w:szCs w:val="21"/>
                    </w:rPr>
                  </w:pPr>
                  <w:r>
                    <w:rPr>
                      <w:color w:val="auto"/>
                      <w:kern w:val="0"/>
                      <w:szCs w:val="21"/>
                    </w:rPr>
                    <w:t>一般固废</w:t>
                  </w:r>
                </w:p>
              </w:tc>
              <w:tc>
                <w:tcPr>
                  <w:tcW w:w="1047" w:type="pct"/>
                  <w:vAlign w:val="center"/>
                </w:tcPr>
                <w:p>
                  <w:pPr>
                    <w:jc w:val="center"/>
                    <w:rPr>
                      <w:color w:val="auto"/>
                      <w:szCs w:val="21"/>
                    </w:rPr>
                  </w:pPr>
                  <w:r>
                    <w:rPr>
                      <w:color w:val="auto"/>
                      <w:szCs w:val="21"/>
                    </w:rPr>
                    <w:t>99*</w:t>
                  </w:r>
                </w:p>
              </w:tc>
              <w:tc>
                <w:tcPr>
                  <w:tcW w:w="497" w:type="pct"/>
                  <w:vAlign w:val="center"/>
                </w:tcPr>
                <w:p>
                  <w:pPr>
                    <w:jc w:val="center"/>
                    <w:rPr>
                      <w:color w:val="auto"/>
                      <w:szCs w:val="21"/>
                    </w:rPr>
                  </w:pPr>
                  <w:r>
                    <w:rPr>
                      <w:rFonts w:hint="eastAsia"/>
                      <w:color w:val="auto"/>
                      <w:szCs w:val="21"/>
                    </w:rPr>
                    <w:t>1</w:t>
                  </w:r>
                </w:p>
              </w:tc>
              <w:tc>
                <w:tcPr>
                  <w:tcW w:w="496" w:type="pct"/>
                  <w:vMerge w:val="restart"/>
                  <w:vAlign w:val="center"/>
                </w:tcPr>
                <w:p>
                  <w:pPr>
                    <w:jc w:val="center"/>
                    <w:rPr>
                      <w:color w:val="auto"/>
                      <w:kern w:val="0"/>
                      <w:szCs w:val="21"/>
                    </w:rPr>
                  </w:pPr>
                  <w:r>
                    <w:rPr>
                      <w:color w:val="auto"/>
                      <w:kern w:val="0"/>
                      <w:szCs w:val="21"/>
                    </w:rPr>
                    <w:t>处置</w:t>
                  </w:r>
                </w:p>
              </w:tc>
              <w:tc>
                <w:tcPr>
                  <w:tcW w:w="585" w:type="pct"/>
                  <w:vMerge w:val="restart"/>
                  <w:vAlign w:val="center"/>
                </w:tcPr>
                <w:p>
                  <w:pPr>
                    <w:jc w:val="center"/>
                    <w:rPr>
                      <w:color w:val="auto"/>
                      <w:szCs w:val="21"/>
                    </w:rPr>
                  </w:pPr>
                  <w:r>
                    <w:rPr>
                      <w:color w:val="auto"/>
                      <w:szCs w:val="21"/>
                    </w:rPr>
                    <w:t>专业单位处理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71" w:hRule="atLeast"/>
              </w:trPr>
              <w:tc>
                <w:tcPr>
                  <w:tcW w:w="407" w:type="pct"/>
                  <w:vAlign w:val="center"/>
                </w:tcPr>
                <w:p>
                  <w:pPr>
                    <w:jc w:val="center"/>
                    <w:rPr>
                      <w:bCs/>
                      <w:color w:val="auto"/>
                      <w:szCs w:val="21"/>
                    </w:rPr>
                  </w:pPr>
                  <w:r>
                    <w:rPr>
                      <w:rFonts w:hint="eastAsia"/>
                      <w:bCs/>
                      <w:color w:val="auto"/>
                      <w:szCs w:val="21"/>
                    </w:rPr>
                    <w:t>6</w:t>
                  </w:r>
                </w:p>
              </w:tc>
              <w:tc>
                <w:tcPr>
                  <w:tcW w:w="582" w:type="pct"/>
                  <w:vAlign w:val="center"/>
                </w:tcPr>
                <w:p>
                  <w:pPr>
                    <w:jc w:val="center"/>
                    <w:rPr>
                      <w:bCs/>
                      <w:color w:val="auto"/>
                      <w:szCs w:val="21"/>
                    </w:rPr>
                  </w:pPr>
                  <w:r>
                    <w:rPr>
                      <w:bCs/>
                      <w:color w:val="auto"/>
                      <w:szCs w:val="21"/>
                    </w:rPr>
                    <w:t>不合格件</w:t>
                  </w:r>
                </w:p>
              </w:tc>
              <w:tc>
                <w:tcPr>
                  <w:tcW w:w="764" w:type="pct"/>
                  <w:vAlign w:val="center"/>
                </w:tcPr>
                <w:p>
                  <w:pPr>
                    <w:jc w:val="center"/>
                    <w:rPr>
                      <w:bCs/>
                      <w:color w:val="auto"/>
                      <w:szCs w:val="21"/>
                    </w:rPr>
                  </w:pPr>
                  <w:r>
                    <w:rPr>
                      <w:bCs/>
                      <w:color w:val="auto"/>
                      <w:szCs w:val="21"/>
                    </w:rPr>
                    <w:t>产品制作</w:t>
                  </w:r>
                </w:p>
              </w:tc>
              <w:tc>
                <w:tcPr>
                  <w:tcW w:w="619" w:type="pct"/>
                  <w:vMerge w:val="continue"/>
                  <w:vAlign w:val="center"/>
                </w:tcPr>
                <w:p>
                  <w:pPr>
                    <w:jc w:val="center"/>
                    <w:rPr>
                      <w:color w:val="auto"/>
                      <w:kern w:val="0"/>
                      <w:szCs w:val="21"/>
                    </w:rPr>
                  </w:pPr>
                </w:p>
              </w:tc>
              <w:tc>
                <w:tcPr>
                  <w:tcW w:w="1047" w:type="pct"/>
                  <w:vAlign w:val="center"/>
                </w:tcPr>
                <w:p>
                  <w:pPr>
                    <w:jc w:val="center"/>
                    <w:rPr>
                      <w:color w:val="auto"/>
                      <w:szCs w:val="21"/>
                    </w:rPr>
                  </w:pPr>
                  <w:r>
                    <w:rPr>
                      <w:color w:val="auto"/>
                      <w:szCs w:val="21"/>
                    </w:rPr>
                    <w:t>14*</w:t>
                  </w:r>
                </w:p>
              </w:tc>
              <w:tc>
                <w:tcPr>
                  <w:tcW w:w="497" w:type="pct"/>
                  <w:vAlign w:val="center"/>
                </w:tcPr>
                <w:p>
                  <w:pPr>
                    <w:jc w:val="center"/>
                    <w:rPr>
                      <w:color w:val="auto"/>
                      <w:szCs w:val="21"/>
                    </w:rPr>
                  </w:pPr>
                  <w:r>
                    <w:rPr>
                      <w:color w:val="auto"/>
                      <w:szCs w:val="21"/>
                    </w:rPr>
                    <w:t>0.</w:t>
                  </w:r>
                  <w:r>
                    <w:rPr>
                      <w:rFonts w:hint="eastAsia"/>
                      <w:color w:val="auto"/>
                      <w:szCs w:val="21"/>
                    </w:rPr>
                    <w:t>3</w:t>
                  </w:r>
                </w:p>
              </w:tc>
              <w:tc>
                <w:tcPr>
                  <w:tcW w:w="496" w:type="pct"/>
                  <w:vMerge w:val="continue"/>
                  <w:vAlign w:val="center"/>
                </w:tcPr>
                <w:p>
                  <w:pPr>
                    <w:jc w:val="center"/>
                    <w:rPr>
                      <w:color w:val="auto"/>
                      <w:kern w:val="0"/>
                      <w:szCs w:val="21"/>
                    </w:rPr>
                  </w:pPr>
                </w:p>
              </w:tc>
              <w:tc>
                <w:tcPr>
                  <w:tcW w:w="585" w:type="pct"/>
                  <w:vMerge w:val="continue"/>
                  <w:vAlign w:val="center"/>
                </w:tcPr>
                <w:p>
                  <w:pPr>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71" w:hRule="atLeast"/>
              </w:trPr>
              <w:tc>
                <w:tcPr>
                  <w:tcW w:w="407" w:type="pct"/>
                  <w:vAlign w:val="center"/>
                </w:tcPr>
                <w:p>
                  <w:pPr>
                    <w:jc w:val="center"/>
                    <w:rPr>
                      <w:bCs/>
                      <w:color w:val="auto"/>
                      <w:szCs w:val="21"/>
                    </w:rPr>
                  </w:pPr>
                  <w:r>
                    <w:rPr>
                      <w:rFonts w:hint="eastAsia"/>
                      <w:bCs/>
                      <w:color w:val="auto"/>
                      <w:szCs w:val="21"/>
                    </w:rPr>
                    <w:t>7</w:t>
                  </w:r>
                </w:p>
              </w:tc>
              <w:tc>
                <w:tcPr>
                  <w:tcW w:w="582" w:type="pct"/>
                  <w:vAlign w:val="center"/>
                </w:tcPr>
                <w:p>
                  <w:pPr>
                    <w:jc w:val="center"/>
                    <w:rPr>
                      <w:bCs/>
                      <w:color w:val="auto"/>
                      <w:szCs w:val="21"/>
                    </w:rPr>
                  </w:pPr>
                  <w:r>
                    <w:rPr>
                      <w:rFonts w:hint="eastAsia"/>
                      <w:bCs/>
                      <w:color w:val="auto"/>
                      <w:szCs w:val="21"/>
                    </w:rPr>
                    <w:t>抛光粉沉淀物</w:t>
                  </w:r>
                </w:p>
              </w:tc>
              <w:tc>
                <w:tcPr>
                  <w:tcW w:w="764" w:type="pct"/>
                  <w:vAlign w:val="center"/>
                </w:tcPr>
                <w:p>
                  <w:pPr>
                    <w:jc w:val="center"/>
                    <w:rPr>
                      <w:bCs/>
                      <w:color w:val="auto"/>
                      <w:szCs w:val="21"/>
                    </w:rPr>
                  </w:pPr>
                  <w:r>
                    <w:rPr>
                      <w:rFonts w:hint="eastAsia"/>
                      <w:bCs/>
                      <w:color w:val="auto"/>
                      <w:szCs w:val="21"/>
                    </w:rPr>
                    <w:t>微通道板及光纤元件抛光（以新带老）</w:t>
                  </w:r>
                </w:p>
              </w:tc>
              <w:tc>
                <w:tcPr>
                  <w:tcW w:w="619" w:type="pct"/>
                  <w:vMerge w:val="continue"/>
                  <w:vAlign w:val="center"/>
                </w:tcPr>
                <w:p>
                  <w:pPr>
                    <w:jc w:val="center"/>
                    <w:rPr>
                      <w:color w:val="auto"/>
                      <w:kern w:val="0"/>
                      <w:szCs w:val="21"/>
                    </w:rPr>
                  </w:pPr>
                </w:p>
              </w:tc>
              <w:tc>
                <w:tcPr>
                  <w:tcW w:w="1047" w:type="pct"/>
                  <w:vAlign w:val="center"/>
                </w:tcPr>
                <w:p>
                  <w:pPr>
                    <w:jc w:val="center"/>
                    <w:rPr>
                      <w:color w:val="auto"/>
                      <w:szCs w:val="21"/>
                    </w:rPr>
                  </w:pPr>
                  <w:r>
                    <w:rPr>
                      <w:rFonts w:hint="eastAsia"/>
                      <w:color w:val="auto"/>
                      <w:szCs w:val="21"/>
                    </w:rPr>
                    <w:t>99</w:t>
                  </w:r>
                  <w:r>
                    <w:rPr>
                      <w:color w:val="auto"/>
                      <w:szCs w:val="21"/>
                    </w:rPr>
                    <w:t>*</w:t>
                  </w:r>
                </w:p>
              </w:tc>
              <w:tc>
                <w:tcPr>
                  <w:tcW w:w="497" w:type="pct"/>
                  <w:vAlign w:val="center"/>
                </w:tcPr>
                <w:p>
                  <w:pPr>
                    <w:jc w:val="center"/>
                    <w:rPr>
                      <w:color w:val="auto"/>
                      <w:szCs w:val="21"/>
                    </w:rPr>
                  </w:pPr>
                  <w:r>
                    <w:rPr>
                      <w:rFonts w:hint="eastAsia"/>
                      <w:color w:val="auto"/>
                      <w:szCs w:val="21"/>
                    </w:rPr>
                    <w:t>4</w:t>
                  </w:r>
                </w:p>
              </w:tc>
              <w:tc>
                <w:tcPr>
                  <w:tcW w:w="496" w:type="pct"/>
                  <w:vMerge w:val="continue"/>
                  <w:vAlign w:val="center"/>
                </w:tcPr>
                <w:p>
                  <w:pPr>
                    <w:jc w:val="center"/>
                    <w:rPr>
                      <w:color w:val="auto"/>
                      <w:kern w:val="0"/>
                      <w:szCs w:val="21"/>
                    </w:rPr>
                  </w:pPr>
                </w:p>
              </w:tc>
              <w:tc>
                <w:tcPr>
                  <w:tcW w:w="585" w:type="pct"/>
                  <w:vMerge w:val="continue"/>
                  <w:vAlign w:val="center"/>
                </w:tcPr>
                <w:p>
                  <w:pPr>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17" w:hRule="atLeast"/>
              </w:trPr>
              <w:tc>
                <w:tcPr>
                  <w:tcW w:w="407" w:type="pct"/>
                  <w:vAlign w:val="center"/>
                </w:tcPr>
                <w:p>
                  <w:pPr>
                    <w:jc w:val="center"/>
                    <w:rPr>
                      <w:bCs/>
                      <w:color w:val="auto"/>
                      <w:szCs w:val="21"/>
                    </w:rPr>
                  </w:pPr>
                  <w:r>
                    <w:rPr>
                      <w:rFonts w:hint="eastAsia"/>
                      <w:bCs/>
                      <w:color w:val="auto"/>
                      <w:szCs w:val="21"/>
                    </w:rPr>
                    <w:t>8</w:t>
                  </w:r>
                </w:p>
              </w:tc>
              <w:tc>
                <w:tcPr>
                  <w:tcW w:w="582" w:type="pct"/>
                  <w:vAlign w:val="center"/>
                </w:tcPr>
                <w:p>
                  <w:pPr>
                    <w:jc w:val="center"/>
                    <w:rPr>
                      <w:bCs/>
                      <w:color w:val="auto"/>
                      <w:szCs w:val="21"/>
                    </w:rPr>
                  </w:pPr>
                  <w:r>
                    <w:rPr>
                      <w:color w:val="auto"/>
                      <w:sz w:val="24"/>
                      <w:lang w:val="zh-CN"/>
                    </w:rPr>
                    <w:t>玻璃屑</w:t>
                  </w:r>
                </w:p>
              </w:tc>
              <w:tc>
                <w:tcPr>
                  <w:tcW w:w="764" w:type="pct"/>
                  <w:vAlign w:val="center"/>
                </w:tcPr>
                <w:p>
                  <w:pPr>
                    <w:jc w:val="center"/>
                    <w:rPr>
                      <w:bCs/>
                      <w:color w:val="auto"/>
                      <w:szCs w:val="21"/>
                    </w:rPr>
                  </w:pPr>
                  <w:r>
                    <w:rPr>
                      <w:color w:val="auto"/>
                      <w:sz w:val="24"/>
                      <w:lang w:val="zh-CN"/>
                    </w:rPr>
                    <w:t>研磨</w:t>
                  </w:r>
                </w:p>
              </w:tc>
              <w:tc>
                <w:tcPr>
                  <w:tcW w:w="619" w:type="pct"/>
                  <w:vMerge w:val="continue"/>
                  <w:vAlign w:val="center"/>
                </w:tcPr>
                <w:p>
                  <w:pPr>
                    <w:jc w:val="center"/>
                    <w:rPr>
                      <w:color w:val="auto"/>
                      <w:kern w:val="0"/>
                      <w:szCs w:val="21"/>
                    </w:rPr>
                  </w:pPr>
                </w:p>
              </w:tc>
              <w:tc>
                <w:tcPr>
                  <w:tcW w:w="1047" w:type="pct"/>
                  <w:vAlign w:val="center"/>
                </w:tcPr>
                <w:p>
                  <w:pPr>
                    <w:jc w:val="center"/>
                    <w:rPr>
                      <w:color w:val="auto"/>
                      <w:szCs w:val="21"/>
                    </w:rPr>
                  </w:pPr>
                  <w:r>
                    <w:rPr>
                      <w:rFonts w:hint="eastAsia"/>
                      <w:color w:val="auto"/>
                      <w:szCs w:val="21"/>
                    </w:rPr>
                    <w:t>99</w:t>
                  </w:r>
                  <w:r>
                    <w:rPr>
                      <w:color w:val="auto"/>
                      <w:szCs w:val="21"/>
                    </w:rPr>
                    <w:t>*</w:t>
                  </w:r>
                </w:p>
              </w:tc>
              <w:tc>
                <w:tcPr>
                  <w:tcW w:w="497" w:type="pct"/>
                  <w:vAlign w:val="center"/>
                </w:tcPr>
                <w:p>
                  <w:pPr>
                    <w:jc w:val="center"/>
                    <w:rPr>
                      <w:color w:val="auto"/>
                      <w:szCs w:val="21"/>
                    </w:rPr>
                  </w:pPr>
                  <w:r>
                    <w:rPr>
                      <w:rFonts w:hint="eastAsia"/>
                      <w:color w:val="auto"/>
                      <w:szCs w:val="21"/>
                    </w:rPr>
                    <w:t>2</w:t>
                  </w:r>
                </w:p>
              </w:tc>
              <w:tc>
                <w:tcPr>
                  <w:tcW w:w="496" w:type="pct"/>
                  <w:vMerge w:val="continue"/>
                  <w:vAlign w:val="center"/>
                </w:tcPr>
                <w:p>
                  <w:pPr>
                    <w:jc w:val="center"/>
                    <w:rPr>
                      <w:color w:val="auto"/>
                      <w:kern w:val="0"/>
                      <w:szCs w:val="21"/>
                    </w:rPr>
                  </w:pPr>
                </w:p>
              </w:tc>
              <w:tc>
                <w:tcPr>
                  <w:tcW w:w="585" w:type="pct"/>
                  <w:vMerge w:val="continue"/>
                  <w:vAlign w:val="center"/>
                </w:tcPr>
                <w:p>
                  <w:pPr>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4" w:hRule="atLeast"/>
              </w:trPr>
              <w:tc>
                <w:tcPr>
                  <w:tcW w:w="407" w:type="pct"/>
                  <w:vAlign w:val="center"/>
                </w:tcPr>
                <w:p>
                  <w:pPr>
                    <w:jc w:val="center"/>
                    <w:rPr>
                      <w:bCs/>
                      <w:color w:val="auto"/>
                      <w:szCs w:val="21"/>
                    </w:rPr>
                  </w:pPr>
                  <w:r>
                    <w:rPr>
                      <w:rFonts w:hint="eastAsia"/>
                      <w:bCs/>
                      <w:color w:val="auto"/>
                      <w:szCs w:val="21"/>
                    </w:rPr>
                    <w:t>9</w:t>
                  </w:r>
                </w:p>
              </w:tc>
              <w:tc>
                <w:tcPr>
                  <w:tcW w:w="582" w:type="pct"/>
                  <w:vAlign w:val="center"/>
                </w:tcPr>
                <w:p>
                  <w:pPr>
                    <w:jc w:val="center"/>
                    <w:rPr>
                      <w:color w:val="auto"/>
                      <w:szCs w:val="21"/>
                      <w:lang w:val="zh-CN"/>
                    </w:rPr>
                  </w:pPr>
                  <w:r>
                    <w:rPr>
                      <w:rFonts w:hint="eastAsia"/>
                      <w:color w:val="auto"/>
                      <w:szCs w:val="21"/>
                      <w:lang w:val="zh-CN"/>
                    </w:rPr>
                    <w:t>生活垃圾</w:t>
                  </w:r>
                </w:p>
              </w:tc>
              <w:tc>
                <w:tcPr>
                  <w:tcW w:w="764" w:type="pct"/>
                  <w:vAlign w:val="center"/>
                </w:tcPr>
                <w:p>
                  <w:pPr>
                    <w:jc w:val="center"/>
                    <w:rPr>
                      <w:color w:val="auto"/>
                      <w:sz w:val="24"/>
                    </w:rPr>
                  </w:pPr>
                  <w:r>
                    <w:rPr>
                      <w:rFonts w:hint="eastAsia"/>
                      <w:color w:val="auto"/>
                      <w:sz w:val="24"/>
                    </w:rPr>
                    <w:t>--</w:t>
                  </w:r>
                </w:p>
              </w:tc>
              <w:tc>
                <w:tcPr>
                  <w:tcW w:w="619" w:type="pct"/>
                  <w:vAlign w:val="center"/>
                </w:tcPr>
                <w:p>
                  <w:pPr>
                    <w:jc w:val="center"/>
                    <w:rPr>
                      <w:color w:val="auto"/>
                      <w:kern w:val="0"/>
                      <w:szCs w:val="21"/>
                    </w:rPr>
                  </w:pPr>
                  <w:r>
                    <w:rPr>
                      <w:rFonts w:hint="eastAsia"/>
                      <w:color w:val="auto"/>
                      <w:kern w:val="0"/>
                      <w:szCs w:val="21"/>
                    </w:rPr>
                    <w:t>--</w:t>
                  </w:r>
                </w:p>
              </w:tc>
              <w:tc>
                <w:tcPr>
                  <w:tcW w:w="1047" w:type="pct"/>
                  <w:vAlign w:val="center"/>
                </w:tcPr>
                <w:p>
                  <w:pPr>
                    <w:jc w:val="center"/>
                    <w:rPr>
                      <w:color w:val="auto"/>
                      <w:szCs w:val="21"/>
                    </w:rPr>
                  </w:pPr>
                  <w:r>
                    <w:rPr>
                      <w:rFonts w:hint="eastAsia"/>
                      <w:color w:val="auto"/>
                      <w:szCs w:val="21"/>
                    </w:rPr>
                    <w:t>--</w:t>
                  </w:r>
                </w:p>
              </w:tc>
              <w:tc>
                <w:tcPr>
                  <w:tcW w:w="497" w:type="pct"/>
                  <w:vAlign w:val="center"/>
                </w:tcPr>
                <w:p>
                  <w:pPr>
                    <w:jc w:val="center"/>
                    <w:rPr>
                      <w:color w:val="auto"/>
                      <w:szCs w:val="21"/>
                    </w:rPr>
                  </w:pPr>
                  <w:r>
                    <w:rPr>
                      <w:rFonts w:hint="eastAsia"/>
                      <w:color w:val="auto"/>
                      <w:szCs w:val="21"/>
                    </w:rPr>
                    <w:t>30</w:t>
                  </w:r>
                </w:p>
              </w:tc>
              <w:tc>
                <w:tcPr>
                  <w:tcW w:w="1081" w:type="pct"/>
                  <w:gridSpan w:val="2"/>
                  <w:vAlign w:val="center"/>
                </w:tcPr>
                <w:p>
                  <w:pPr>
                    <w:jc w:val="center"/>
                    <w:rPr>
                      <w:color w:val="auto"/>
                      <w:szCs w:val="21"/>
                    </w:rPr>
                  </w:pPr>
                  <w:r>
                    <w:rPr>
                      <w:rFonts w:hint="eastAsia"/>
                      <w:color w:val="auto"/>
                      <w:szCs w:val="21"/>
                    </w:rPr>
                    <w:t>环卫部门收集处理</w:t>
                  </w:r>
                </w:p>
              </w:tc>
            </w:tr>
            <w:bookmarkEnd w:id="5"/>
          </w:tbl>
          <w:p>
            <w:pPr>
              <w:numPr>
                <w:ilvl w:val="0"/>
                <w:numId w:val="7"/>
              </w:numPr>
              <w:snapToGrid w:val="0"/>
              <w:spacing w:beforeLines="50" w:line="360" w:lineRule="auto"/>
              <w:ind w:firstLine="482" w:firstLineChars="200"/>
              <w:rPr>
                <w:b/>
                <w:bCs/>
                <w:color w:val="auto"/>
                <w:sz w:val="24"/>
              </w:rPr>
            </w:pPr>
            <w:r>
              <w:rPr>
                <w:b/>
                <w:bCs/>
                <w:color w:val="auto"/>
                <w:sz w:val="24"/>
              </w:rPr>
              <w:t>污染物达标排放情况</w:t>
            </w:r>
          </w:p>
          <w:p>
            <w:pPr>
              <w:snapToGrid w:val="0"/>
              <w:spacing w:line="360" w:lineRule="auto"/>
              <w:ind w:firstLine="482" w:firstLineChars="200"/>
              <w:rPr>
                <w:b/>
                <w:bCs/>
                <w:color w:val="auto"/>
                <w:sz w:val="24"/>
              </w:rPr>
            </w:pPr>
            <w:r>
              <w:rPr>
                <w:b/>
                <w:bCs/>
                <w:color w:val="auto"/>
                <w:sz w:val="24"/>
              </w:rPr>
              <w:fldChar w:fldCharType="begin"/>
            </w:r>
            <w:r>
              <w:rPr>
                <w:b/>
                <w:bCs/>
                <w:color w:val="auto"/>
                <w:sz w:val="24"/>
              </w:rPr>
              <w:instrText xml:space="preserve"> = 1 \* GB3 \* MERGEFORMAT </w:instrText>
            </w:r>
            <w:r>
              <w:rPr>
                <w:b/>
                <w:bCs/>
                <w:color w:val="auto"/>
                <w:sz w:val="24"/>
              </w:rPr>
              <w:fldChar w:fldCharType="separate"/>
            </w:r>
            <w:r>
              <w:rPr>
                <w:rFonts w:hint="eastAsia" w:ascii="宋体" w:hAnsi="宋体" w:cs="宋体"/>
                <w:color w:val="auto"/>
              </w:rPr>
              <w:t>①</w:t>
            </w:r>
            <w:r>
              <w:rPr>
                <w:b/>
                <w:bCs/>
                <w:color w:val="auto"/>
                <w:sz w:val="24"/>
              </w:rPr>
              <w:fldChar w:fldCharType="end"/>
            </w:r>
            <w:r>
              <w:rPr>
                <w:b/>
                <w:bCs/>
                <w:color w:val="auto"/>
                <w:sz w:val="24"/>
              </w:rPr>
              <w:t>废气达标情况</w:t>
            </w:r>
          </w:p>
          <w:p>
            <w:pPr>
              <w:pStyle w:val="6"/>
              <w:ind w:firstLine="480" w:firstLineChars="200"/>
              <w:jc w:val="both"/>
              <w:rPr>
                <w:rFonts w:ascii="Times New Roman" w:hAnsi="Times New Roman"/>
                <w:color w:val="auto"/>
                <w:sz w:val="24"/>
                <w:szCs w:val="24"/>
              </w:rPr>
            </w:pPr>
            <w:r>
              <w:rPr>
                <w:rFonts w:ascii="Times New Roman" w:hAnsi="Times New Roman"/>
                <w:color w:val="auto"/>
                <w:sz w:val="24"/>
                <w:szCs w:val="24"/>
              </w:rPr>
              <w:t>根据2022年3月</w:t>
            </w:r>
            <w:r>
              <w:rPr>
                <w:rFonts w:hint="eastAsia" w:ascii="Times New Roman" w:hAnsi="Times New Roman"/>
                <w:color w:val="auto"/>
                <w:sz w:val="24"/>
                <w:szCs w:val="24"/>
              </w:rPr>
              <w:t>1日</w:t>
            </w:r>
            <w:r>
              <w:rPr>
                <w:rFonts w:ascii="Times New Roman" w:hAnsi="Times New Roman"/>
                <w:color w:val="auto"/>
                <w:sz w:val="24"/>
                <w:szCs w:val="24"/>
              </w:rPr>
              <w:t>江苏雁蓝检测科技有限公司对公司现有项目进行监测，监测报告(2022)环检（综）字第（W0174），现有项目有组织废气排放情况见下表：</w:t>
            </w:r>
          </w:p>
          <w:p>
            <w:pPr>
              <w:snapToGrid w:val="0"/>
              <w:spacing w:line="360" w:lineRule="auto"/>
              <w:jc w:val="center"/>
              <w:rPr>
                <w:b/>
                <w:bCs/>
                <w:color w:val="auto"/>
                <w:sz w:val="24"/>
              </w:rPr>
            </w:pPr>
            <w:r>
              <w:rPr>
                <w:b/>
                <w:bCs/>
                <w:color w:val="auto"/>
                <w:sz w:val="24"/>
              </w:rPr>
              <w:t>表2-1</w:t>
            </w:r>
            <w:r>
              <w:rPr>
                <w:rFonts w:hint="eastAsia"/>
                <w:b/>
                <w:bCs/>
                <w:color w:val="auto"/>
                <w:sz w:val="24"/>
              </w:rPr>
              <w:t>4</w:t>
            </w:r>
            <w:r>
              <w:rPr>
                <w:b/>
                <w:bCs/>
                <w:color w:val="auto"/>
                <w:sz w:val="24"/>
              </w:rPr>
              <w:t xml:space="preserve">  现有项目有组织废气排放实测情况一览表</w:t>
            </w:r>
          </w:p>
          <w:tbl>
            <w:tblPr>
              <w:tblStyle w:val="3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4"/>
              <w:gridCol w:w="1336"/>
              <w:gridCol w:w="2231"/>
              <w:gridCol w:w="959"/>
              <w:gridCol w:w="1267"/>
              <w:gridCol w:w="1068"/>
              <w:gridCol w:w="10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441" w:type="pct"/>
                  <w:vAlign w:val="center"/>
                </w:tcPr>
                <w:p>
                  <w:pPr>
                    <w:jc w:val="center"/>
                    <w:rPr>
                      <w:b/>
                      <w:bCs/>
                      <w:color w:val="auto"/>
                      <w:szCs w:val="21"/>
                    </w:rPr>
                  </w:pPr>
                  <w:r>
                    <w:rPr>
                      <w:b/>
                      <w:bCs/>
                      <w:color w:val="auto"/>
                      <w:szCs w:val="21"/>
                    </w:rPr>
                    <w:t>监测时间</w:t>
                  </w:r>
                </w:p>
              </w:tc>
              <w:tc>
                <w:tcPr>
                  <w:tcW w:w="772" w:type="pct"/>
                  <w:vAlign w:val="center"/>
                </w:tcPr>
                <w:p>
                  <w:pPr>
                    <w:jc w:val="center"/>
                    <w:rPr>
                      <w:b/>
                      <w:bCs/>
                      <w:color w:val="auto"/>
                      <w:szCs w:val="21"/>
                    </w:rPr>
                  </w:pPr>
                  <w:r>
                    <w:rPr>
                      <w:b/>
                      <w:bCs/>
                      <w:color w:val="auto"/>
                      <w:szCs w:val="21"/>
                    </w:rPr>
                    <w:t>监测点</w:t>
                  </w:r>
                </w:p>
              </w:tc>
              <w:tc>
                <w:tcPr>
                  <w:tcW w:w="1289" w:type="pct"/>
                  <w:vAlign w:val="center"/>
                </w:tcPr>
                <w:p>
                  <w:pPr>
                    <w:jc w:val="center"/>
                    <w:rPr>
                      <w:b/>
                      <w:bCs/>
                      <w:color w:val="auto"/>
                      <w:szCs w:val="21"/>
                    </w:rPr>
                  </w:pPr>
                  <w:r>
                    <w:rPr>
                      <w:b/>
                      <w:bCs/>
                      <w:color w:val="auto"/>
                      <w:szCs w:val="21"/>
                    </w:rPr>
                    <w:t>监测项目</w:t>
                  </w:r>
                </w:p>
              </w:tc>
              <w:tc>
                <w:tcPr>
                  <w:tcW w:w="554" w:type="pct"/>
                  <w:vAlign w:val="center"/>
                </w:tcPr>
                <w:p>
                  <w:pPr>
                    <w:jc w:val="center"/>
                    <w:rPr>
                      <w:b/>
                      <w:bCs/>
                      <w:color w:val="auto"/>
                      <w:szCs w:val="21"/>
                    </w:rPr>
                  </w:pPr>
                  <w:r>
                    <w:rPr>
                      <w:b/>
                      <w:bCs/>
                      <w:color w:val="auto"/>
                      <w:szCs w:val="21"/>
                    </w:rPr>
                    <w:t>单位</w:t>
                  </w:r>
                </w:p>
              </w:tc>
              <w:tc>
                <w:tcPr>
                  <w:tcW w:w="732" w:type="pct"/>
                  <w:vAlign w:val="center"/>
                </w:tcPr>
                <w:p>
                  <w:pPr>
                    <w:jc w:val="center"/>
                    <w:rPr>
                      <w:b/>
                      <w:bCs/>
                      <w:color w:val="auto"/>
                      <w:szCs w:val="21"/>
                    </w:rPr>
                  </w:pPr>
                  <w:r>
                    <w:rPr>
                      <w:b/>
                      <w:bCs/>
                      <w:color w:val="auto"/>
                      <w:szCs w:val="21"/>
                    </w:rPr>
                    <w:t>监测结果</w:t>
                  </w:r>
                </w:p>
              </w:tc>
              <w:tc>
                <w:tcPr>
                  <w:tcW w:w="617" w:type="pct"/>
                  <w:vAlign w:val="center"/>
                </w:tcPr>
                <w:p>
                  <w:pPr>
                    <w:jc w:val="center"/>
                    <w:rPr>
                      <w:b/>
                      <w:bCs/>
                      <w:color w:val="auto"/>
                      <w:szCs w:val="21"/>
                    </w:rPr>
                  </w:pPr>
                  <w:r>
                    <w:rPr>
                      <w:b/>
                      <w:bCs/>
                      <w:color w:val="auto"/>
                      <w:szCs w:val="21"/>
                    </w:rPr>
                    <w:t>标准</w:t>
                  </w:r>
                </w:p>
              </w:tc>
              <w:tc>
                <w:tcPr>
                  <w:tcW w:w="595" w:type="pct"/>
                  <w:vAlign w:val="center"/>
                </w:tcPr>
                <w:p>
                  <w:pPr>
                    <w:jc w:val="center"/>
                    <w:rPr>
                      <w:b/>
                      <w:bCs/>
                      <w:color w:val="auto"/>
                      <w:szCs w:val="21"/>
                    </w:rPr>
                  </w:pPr>
                  <w:r>
                    <w:rPr>
                      <w:b/>
                      <w:bCs/>
                      <w:color w:val="auto"/>
                      <w:szCs w:val="21"/>
                    </w:rPr>
                    <w:t>达标</w:t>
                  </w:r>
                </w:p>
                <w:p>
                  <w:pPr>
                    <w:jc w:val="center"/>
                    <w:rPr>
                      <w:b/>
                      <w:bCs/>
                      <w:color w:val="auto"/>
                      <w:szCs w:val="21"/>
                    </w:rPr>
                  </w:pPr>
                  <w:r>
                    <w:rPr>
                      <w:b/>
                      <w:bCs/>
                      <w:color w:val="auto"/>
                      <w:szCs w:val="21"/>
                    </w:rPr>
                    <w:t>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441" w:type="pct"/>
                  <w:vMerge w:val="restart"/>
                  <w:vAlign w:val="center"/>
                </w:tcPr>
                <w:p>
                  <w:pPr>
                    <w:jc w:val="center"/>
                    <w:rPr>
                      <w:color w:val="auto"/>
                      <w:szCs w:val="20"/>
                    </w:rPr>
                  </w:pPr>
                  <w:r>
                    <w:rPr>
                      <w:color w:val="auto"/>
                      <w:szCs w:val="20"/>
                    </w:rPr>
                    <w:t>2022年3月1日</w:t>
                  </w:r>
                </w:p>
              </w:tc>
              <w:tc>
                <w:tcPr>
                  <w:tcW w:w="772" w:type="pct"/>
                  <w:vMerge w:val="restart"/>
                  <w:vAlign w:val="center"/>
                </w:tcPr>
                <w:p>
                  <w:pPr>
                    <w:jc w:val="center"/>
                    <w:rPr>
                      <w:color w:val="auto"/>
                      <w:szCs w:val="21"/>
                    </w:rPr>
                  </w:pPr>
                  <w:r>
                    <w:rPr>
                      <w:color w:val="auto"/>
                      <w:szCs w:val="21"/>
                    </w:rPr>
                    <w:t>8#厂房水喷淋处理设施</w:t>
                  </w:r>
                  <w:r>
                    <w:rPr>
                      <w:rFonts w:hint="eastAsia"/>
                      <w:color w:val="auto"/>
                      <w:szCs w:val="21"/>
                    </w:rPr>
                    <w:t>+</w:t>
                  </w:r>
                  <w:r>
                    <w:rPr>
                      <w:color w:val="auto"/>
                      <w:szCs w:val="21"/>
                    </w:rPr>
                    <w:t>15m</w:t>
                  </w:r>
                  <w:r>
                    <w:rPr>
                      <w:rFonts w:hint="eastAsia"/>
                      <w:color w:val="auto"/>
                      <w:szCs w:val="21"/>
                    </w:rPr>
                    <w:t>高</w:t>
                  </w:r>
                  <w:r>
                    <w:rPr>
                      <w:color w:val="auto"/>
                      <w:szCs w:val="21"/>
                    </w:rPr>
                    <w:t>排气筒</w:t>
                  </w:r>
                  <w:r>
                    <w:rPr>
                      <w:rFonts w:hint="eastAsia"/>
                      <w:color w:val="auto"/>
                      <w:szCs w:val="21"/>
                    </w:rPr>
                    <w:t>QF2</w:t>
                  </w:r>
                </w:p>
              </w:tc>
              <w:tc>
                <w:tcPr>
                  <w:tcW w:w="1289" w:type="pct"/>
                  <w:vAlign w:val="center"/>
                </w:tcPr>
                <w:p>
                  <w:pPr>
                    <w:jc w:val="center"/>
                    <w:rPr>
                      <w:color w:val="auto"/>
                      <w:szCs w:val="21"/>
                    </w:rPr>
                  </w:pPr>
                  <w:r>
                    <w:rPr>
                      <w:color w:val="auto"/>
                      <w:szCs w:val="21"/>
                    </w:rPr>
                    <w:t>标态气量</w:t>
                  </w:r>
                </w:p>
              </w:tc>
              <w:tc>
                <w:tcPr>
                  <w:tcW w:w="554" w:type="pct"/>
                  <w:vAlign w:val="center"/>
                </w:tcPr>
                <w:p>
                  <w:pPr>
                    <w:jc w:val="center"/>
                    <w:rPr>
                      <w:color w:val="auto"/>
                      <w:szCs w:val="21"/>
                    </w:rPr>
                  </w:pPr>
                  <w:r>
                    <w:rPr>
                      <w:color w:val="auto"/>
                      <w:szCs w:val="21"/>
                    </w:rPr>
                    <w:t>m</w:t>
                  </w:r>
                  <w:r>
                    <w:rPr>
                      <w:color w:val="auto"/>
                      <w:szCs w:val="21"/>
                      <w:vertAlign w:val="superscript"/>
                    </w:rPr>
                    <w:t>3</w:t>
                  </w:r>
                  <w:r>
                    <w:rPr>
                      <w:color w:val="auto"/>
                      <w:szCs w:val="21"/>
                    </w:rPr>
                    <w:t>/h</w:t>
                  </w:r>
                </w:p>
              </w:tc>
              <w:tc>
                <w:tcPr>
                  <w:tcW w:w="732" w:type="pct"/>
                  <w:vAlign w:val="center"/>
                </w:tcPr>
                <w:p>
                  <w:pPr>
                    <w:jc w:val="center"/>
                    <w:rPr>
                      <w:color w:val="auto"/>
                      <w:szCs w:val="21"/>
                    </w:rPr>
                  </w:pPr>
                  <w:r>
                    <w:rPr>
                      <w:color w:val="auto"/>
                      <w:szCs w:val="21"/>
                    </w:rPr>
                    <w:t>1700</w:t>
                  </w:r>
                </w:p>
              </w:tc>
              <w:tc>
                <w:tcPr>
                  <w:tcW w:w="617" w:type="pct"/>
                  <w:vAlign w:val="center"/>
                </w:tcPr>
                <w:p>
                  <w:pPr>
                    <w:jc w:val="center"/>
                    <w:rPr>
                      <w:color w:val="auto"/>
                      <w:szCs w:val="21"/>
                    </w:rPr>
                  </w:pPr>
                  <w:r>
                    <w:rPr>
                      <w:color w:val="auto"/>
                      <w:szCs w:val="21"/>
                    </w:rPr>
                    <w:t>/</w:t>
                  </w:r>
                </w:p>
              </w:tc>
              <w:tc>
                <w:tcPr>
                  <w:tcW w:w="595" w:type="pct"/>
                  <w:vAlign w:val="center"/>
                </w:tcPr>
                <w:p>
                  <w:pPr>
                    <w:jc w:val="center"/>
                    <w:rPr>
                      <w:color w:val="auto"/>
                      <w:szCs w:val="21"/>
                    </w:rPr>
                  </w:pPr>
                  <w:r>
                    <w:rPr>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41" w:type="pct"/>
                  <w:vMerge w:val="continue"/>
                  <w:vAlign w:val="center"/>
                </w:tcPr>
                <w:p>
                  <w:pPr>
                    <w:jc w:val="center"/>
                    <w:rPr>
                      <w:color w:val="auto"/>
                      <w:szCs w:val="20"/>
                    </w:rPr>
                  </w:pPr>
                </w:p>
              </w:tc>
              <w:tc>
                <w:tcPr>
                  <w:tcW w:w="772" w:type="pct"/>
                  <w:vMerge w:val="continue"/>
                  <w:vAlign w:val="center"/>
                </w:tcPr>
                <w:p>
                  <w:pPr>
                    <w:jc w:val="center"/>
                    <w:rPr>
                      <w:color w:val="auto"/>
                      <w:szCs w:val="21"/>
                    </w:rPr>
                  </w:pPr>
                </w:p>
              </w:tc>
              <w:tc>
                <w:tcPr>
                  <w:tcW w:w="1289" w:type="pct"/>
                  <w:vAlign w:val="center"/>
                </w:tcPr>
                <w:p>
                  <w:pPr>
                    <w:jc w:val="center"/>
                    <w:rPr>
                      <w:color w:val="auto"/>
                      <w:szCs w:val="21"/>
                    </w:rPr>
                  </w:pPr>
                  <w:r>
                    <w:rPr>
                      <w:color w:val="auto"/>
                      <w:szCs w:val="21"/>
                    </w:rPr>
                    <w:t>氯化氢排放浓度</w:t>
                  </w:r>
                </w:p>
              </w:tc>
              <w:tc>
                <w:tcPr>
                  <w:tcW w:w="554" w:type="pct"/>
                  <w:vAlign w:val="center"/>
                </w:tcPr>
                <w:p>
                  <w:pPr>
                    <w:jc w:val="center"/>
                    <w:rPr>
                      <w:color w:val="auto"/>
                      <w:szCs w:val="21"/>
                    </w:rPr>
                  </w:pPr>
                  <w:r>
                    <w:rPr>
                      <w:color w:val="auto"/>
                      <w:szCs w:val="21"/>
                    </w:rPr>
                    <w:t>mg/m</w:t>
                  </w:r>
                  <w:r>
                    <w:rPr>
                      <w:color w:val="auto"/>
                      <w:szCs w:val="21"/>
                      <w:vertAlign w:val="superscript"/>
                    </w:rPr>
                    <w:t>3</w:t>
                  </w:r>
                </w:p>
              </w:tc>
              <w:tc>
                <w:tcPr>
                  <w:tcW w:w="732" w:type="pct"/>
                  <w:vAlign w:val="center"/>
                </w:tcPr>
                <w:p>
                  <w:pPr>
                    <w:jc w:val="center"/>
                    <w:rPr>
                      <w:color w:val="auto"/>
                      <w:szCs w:val="21"/>
                    </w:rPr>
                  </w:pPr>
                  <w:r>
                    <w:rPr>
                      <w:color w:val="auto"/>
                      <w:szCs w:val="21"/>
                    </w:rPr>
                    <w:t>0.22</w:t>
                  </w:r>
                </w:p>
              </w:tc>
              <w:tc>
                <w:tcPr>
                  <w:tcW w:w="617" w:type="pct"/>
                  <w:vAlign w:val="center"/>
                </w:tcPr>
                <w:p>
                  <w:pPr>
                    <w:jc w:val="center"/>
                    <w:rPr>
                      <w:color w:val="auto"/>
                      <w:szCs w:val="21"/>
                    </w:rPr>
                  </w:pPr>
                  <w:r>
                    <w:rPr>
                      <w:color w:val="auto"/>
                      <w:szCs w:val="21"/>
                    </w:rPr>
                    <w:t>10</w:t>
                  </w:r>
                </w:p>
              </w:tc>
              <w:tc>
                <w:tcPr>
                  <w:tcW w:w="595" w:type="pct"/>
                  <w:vAlign w:val="center"/>
                </w:tcPr>
                <w:p>
                  <w:pPr>
                    <w:jc w:val="center"/>
                    <w:rPr>
                      <w:color w:val="auto"/>
                      <w:szCs w:val="21"/>
                    </w:rPr>
                  </w:pPr>
                  <w:r>
                    <w:rPr>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1" w:type="pct"/>
                  <w:vMerge w:val="continue"/>
                  <w:vAlign w:val="center"/>
                </w:tcPr>
                <w:p>
                  <w:pPr>
                    <w:jc w:val="center"/>
                    <w:rPr>
                      <w:color w:val="auto"/>
                      <w:szCs w:val="20"/>
                    </w:rPr>
                  </w:pPr>
                </w:p>
              </w:tc>
              <w:tc>
                <w:tcPr>
                  <w:tcW w:w="772" w:type="pct"/>
                  <w:vMerge w:val="continue"/>
                  <w:vAlign w:val="center"/>
                </w:tcPr>
                <w:p>
                  <w:pPr>
                    <w:jc w:val="center"/>
                    <w:rPr>
                      <w:color w:val="auto"/>
                      <w:szCs w:val="21"/>
                    </w:rPr>
                  </w:pPr>
                </w:p>
              </w:tc>
              <w:tc>
                <w:tcPr>
                  <w:tcW w:w="1289" w:type="pct"/>
                  <w:vAlign w:val="center"/>
                </w:tcPr>
                <w:p>
                  <w:pPr>
                    <w:jc w:val="center"/>
                    <w:rPr>
                      <w:color w:val="auto"/>
                      <w:szCs w:val="21"/>
                    </w:rPr>
                  </w:pPr>
                  <w:r>
                    <w:rPr>
                      <w:color w:val="auto"/>
                      <w:szCs w:val="21"/>
                    </w:rPr>
                    <w:t>氯化氢排放速率</w:t>
                  </w:r>
                </w:p>
              </w:tc>
              <w:tc>
                <w:tcPr>
                  <w:tcW w:w="554" w:type="pct"/>
                  <w:vAlign w:val="center"/>
                </w:tcPr>
                <w:p>
                  <w:pPr>
                    <w:jc w:val="center"/>
                    <w:rPr>
                      <w:color w:val="auto"/>
                      <w:szCs w:val="21"/>
                    </w:rPr>
                  </w:pPr>
                  <w:r>
                    <w:rPr>
                      <w:color w:val="auto"/>
                      <w:szCs w:val="21"/>
                    </w:rPr>
                    <w:t>kg/h</w:t>
                  </w:r>
                </w:p>
              </w:tc>
              <w:tc>
                <w:tcPr>
                  <w:tcW w:w="732" w:type="pct"/>
                  <w:vAlign w:val="center"/>
                </w:tcPr>
                <w:p>
                  <w:pPr>
                    <w:jc w:val="center"/>
                    <w:rPr>
                      <w:color w:val="auto"/>
                      <w:szCs w:val="21"/>
                    </w:rPr>
                  </w:pPr>
                  <w:r>
                    <w:rPr>
                      <w:color w:val="auto"/>
                      <w:szCs w:val="21"/>
                    </w:rPr>
                    <w:t>0.000367</w:t>
                  </w:r>
                </w:p>
              </w:tc>
              <w:tc>
                <w:tcPr>
                  <w:tcW w:w="617" w:type="pct"/>
                  <w:vAlign w:val="center"/>
                </w:tcPr>
                <w:p>
                  <w:pPr>
                    <w:jc w:val="center"/>
                    <w:rPr>
                      <w:color w:val="auto"/>
                      <w:szCs w:val="21"/>
                    </w:rPr>
                  </w:pPr>
                  <w:r>
                    <w:rPr>
                      <w:color w:val="auto"/>
                      <w:szCs w:val="21"/>
                    </w:rPr>
                    <w:t>0.18</w:t>
                  </w:r>
                </w:p>
              </w:tc>
              <w:tc>
                <w:tcPr>
                  <w:tcW w:w="595" w:type="pct"/>
                  <w:vAlign w:val="center"/>
                </w:tcPr>
                <w:p>
                  <w:pPr>
                    <w:jc w:val="center"/>
                    <w:rPr>
                      <w:color w:val="auto"/>
                      <w:szCs w:val="21"/>
                    </w:rPr>
                  </w:pPr>
                  <w:r>
                    <w:rPr>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1" w:type="pct"/>
                  <w:vMerge w:val="continue"/>
                  <w:vAlign w:val="center"/>
                </w:tcPr>
                <w:p>
                  <w:pPr>
                    <w:jc w:val="center"/>
                    <w:rPr>
                      <w:color w:val="auto"/>
                      <w:szCs w:val="20"/>
                    </w:rPr>
                  </w:pPr>
                </w:p>
              </w:tc>
              <w:tc>
                <w:tcPr>
                  <w:tcW w:w="772" w:type="pct"/>
                  <w:vMerge w:val="continue"/>
                  <w:vAlign w:val="center"/>
                </w:tcPr>
                <w:p>
                  <w:pPr>
                    <w:jc w:val="center"/>
                    <w:rPr>
                      <w:color w:val="auto"/>
                      <w:szCs w:val="21"/>
                    </w:rPr>
                  </w:pPr>
                </w:p>
              </w:tc>
              <w:tc>
                <w:tcPr>
                  <w:tcW w:w="1289" w:type="pct"/>
                  <w:vAlign w:val="center"/>
                </w:tcPr>
                <w:p>
                  <w:pPr>
                    <w:jc w:val="center"/>
                    <w:rPr>
                      <w:color w:val="auto"/>
                      <w:szCs w:val="21"/>
                    </w:rPr>
                  </w:pPr>
                  <w:r>
                    <w:rPr>
                      <w:color w:val="auto"/>
                      <w:szCs w:val="21"/>
                    </w:rPr>
                    <w:t>非甲烷总烃排放浓度</w:t>
                  </w:r>
                </w:p>
              </w:tc>
              <w:tc>
                <w:tcPr>
                  <w:tcW w:w="554" w:type="pct"/>
                  <w:vAlign w:val="center"/>
                </w:tcPr>
                <w:p>
                  <w:pPr>
                    <w:jc w:val="center"/>
                    <w:rPr>
                      <w:color w:val="auto"/>
                      <w:szCs w:val="21"/>
                    </w:rPr>
                  </w:pPr>
                  <w:r>
                    <w:rPr>
                      <w:color w:val="auto"/>
                      <w:szCs w:val="21"/>
                    </w:rPr>
                    <w:t>mg/m</w:t>
                  </w:r>
                  <w:r>
                    <w:rPr>
                      <w:color w:val="auto"/>
                      <w:szCs w:val="21"/>
                      <w:vertAlign w:val="superscript"/>
                    </w:rPr>
                    <w:t>3</w:t>
                  </w:r>
                </w:p>
              </w:tc>
              <w:tc>
                <w:tcPr>
                  <w:tcW w:w="732" w:type="pct"/>
                  <w:vAlign w:val="center"/>
                </w:tcPr>
                <w:p>
                  <w:pPr>
                    <w:jc w:val="center"/>
                    <w:rPr>
                      <w:color w:val="auto"/>
                      <w:szCs w:val="21"/>
                    </w:rPr>
                  </w:pPr>
                  <w:r>
                    <w:rPr>
                      <w:color w:val="auto"/>
                      <w:szCs w:val="21"/>
                    </w:rPr>
                    <w:t>0.69</w:t>
                  </w:r>
                  <w:r>
                    <w:rPr>
                      <w:rFonts w:hint="eastAsia"/>
                      <w:color w:val="auto"/>
                      <w:szCs w:val="21"/>
                    </w:rPr>
                    <w:t>6</w:t>
                  </w:r>
                </w:p>
              </w:tc>
              <w:tc>
                <w:tcPr>
                  <w:tcW w:w="617" w:type="pct"/>
                  <w:vAlign w:val="center"/>
                </w:tcPr>
                <w:p>
                  <w:pPr>
                    <w:jc w:val="center"/>
                    <w:rPr>
                      <w:color w:val="auto"/>
                      <w:szCs w:val="21"/>
                    </w:rPr>
                  </w:pPr>
                  <w:r>
                    <w:rPr>
                      <w:color w:val="auto"/>
                      <w:szCs w:val="21"/>
                    </w:rPr>
                    <w:t>60</w:t>
                  </w:r>
                </w:p>
              </w:tc>
              <w:tc>
                <w:tcPr>
                  <w:tcW w:w="595" w:type="pct"/>
                  <w:vAlign w:val="center"/>
                </w:tcPr>
                <w:p>
                  <w:pPr>
                    <w:jc w:val="center"/>
                    <w:rPr>
                      <w:color w:val="auto"/>
                      <w:szCs w:val="21"/>
                    </w:rPr>
                  </w:pPr>
                  <w:r>
                    <w:rPr>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1" w:type="pct"/>
                  <w:vMerge w:val="continue"/>
                  <w:vAlign w:val="center"/>
                </w:tcPr>
                <w:p>
                  <w:pPr>
                    <w:jc w:val="center"/>
                    <w:rPr>
                      <w:color w:val="auto"/>
                      <w:szCs w:val="20"/>
                    </w:rPr>
                  </w:pPr>
                </w:p>
              </w:tc>
              <w:tc>
                <w:tcPr>
                  <w:tcW w:w="772" w:type="pct"/>
                  <w:vMerge w:val="continue"/>
                  <w:vAlign w:val="center"/>
                </w:tcPr>
                <w:p>
                  <w:pPr>
                    <w:jc w:val="center"/>
                    <w:rPr>
                      <w:color w:val="auto"/>
                      <w:szCs w:val="21"/>
                    </w:rPr>
                  </w:pPr>
                </w:p>
              </w:tc>
              <w:tc>
                <w:tcPr>
                  <w:tcW w:w="1289" w:type="pct"/>
                  <w:vAlign w:val="center"/>
                </w:tcPr>
                <w:p>
                  <w:pPr>
                    <w:jc w:val="center"/>
                    <w:rPr>
                      <w:color w:val="auto"/>
                      <w:szCs w:val="21"/>
                    </w:rPr>
                  </w:pPr>
                  <w:r>
                    <w:rPr>
                      <w:color w:val="auto"/>
                      <w:szCs w:val="21"/>
                    </w:rPr>
                    <w:t>非甲烷总烃排放速率</w:t>
                  </w:r>
                </w:p>
              </w:tc>
              <w:tc>
                <w:tcPr>
                  <w:tcW w:w="554" w:type="pct"/>
                  <w:vAlign w:val="center"/>
                </w:tcPr>
                <w:p>
                  <w:pPr>
                    <w:jc w:val="center"/>
                    <w:rPr>
                      <w:color w:val="auto"/>
                      <w:szCs w:val="21"/>
                    </w:rPr>
                  </w:pPr>
                  <w:r>
                    <w:rPr>
                      <w:color w:val="auto"/>
                      <w:szCs w:val="21"/>
                    </w:rPr>
                    <w:t>kg/h</w:t>
                  </w:r>
                </w:p>
              </w:tc>
              <w:tc>
                <w:tcPr>
                  <w:tcW w:w="732" w:type="pct"/>
                  <w:vAlign w:val="center"/>
                </w:tcPr>
                <w:p>
                  <w:pPr>
                    <w:jc w:val="center"/>
                    <w:rPr>
                      <w:color w:val="auto"/>
                      <w:szCs w:val="21"/>
                    </w:rPr>
                  </w:pPr>
                  <w:r>
                    <w:rPr>
                      <w:color w:val="auto"/>
                      <w:szCs w:val="21"/>
                    </w:rPr>
                    <w:t>0.00</w:t>
                  </w:r>
                  <w:r>
                    <w:rPr>
                      <w:rFonts w:hint="eastAsia"/>
                      <w:color w:val="auto"/>
                      <w:szCs w:val="21"/>
                    </w:rPr>
                    <w:t>1</w:t>
                  </w:r>
                </w:p>
              </w:tc>
              <w:tc>
                <w:tcPr>
                  <w:tcW w:w="617" w:type="pct"/>
                  <w:vAlign w:val="center"/>
                </w:tcPr>
                <w:p>
                  <w:pPr>
                    <w:jc w:val="center"/>
                    <w:rPr>
                      <w:color w:val="auto"/>
                      <w:szCs w:val="21"/>
                    </w:rPr>
                  </w:pPr>
                  <w:r>
                    <w:rPr>
                      <w:color w:val="auto"/>
                      <w:szCs w:val="21"/>
                    </w:rPr>
                    <w:t>3</w:t>
                  </w:r>
                </w:p>
              </w:tc>
              <w:tc>
                <w:tcPr>
                  <w:tcW w:w="595" w:type="pct"/>
                  <w:vAlign w:val="center"/>
                </w:tcPr>
                <w:p>
                  <w:pPr>
                    <w:jc w:val="center"/>
                    <w:rPr>
                      <w:color w:val="auto"/>
                      <w:szCs w:val="21"/>
                    </w:rPr>
                  </w:pPr>
                  <w:r>
                    <w:rPr>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trPr>
              <w:tc>
                <w:tcPr>
                  <w:tcW w:w="441" w:type="pct"/>
                  <w:vMerge w:val="continue"/>
                  <w:vAlign w:val="center"/>
                </w:tcPr>
                <w:p>
                  <w:pPr>
                    <w:jc w:val="center"/>
                    <w:rPr>
                      <w:color w:val="auto"/>
                      <w:szCs w:val="20"/>
                    </w:rPr>
                  </w:pPr>
                </w:p>
              </w:tc>
              <w:tc>
                <w:tcPr>
                  <w:tcW w:w="772" w:type="pct"/>
                  <w:vMerge w:val="restart"/>
                  <w:vAlign w:val="center"/>
                </w:tcPr>
                <w:p>
                  <w:pPr>
                    <w:jc w:val="center"/>
                    <w:rPr>
                      <w:color w:val="auto"/>
                      <w:szCs w:val="21"/>
                    </w:rPr>
                  </w:pPr>
                  <w:r>
                    <w:rPr>
                      <w:color w:val="auto"/>
                      <w:szCs w:val="21"/>
                    </w:rPr>
                    <w:t>1#厂房水喷淋+</w:t>
                  </w:r>
                  <w:r>
                    <w:rPr>
                      <w:rFonts w:hint="eastAsia"/>
                      <w:color w:val="auto"/>
                      <w:szCs w:val="21"/>
                    </w:rPr>
                    <w:t>一级</w:t>
                  </w:r>
                  <w:r>
                    <w:rPr>
                      <w:color w:val="auto"/>
                      <w:szCs w:val="21"/>
                    </w:rPr>
                    <w:t>活性炭</w:t>
                  </w:r>
                  <w:r>
                    <w:rPr>
                      <w:rFonts w:hint="eastAsia"/>
                      <w:color w:val="auto"/>
                      <w:szCs w:val="21"/>
                    </w:rPr>
                    <w:t>吸附+</w:t>
                  </w:r>
                  <w:r>
                    <w:rPr>
                      <w:color w:val="auto"/>
                      <w:szCs w:val="21"/>
                    </w:rPr>
                    <w:t>15m</w:t>
                  </w:r>
                  <w:r>
                    <w:rPr>
                      <w:rFonts w:hint="eastAsia"/>
                      <w:color w:val="auto"/>
                      <w:szCs w:val="21"/>
                    </w:rPr>
                    <w:t>高</w:t>
                  </w:r>
                  <w:r>
                    <w:rPr>
                      <w:color w:val="auto"/>
                      <w:szCs w:val="21"/>
                    </w:rPr>
                    <w:t>排气筒</w:t>
                  </w:r>
                  <w:r>
                    <w:rPr>
                      <w:rFonts w:hint="eastAsia"/>
                      <w:color w:val="auto"/>
                      <w:szCs w:val="21"/>
                    </w:rPr>
                    <w:t>QF3</w:t>
                  </w:r>
                </w:p>
              </w:tc>
              <w:tc>
                <w:tcPr>
                  <w:tcW w:w="1289" w:type="pct"/>
                  <w:vAlign w:val="center"/>
                </w:tcPr>
                <w:p>
                  <w:pPr>
                    <w:jc w:val="center"/>
                    <w:rPr>
                      <w:color w:val="auto"/>
                      <w:szCs w:val="21"/>
                    </w:rPr>
                  </w:pPr>
                  <w:r>
                    <w:rPr>
                      <w:color w:val="auto"/>
                      <w:szCs w:val="21"/>
                    </w:rPr>
                    <w:t>标态气量</w:t>
                  </w:r>
                </w:p>
              </w:tc>
              <w:tc>
                <w:tcPr>
                  <w:tcW w:w="554" w:type="pct"/>
                  <w:vAlign w:val="center"/>
                </w:tcPr>
                <w:p>
                  <w:pPr>
                    <w:jc w:val="center"/>
                    <w:rPr>
                      <w:color w:val="auto"/>
                      <w:szCs w:val="21"/>
                    </w:rPr>
                  </w:pPr>
                  <w:r>
                    <w:rPr>
                      <w:color w:val="auto"/>
                      <w:szCs w:val="21"/>
                    </w:rPr>
                    <w:t>m</w:t>
                  </w:r>
                  <w:r>
                    <w:rPr>
                      <w:color w:val="auto"/>
                      <w:szCs w:val="21"/>
                      <w:vertAlign w:val="superscript"/>
                    </w:rPr>
                    <w:t>3</w:t>
                  </w:r>
                  <w:r>
                    <w:rPr>
                      <w:color w:val="auto"/>
                      <w:szCs w:val="21"/>
                    </w:rPr>
                    <w:t>/h</w:t>
                  </w:r>
                </w:p>
              </w:tc>
              <w:tc>
                <w:tcPr>
                  <w:tcW w:w="732" w:type="pct"/>
                  <w:vAlign w:val="center"/>
                </w:tcPr>
                <w:p>
                  <w:pPr>
                    <w:jc w:val="center"/>
                    <w:rPr>
                      <w:color w:val="auto"/>
                      <w:szCs w:val="21"/>
                    </w:rPr>
                  </w:pPr>
                  <w:r>
                    <w:rPr>
                      <w:color w:val="auto"/>
                      <w:szCs w:val="21"/>
                    </w:rPr>
                    <w:t>23000</w:t>
                  </w:r>
                </w:p>
              </w:tc>
              <w:tc>
                <w:tcPr>
                  <w:tcW w:w="617" w:type="pct"/>
                  <w:vAlign w:val="center"/>
                </w:tcPr>
                <w:p>
                  <w:pPr>
                    <w:jc w:val="center"/>
                    <w:rPr>
                      <w:color w:val="auto"/>
                      <w:szCs w:val="21"/>
                    </w:rPr>
                  </w:pPr>
                  <w:r>
                    <w:rPr>
                      <w:color w:val="auto"/>
                      <w:szCs w:val="21"/>
                    </w:rPr>
                    <w:t>/</w:t>
                  </w:r>
                </w:p>
              </w:tc>
              <w:tc>
                <w:tcPr>
                  <w:tcW w:w="595" w:type="pct"/>
                  <w:vAlign w:val="center"/>
                </w:tcPr>
                <w:p>
                  <w:pPr>
                    <w:jc w:val="center"/>
                    <w:rPr>
                      <w:color w:val="auto"/>
                      <w:szCs w:val="21"/>
                    </w:rPr>
                  </w:pPr>
                  <w:r>
                    <w:rPr>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 w:hRule="atLeast"/>
              </w:trPr>
              <w:tc>
                <w:tcPr>
                  <w:tcW w:w="441" w:type="pct"/>
                  <w:vMerge w:val="continue"/>
                  <w:vAlign w:val="center"/>
                </w:tcPr>
                <w:p>
                  <w:pPr>
                    <w:jc w:val="center"/>
                    <w:rPr>
                      <w:color w:val="auto"/>
                      <w:szCs w:val="20"/>
                    </w:rPr>
                  </w:pPr>
                </w:p>
              </w:tc>
              <w:tc>
                <w:tcPr>
                  <w:tcW w:w="772" w:type="pct"/>
                  <w:vMerge w:val="continue"/>
                  <w:vAlign w:val="center"/>
                </w:tcPr>
                <w:p>
                  <w:pPr>
                    <w:jc w:val="center"/>
                    <w:rPr>
                      <w:color w:val="auto"/>
                      <w:szCs w:val="21"/>
                    </w:rPr>
                  </w:pPr>
                </w:p>
              </w:tc>
              <w:tc>
                <w:tcPr>
                  <w:tcW w:w="1289" w:type="pct"/>
                  <w:vAlign w:val="center"/>
                </w:tcPr>
                <w:p>
                  <w:pPr>
                    <w:jc w:val="center"/>
                    <w:rPr>
                      <w:color w:val="auto"/>
                      <w:szCs w:val="21"/>
                    </w:rPr>
                  </w:pPr>
                  <w:r>
                    <w:rPr>
                      <w:color w:val="auto"/>
                      <w:szCs w:val="21"/>
                    </w:rPr>
                    <w:t>氯化氢排放浓度</w:t>
                  </w:r>
                </w:p>
              </w:tc>
              <w:tc>
                <w:tcPr>
                  <w:tcW w:w="554" w:type="pct"/>
                  <w:vAlign w:val="center"/>
                </w:tcPr>
                <w:p>
                  <w:pPr>
                    <w:jc w:val="center"/>
                    <w:rPr>
                      <w:color w:val="auto"/>
                      <w:szCs w:val="21"/>
                    </w:rPr>
                  </w:pPr>
                  <w:r>
                    <w:rPr>
                      <w:color w:val="auto"/>
                      <w:szCs w:val="21"/>
                    </w:rPr>
                    <w:t>mg/m</w:t>
                  </w:r>
                  <w:r>
                    <w:rPr>
                      <w:color w:val="auto"/>
                      <w:szCs w:val="21"/>
                      <w:vertAlign w:val="superscript"/>
                    </w:rPr>
                    <w:t>3</w:t>
                  </w:r>
                </w:p>
              </w:tc>
              <w:tc>
                <w:tcPr>
                  <w:tcW w:w="732" w:type="pct"/>
                  <w:vAlign w:val="center"/>
                </w:tcPr>
                <w:p>
                  <w:pPr>
                    <w:jc w:val="center"/>
                    <w:rPr>
                      <w:color w:val="auto"/>
                      <w:szCs w:val="21"/>
                    </w:rPr>
                  </w:pPr>
                  <w:r>
                    <w:rPr>
                      <w:color w:val="auto"/>
                      <w:szCs w:val="21"/>
                    </w:rPr>
                    <w:t>ND</w:t>
                  </w:r>
                </w:p>
              </w:tc>
              <w:tc>
                <w:tcPr>
                  <w:tcW w:w="617" w:type="pct"/>
                  <w:vAlign w:val="center"/>
                </w:tcPr>
                <w:p>
                  <w:pPr>
                    <w:jc w:val="center"/>
                    <w:rPr>
                      <w:color w:val="auto"/>
                      <w:szCs w:val="21"/>
                    </w:rPr>
                  </w:pPr>
                  <w:r>
                    <w:rPr>
                      <w:color w:val="auto"/>
                      <w:szCs w:val="21"/>
                    </w:rPr>
                    <w:t>10</w:t>
                  </w:r>
                </w:p>
              </w:tc>
              <w:tc>
                <w:tcPr>
                  <w:tcW w:w="595" w:type="pct"/>
                  <w:vAlign w:val="center"/>
                </w:tcPr>
                <w:p>
                  <w:pPr>
                    <w:jc w:val="center"/>
                    <w:rPr>
                      <w:color w:val="auto"/>
                      <w:szCs w:val="21"/>
                    </w:rPr>
                  </w:pPr>
                  <w:r>
                    <w:rPr>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1" w:type="pct"/>
                  <w:vMerge w:val="continue"/>
                  <w:vAlign w:val="center"/>
                </w:tcPr>
                <w:p>
                  <w:pPr>
                    <w:jc w:val="center"/>
                    <w:rPr>
                      <w:color w:val="auto"/>
                      <w:szCs w:val="20"/>
                    </w:rPr>
                  </w:pPr>
                </w:p>
              </w:tc>
              <w:tc>
                <w:tcPr>
                  <w:tcW w:w="772" w:type="pct"/>
                  <w:vMerge w:val="continue"/>
                  <w:vAlign w:val="center"/>
                </w:tcPr>
                <w:p>
                  <w:pPr>
                    <w:jc w:val="center"/>
                    <w:rPr>
                      <w:color w:val="auto"/>
                      <w:szCs w:val="21"/>
                    </w:rPr>
                  </w:pPr>
                </w:p>
              </w:tc>
              <w:tc>
                <w:tcPr>
                  <w:tcW w:w="1289" w:type="pct"/>
                  <w:vAlign w:val="center"/>
                </w:tcPr>
                <w:p>
                  <w:pPr>
                    <w:jc w:val="center"/>
                    <w:rPr>
                      <w:color w:val="auto"/>
                      <w:szCs w:val="21"/>
                    </w:rPr>
                  </w:pPr>
                  <w:r>
                    <w:rPr>
                      <w:color w:val="auto"/>
                      <w:szCs w:val="21"/>
                    </w:rPr>
                    <w:t>氯化氢排放速率</w:t>
                  </w:r>
                </w:p>
              </w:tc>
              <w:tc>
                <w:tcPr>
                  <w:tcW w:w="554" w:type="pct"/>
                  <w:vAlign w:val="center"/>
                </w:tcPr>
                <w:p>
                  <w:pPr>
                    <w:jc w:val="center"/>
                    <w:rPr>
                      <w:color w:val="auto"/>
                      <w:szCs w:val="21"/>
                    </w:rPr>
                  </w:pPr>
                  <w:r>
                    <w:rPr>
                      <w:color w:val="auto"/>
                      <w:szCs w:val="21"/>
                    </w:rPr>
                    <w:t>kg/h</w:t>
                  </w:r>
                </w:p>
              </w:tc>
              <w:tc>
                <w:tcPr>
                  <w:tcW w:w="732" w:type="pct"/>
                  <w:vAlign w:val="center"/>
                </w:tcPr>
                <w:p>
                  <w:pPr>
                    <w:jc w:val="center"/>
                    <w:rPr>
                      <w:color w:val="auto"/>
                      <w:szCs w:val="21"/>
                    </w:rPr>
                  </w:pPr>
                  <w:r>
                    <w:rPr>
                      <w:color w:val="auto"/>
                      <w:szCs w:val="21"/>
                    </w:rPr>
                    <w:t>0.002</w:t>
                  </w:r>
                </w:p>
              </w:tc>
              <w:tc>
                <w:tcPr>
                  <w:tcW w:w="617" w:type="pct"/>
                  <w:vAlign w:val="center"/>
                </w:tcPr>
                <w:p>
                  <w:pPr>
                    <w:jc w:val="center"/>
                    <w:rPr>
                      <w:color w:val="auto"/>
                      <w:szCs w:val="21"/>
                    </w:rPr>
                  </w:pPr>
                  <w:r>
                    <w:rPr>
                      <w:color w:val="auto"/>
                      <w:szCs w:val="21"/>
                    </w:rPr>
                    <w:t>0.18</w:t>
                  </w:r>
                </w:p>
              </w:tc>
              <w:tc>
                <w:tcPr>
                  <w:tcW w:w="595" w:type="pct"/>
                  <w:vAlign w:val="center"/>
                </w:tcPr>
                <w:p>
                  <w:pPr>
                    <w:jc w:val="center"/>
                    <w:rPr>
                      <w:color w:val="auto"/>
                      <w:szCs w:val="21"/>
                    </w:rPr>
                  </w:pPr>
                  <w:r>
                    <w:rPr>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41" w:type="pct"/>
                  <w:vMerge w:val="continue"/>
                  <w:vAlign w:val="center"/>
                </w:tcPr>
                <w:p>
                  <w:pPr>
                    <w:jc w:val="center"/>
                    <w:rPr>
                      <w:color w:val="auto"/>
                      <w:szCs w:val="20"/>
                    </w:rPr>
                  </w:pPr>
                </w:p>
              </w:tc>
              <w:tc>
                <w:tcPr>
                  <w:tcW w:w="772" w:type="pct"/>
                  <w:vMerge w:val="continue"/>
                  <w:vAlign w:val="center"/>
                </w:tcPr>
                <w:p>
                  <w:pPr>
                    <w:jc w:val="center"/>
                    <w:rPr>
                      <w:color w:val="auto"/>
                      <w:szCs w:val="21"/>
                    </w:rPr>
                  </w:pPr>
                </w:p>
              </w:tc>
              <w:tc>
                <w:tcPr>
                  <w:tcW w:w="1289" w:type="pct"/>
                  <w:vAlign w:val="center"/>
                </w:tcPr>
                <w:p>
                  <w:pPr>
                    <w:jc w:val="center"/>
                    <w:rPr>
                      <w:color w:val="auto"/>
                      <w:szCs w:val="21"/>
                    </w:rPr>
                  </w:pPr>
                  <w:r>
                    <w:rPr>
                      <w:color w:val="auto"/>
                      <w:szCs w:val="21"/>
                    </w:rPr>
                    <w:t>氮氧化物排放浓度</w:t>
                  </w:r>
                </w:p>
              </w:tc>
              <w:tc>
                <w:tcPr>
                  <w:tcW w:w="554" w:type="pct"/>
                  <w:vAlign w:val="center"/>
                </w:tcPr>
                <w:p>
                  <w:pPr>
                    <w:jc w:val="center"/>
                    <w:rPr>
                      <w:color w:val="auto"/>
                      <w:szCs w:val="21"/>
                    </w:rPr>
                  </w:pPr>
                  <w:r>
                    <w:rPr>
                      <w:color w:val="auto"/>
                      <w:szCs w:val="21"/>
                    </w:rPr>
                    <w:t>mg/m</w:t>
                  </w:r>
                  <w:r>
                    <w:rPr>
                      <w:color w:val="auto"/>
                      <w:szCs w:val="21"/>
                      <w:vertAlign w:val="superscript"/>
                    </w:rPr>
                    <w:t>3</w:t>
                  </w:r>
                </w:p>
              </w:tc>
              <w:tc>
                <w:tcPr>
                  <w:tcW w:w="732" w:type="pct"/>
                  <w:vAlign w:val="center"/>
                </w:tcPr>
                <w:p>
                  <w:pPr>
                    <w:jc w:val="center"/>
                    <w:rPr>
                      <w:color w:val="auto"/>
                      <w:szCs w:val="21"/>
                    </w:rPr>
                  </w:pPr>
                  <w:r>
                    <w:rPr>
                      <w:color w:val="auto"/>
                      <w:szCs w:val="21"/>
                    </w:rPr>
                    <w:t>ND</w:t>
                  </w:r>
                </w:p>
              </w:tc>
              <w:tc>
                <w:tcPr>
                  <w:tcW w:w="617" w:type="pct"/>
                  <w:vAlign w:val="center"/>
                </w:tcPr>
                <w:p>
                  <w:pPr>
                    <w:jc w:val="center"/>
                    <w:rPr>
                      <w:color w:val="auto"/>
                      <w:szCs w:val="21"/>
                    </w:rPr>
                  </w:pPr>
                  <w:r>
                    <w:rPr>
                      <w:color w:val="auto"/>
                      <w:szCs w:val="21"/>
                    </w:rPr>
                    <w:t>200</w:t>
                  </w:r>
                </w:p>
              </w:tc>
              <w:tc>
                <w:tcPr>
                  <w:tcW w:w="595" w:type="pct"/>
                  <w:vAlign w:val="center"/>
                </w:tcPr>
                <w:p>
                  <w:pPr>
                    <w:jc w:val="center"/>
                    <w:rPr>
                      <w:color w:val="auto"/>
                      <w:szCs w:val="21"/>
                    </w:rPr>
                  </w:pPr>
                  <w:r>
                    <w:rPr>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1" w:type="pct"/>
                  <w:vMerge w:val="continue"/>
                  <w:vAlign w:val="center"/>
                </w:tcPr>
                <w:p>
                  <w:pPr>
                    <w:jc w:val="center"/>
                    <w:rPr>
                      <w:color w:val="auto"/>
                      <w:szCs w:val="20"/>
                    </w:rPr>
                  </w:pPr>
                </w:p>
              </w:tc>
              <w:tc>
                <w:tcPr>
                  <w:tcW w:w="772" w:type="pct"/>
                  <w:vMerge w:val="continue"/>
                  <w:vAlign w:val="center"/>
                </w:tcPr>
                <w:p>
                  <w:pPr>
                    <w:jc w:val="center"/>
                    <w:rPr>
                      <w:color w:val="auto"/>
                      <w:szCs w:val="21"/>
                    </w:rPr>
                  </w:pPr>
                </w:p>
              </w:tc>
              <w:tc>
                <w:tcPr>
                  <w:tcW w:w="1289" w:type="pct"/>
                  <w:vAlign w:val="center"/>
                </w:tcPr>
                <w:p>
                  <w:pPr>
                    <w:jc w:val="center"/>
                    <w:rPr>
                      <w:color w:val="auto"/>
                      <w:szCs w:val="21"/>
                    </w:rPr>
                  </w:pPr>
                  <w:r>
                    <w:rPr>
                      <w:color w:val="auto"/>
                      <w:szCs w:val="21"/>
                    </w:rPr>
                    <w:t>氮氧化物排放速率</w:t>
                  </w:r>
                </w:p>
              </w:tc>
              <w:tc>
                <w:tcPr>
                  <w:tcW w:w="554" w:type="pct"/>
                  <w:vAlign w:val="center"/>
                </w:tcPr>
                <w:p>
                  <w:pPr>
                    <w:jc w:val="center"/>
                    <w:rPr>
                      <w:color w:val="auto"/>
                      <w:szCs w:val="21"/>
                    </w:rPr>
                  </w:pPr>
                  <w:r>
                    <w:rPr>
                      <w:color w:val="auto"/>
                      <w:szCs w:val="21"/>
                    </w:rPr>
                    <w:t>kg/h</w:t>
                  </w:r>
                </w:p>
              </w:tc>
              <w:tc>
                <w:tcPr>
                  <w:tcW w:w="732" w:type="pct"/>
                  <w:vAlign w:val="center"/>
                </w:tcPr>
                <w:p>
                  <w:pPr>
                    <w:jc w:val="center"/>
                    <w:rPr>
                      <w:color w:val="auto"/>
                      <w:szCs w:val="21"/>
                    </w:rPr>
                  </w:pPr>
                  <w:r>
                    <w:rPr>
                      <w:color w:val="auto"/>
                      <w:szCs w:val="21"/>
                    </w:rPr>
                    <w:t>0.008</w:t>
                  </w:r>
                </w:p>
              </w:tc>
              <w:tc>
                <w:tcPr>
                  <w:tcW w:w="617" w:type="pct"/>
                  <w:vAlign w:val="center"/>
                </w:tcPr>
                <w:p>
                  <w:pPr>
                    <w:jc w:val="center"/>
                    <w:rPr>
                      <w:color w:val="auto"/>
                      <w:szCs w:val="21"/>
                    </w:rPr>
                  </w:pPr>
                  <w:r>
                    <w:rPr>
                      <w:color w:val="auto"/>
                      <w:szCs w:val="21"/>
                    </w:rPr>
                    <w:t>/</w:t>
                  </w:r>
                </w:p>
              </w:tc>
              <w:tc>
                <w:tcPr>
                  <w:tcW w:w="595" w:type="pct"/>
                  <w:vAlign w:val="center"/>
                </w:tcPr>
                <w:p>
                  <w:pPr>
                    <w:jc w:val="center"/>
                    <w:rPr>
                      <w:color w:val="auto"/>
                      <w:szCs w:val="21"/>
                    </w:rPr>
                  </w:pPr>
                  <w:r>
                    <w:rPr>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1" w:type="pct"/>
                  <w:vMerge w:val="continue"/>
                  <w:vAlign w:val="center"/>
                </w:tcPr>
                <w:p>
                  <w:pPr>
                    <w:jc w:val="center"/>
                    <w:rPr>
                      <w:color w:val="auto"/>
                      <w:szCs w:val="20"/>
                    </w:rPr>
                  </w:pPr>
                </w:p>
              </w:tc>
              <w:tc>
                <w:tcPr>
                  <w:tcW w:w="772" w:type="pct"/>
                  <w:vMerge w:val="continue"/>
                  <w:vAlign w:val="center"/>
                </w:tcPr>
                <w:p>
                  <w:pPr>
                    <w:jc w:val="center"/>
                    <w:rPr>
                      <w:color w:val="auto"/>
                      <w:szCs w:val="21"/>
                    </w:rPr>
                  </w:pPr>
                </w:p>
              </w:tc>
              <w:tc>
                <w:tcPr>
                  <w:tcW w:w="1289" w:type="pct"/>
                  <w:vAlign w:val="center"/>
                </w:tcPr>
                <w:p>
                  <w:pPr>
                    <w:jc w:val="center"/>
                    <w:rPr>
                      <w:color w:val="auto"/>
                      <w:szCs w:val="21"/>
                    </w:rPr>
                  </w:pPr>
                  <w:r>
                    <w:rPr>
                      <w:color w:val="auto"/>
                      <w:szCs w:val="21"/>
                    </w:rPr>
                    <w:t>丙酮排放浓度</w:t>
                  </w:r>
                </w:p>
              </w:tc>
              <w:tc>
                <w:tcPr>
                  <w:tcW w:w="554" w:type="pct"/>
                  <w:vAlign w:val="center"/>
                </w:tcPr>
                <w:p>
                  <w:pPr>
                    <w:jc w:val="center"/>
                    <w:rPr>
                      <w:color w:val="auto"/>
                      <w:szCs w:val="21"/>
                    </w:rPr>
                  </w:pPr>
                  <w:r>
                    <w:rPr>
                      <w:color w:val="auto"/>
                      <w:szCs w:val="21"/>
                    </w:rPr>
                    <w:t>mg/m</w:t>
                  </w:r>
                  <w:r>
                    <w:rPr>
                      <w:color w:val="auto"/>
                      <w:szCs w:val="21"/>
                      <w:vertAlign w:val="superscript"/>
                    </w:rPr>
                    <w:t>3</w:t>
                  </w:r>
                </w:p>
              </w:tc>
              <w:tc>
                <w:tcPr>
                  <w:tcW w:w="732" w:type="pct"/>
                  <w:vAlign w:val="center"/>
                </w:tcPr>
                <w:p>
                  <w:pPr>
                    <w:jc w:val="center"/>
                    <w:rPr>
                      <w:color w:val="auto"/>
                      <w:szCs w:val="21"/>
                    </w:rPr>
                  </w:pPr>
                  <w:r>
                    <w:rPr>
                      <w:rFonts w:hint="eastAsia"/>
                      <w:color w:val="auto"/>
                      <w:szCs w:val="21"/>
                    </w:rPr>
                    <w:t>N</w:t>
                  </w:r>
                  <w:r>
                    <w:rPr>
                      <w:color w:val="auto"/>
                      <w:szCs w:val="21"/>
                    </w:rPr>
                    <w:cr/>
                  </w:r>
                  <w:r>
                    <w:rPr>
                      <w:color w:val="auto"/>
                      <w:szCs w:val="21"/>
                    </w:rPr>
                    <w:t>D</w:t>
                  </w:r>
                </w:p>
              </w:tc>
              <w:tc>
                <w:tcPr>
                  <w:tcW w:w="617" w:type="pct"/>
                  <w:vAlign w:val="center"/>
                </w:tcPr>
                <w:p>
                  <w:pPr>
                    <w:jc w:val="center"/>
                    <w:rPr>
                      <w:color w:val="auto"/>
                      <w:szCs w:val="21"/>
                    </w:rPr>
                  </w:pPr>
                  <w:r>
                    <w:rPr>
                      <w:color w:val="auto"/>
                      <w:szCs w:val="21"/>
                    </w:rPr>
                    <w:t>40</w:t>
                  </w:r>
                </w:p>
              </w:tc>
              <w:tc>
                <w:tcPr>
                  <w:tcW w:w="595" w:type="pct"/>
                  <w:vAlign w:val="center"/>
                </w:tcPr>
                <w:p>
                  <w:pPr>
                    <w:jc w:val="center"/>
                    <w:rPr>
                      <w:color w:val="auto"/>
                      <w:szCs w:val="21"/>
                    </w:rPr>
                  </w:pPr>
                  <w:r>
                    <w:rPr>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1" w:type="pct"/>
                  <w:vMerge w:val="continue"/>
                  <w:vAlign w:val="center"/>
                </w:tcPr>
                <w:p>
                  <w:pPr>
                    <w:jc w:val="center"/>
                    <w:rPr>
                      <w:color w:val="auto"/>
                      <w:szCs w:val="20"/>
                    </w:rPr>
                  </w:pPr>
                </w:p>
              </w:tc>
              <w:tc>
                <w:tcPr>
                  <w:tcW w:w="772" w:type="pct"/>
                  <w:vMerge w:val="continue"/>
                  <w:vAlign w:val="center"/>
                </w:tcPr>
                <w:p>
                  <w:pPr>
                    <w:jc w:val="center"/>
                    <w:rPr>
                      <w:color w:val="auto"/>
                      <w:szCs w:val="21"/>
                    </w:rPr>
                  </w:pPr>
                </w:p>
              </w:tc>
              <w:tc>
                <w:tcPr>
                  <w:tcW w:w="1289" w:type="pct"/>
                  <w:vAlign w:val="center"/>
                </w:tcPr>
                <w:p>
                  <w:pPr>
                    <w:jc w:val="center"/>
                    <w:rPr>
                      <w:color w:val="auto"/>
                      <w:szCs w:val="21"/>
                    </w:rPr>
                  </w:pPr>
                  <w:r>
                    <w:rPr>
                      <w:color w:val="auto"/>
                      <w:szCs w:val="21"/>
                    </w:rPr>
                    <w:t>丙酮排放速率</w:t>
                  </w:r>
                </w:p>
              </w:tc>
              <w:tc>
                <w:tcPr>
                  <w:tcW w:w="554" w:type="pct"/>
                  <w:vAlign w:val="center"/>
                </w:tcPr>
                <w:p>
                  <w:pPr>
                    <w:jc w:val="center"/>
                    <w:rPr>
                      <w:color w:val="auto"/>
                      <w:szCs w:val="21"/>
                    </w:rPr>
                  </w:pPr>
                  <w:r>
                    <w:rPr>
                      <w:color w:val="auto"/>
                      <w:szCs w:val="21"/>
                    </w:rPr>
                    <w:t>kg/h</w:t>
                  </w:r>
                </w:p>
              </w:tc>
              <w:tc>
                <w:tcPr>
                  <w:tcW w:w="732" w:type="pct"/>
                  <w:vAlign w:val="center"/>
                </w:tcPr>
                <w:p>
                  <w:pPr>
                    <w:jc w:val="center"/>
                    <w:rPr>
                      <w:color w:val="auto"/>
                      <w:szCs w:val="21"/>
                    </w:rPr>
                  </w:pPr>
                  <w:r>
                    <w:rPr>
                      <w:color w:val="auto"/>
                      <w:szCs w:val="21"/>
                    </w:rPr>
                    <w:t>0.000117</w:t>
                  </w:r>
                </w:p>
              </w:tc>
              <w:tc>
                <w:tcPr>
                  <w:tcW w:w="617" w:type="pct"/>
                  <w:vAlign w:val="center"/>
                </w:tcPr>
                <w:p>
                  <w:pPr>
                    <w:jc w:val="center"/>
                    <w:rPr>
                      <w:color w:val="auto"/>
                      <w:szCs w:val="21"/>
                    </w:rPr>
                  </w:pPr>
                  <w:r>
                    <w:rPr>
                      <w:color w:val="auto"/>
                      <w:szCs w:val="21"/>
                    </w:rPr>
                    <w:t>1.3</w:t>
                  </w:r>
                </w:p>
              </w:tc>
              <w:tc>
                <w:tcPr>
                  <w:tcW w:w="595" w:type="pct"/>
                  <w:vAlign w:val="center"/>
                </w:tcPr>
                <w:p>
                  <w:pPr>
                    <w:jc w:val="center"/>
                    <w:rPr>
                      <w:color w:val="auto"/>
                      <w:szCs w:val="21"/>
                    </w:rPr>
                  </w:pPr>
                  <w:r>
                    <w:rPr>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1" w:type="pct"/>
                  <w:vMerge w:val="continue"/>
                  <w:vAlign w:val="center"/>
                </w:tcPr>
                <w:p>
                  <w:pPr>
                    <w:jc w:val="center"/>
                    <w:rPr>
                      <w:color w:val="auto"/>
                      <w:szCs w:val="20"/>
                    </w:rPr>
                  </w:pPr>
                </w:p>
              </w:tc>
              <w:tc>
                <w:tcPr>
                  <w:tcW w:w="772" w:type="pct"/>
                  <w:vMerge w:val="continue"/>
                  <w:vAlign w:val="center"/>
                </w:tcPr>
                <w:p>
                  <w:pPr>
                    <w:jc w:val="center"/>
                    <w:rPr>
                      <w:color w:val="auto"/>
                      <w:szCs w:val="21"/>
                    </w:rPr>
                  </w:pPr>
                </w:p>
              </w:tc>
              <w:tc>
                <w:tcPr>
                  <w:tcW w:w="1289" w:type="pct"/>
                  <w:vAlign w:val="center"/>
                </w:tcPr>
                <w:p>
                  <w:pPr>
                    <w:jc w:val="center"/>
                    <w:rPr>
                      <w:color w:val="auto"/>
                      <w:szCs w:val="21"/>
                    </w:rPr>
                  </w:pPr>
                  <w:r>
                    <w:rPr>
                      <w:color w:val="auto"/>
                      <w:szCs w:val="21"/>
                    </w:rPr>
                    <w:t>非甲烷总烃排放浓度</w:t>
                  </w:r>
                </w:p>
              </w:tc>
              <w:tc>
                <w:tcPr>
                  <w:tcW w:w="554" w:type="pct"/>
                  <w:vAlign w:val="center"/>
                </w:tcPr>
                <w:p>
                  <w:pPr>
                    <w:jc w:val="center"/>
                    <w:rPr>
                      <w:color w:val="auto"/>
                      <w:szCs w:val="21"/>
                    </w:rPr>
                  </w:pPr>
                  <w:r>
                    <w:rPr>
                      <w:color w:val="auto"/>
                      <w:szCs w:val="21"/>
                    </w:rPr>
                    <w:t>mg/m</w:t>
                  </w:r>
                  <w:r>
                    <w:rPr>
                      <w:color w:val="auto"/>
                      <w:szCs w:val="21"/>
                      <w:vertAlign w:val="superscript"/>
                    </w:rPr>
                    <w:t>3</w:t>
                  </w:r>
                </w:p>
              </w:tc>
              <w:tc>
                <w:tcPr>
                  <w:tcW w:w="732" w:type="pct"/>
                  <w:vAlign w:val="center"/>
                </w:tcPr>
                <w:p>
                  <w:pPr>
                    <w:jc w:val="center"/>
                    <w:rPr>
                      <w:color w:val="auto"/>
                      <w:szCs w:val="21"/>
                    </w:rPr>
                  </w:pPr>
                  <w:r>
                    <w:rPr>
                      <w:color w:val="auto"/>
                      <w:szCs w:val="21"/>
                    </w:rPr>
                    <w:t>0.88</w:t>
                  </w:r>
                </w:p>
              </w:tc>
              <w:tc>
                <w:tcPr>
                  <w:tcW w:w="617" w:type="pct"/>
                  <w:vAlign w:val="center"/>
                </w:tcPr>
                <w:p>
                  <w:pPr>
                    <w:jc w:val="center"/>
                    <w:rPr>
                      <w:color w:val="auto"/>
                      <w:szCs w:val="21"/>
                    </w:rPr>
                  </w:pPr>
                  <w:r>
                    <w:rPr>
                      <w:color w:val="auto"/>
                      <w:szCs w:val="21"/>
                    </w:rPr>
                    <w:t>60</w:t>
                  </w:r>
                </w:p>
              </w:tc>
              <w:tc>
                <w:tcPr>
                  <w:tcW w:w="595" w:type="pct"/>
                  <w:vAlign w:val="center"/>
                </w:tcPr>
                <w:p>
                  <w:pPr>
                    <w:jc w:val="center"/>
                    <w:rPr>
                      <w:color w:val="auto"/>
                      <w:szCs w:val="21"/>
                    </w:rPr>
                  </w:pPr>
                  <w:r>
                    <w:rPr>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1" w:type="pct"/>
                  <w:vMerge w:val="continue"/>
                  <w:vAlign w:val="center"/>
                </w:tcPr>
                <w:p>
                  <w:pPr>
                    <w:jc w:val="center"/>
                    <w:rPr>
                      <w:color w:val="auto"/>
                      <w:szCs w:val="20"/>
                    </w:rPr>
                  </w:pPr>
                </w:p>
              </w:tc>
              <w:tc>
                <w:tcPr>
                  <w:tcW w:w="772" w:type="pct"/>
                  <w:vMerge w:val="continue"/>
                  <w:vAlign w:val="center"/>
                </w:tcPr>
                <w:p>
                  <w:pPr>
                    <w:jc w:val="center"/>
                    <w:rPr>
                      <w:color w:val="auto"/>
                      <w:szCs w:val="21"/>
                    </w:rPr>
                  </w:pPr>
                </w:p>
              </w:tc>
              <w:tc>
                <w:tcPr>
                  <w:tcW w:w="1289" w:type="pct"/>
                  <w:vAlign w:val="center"/>
                </w:tcPr>
                <w:p>
                  <w:pPr>
                    <w:jc w:val="center"/>
                    <w:rPr>
                      <w:color w:val="auto"/>
                      <w:szCs w:val="21"/>
                    </w:rPr>
                  </w:pPr>
                  <w:r>
                    <w:rPr>
                      <w:color w:val="auto"/>
                      <w:szCs w:val="21"/>
                    </w:rPr>
                    <w:t>非甲烷总烃</w:t>
                  </w:r>
                  <w:r>
                    <w:rPr>
                      <w:color w:val="auto"/>
                      <w:szCs w:val="21"/>
                    </w:rPr>
                    <w:cr/>
                  </w:r>
                  <w:r>
                    <w:rPr>
                      <w:color w:val="auto"/>
                      <w:szCs w:val="21"/>
                    </w:rPr>
                    <w:t>放速率</w:t>
                  </w:r>
                </w:p>
              </w:tc>
              <w:tc>
                <w:tcPr>
                  <w:tcW w:w="554" w:type="pct"/>
                  <w:vAlign w:val="center"/>
                </w:tcPr>
                <w:p>
                  <w:pPr>
                    <w:jc w:val="center"/>
                    <w:rPr>
                      <w:color w:val="auto"/>
                      <w:szCs w:val="21"/>
                    </w:rPr>
                  </w:pPr>
                  <w:r>
                    <w:rPr>
                      <w:color w:val="auto"/>
                      <w:szCs w:val="21"/>
                    </w:rPr>
                    <w:t>kg/h</w:t>
                  </w:r>
                </w:p>
              </w:tc>
              <w:tc>
                <w:tcPr>
                  <w:tcW w:w="732" w:type="pct"/>
                  <w:vAlign w:val="center"/>
                </w:tcPr>
                <w:p>
                  <w:pPr>
                    <w:jc w:val="center"/>
                    <w:rPr>
                      <w:color w:val="auto"/>
                      <w:szCs w:val="21"/>
                    </w:rPr>
                  </w:pPr>
                  <w:r>
                    <w:rPr>
                      <w:color w:val="auto"/>
                      <w:szCs w:val="21"/>
                    </w:rPr>
                    <w:t>0.021</w:t>
                  </w:r>
                </w:p>
              </w:tc>
              <w:tc>
                <w:tcPr>
                  <w:tcW w:w="617" w:type="pct"/>
                  <w:vAlign w:val="center"/>
                </w:tcPr>
                <w:p>
                  <w:pPr>
                    <w:jc w:val="center"/>
                    <w:rPr>
                      <w:color w:val="auto"/>
                      <w:szCs w:val="21"/>
                    </w:rPr>
                  </w:pPr>
                  <w:r>
                    <w:rPr>
                      <w:color w:val="auto"/>
                      <w:szCs w:val="21"/>
                    </w:rPr>
                    <w:t>3</w:t>
                  </w:r>
                </w:p>
              </w:tc>
              <w:tc>
                <w:tcPr>
                  <w:tcW w:w="595" w:type="pct"/>
                  <w:vAlign w:val="center"/>
                </w:tcPr>
                <w:p>
                  <w:pPr>
                    <w:jc w:val="center"/>
                    <w:rPr>
                      <w:color w:val="auto"/>
                      <w:szCs w:val="21"/>
                    </w:rPr>
                  </w:pPr>
                  <w:r>
                    <w:rPr>
                      <w:color w:val="auto"/>
                      <w:szCs w:val="21"/>
                    </w:rPr>
                    <w:t>达标</w:t>
                  </w:r>
                </w:p>
              </w:tc>
            </w:tr>
          </w:tbl>
          <w:p>
            <w:pPr>
              <w:rPr>
                <w:rStyle w:val="43"/>
                <w:color w:val="auto"/>
                <w:kern w:val="0"/>
                <w:szCs w:val="20"/>
              </w:rPr>
            </w:pPr>
            <w:r>
              <w:rPr>
                <w:color w:val="auto"/>
                <w:szCs w:val="20"/>
              </w:rPr>
              <w:t>“ND”表示未检出，</w:t>
            </w:r>
            <w:r>
              <w:rPr>
                <w:color w:val="auto"/>
                <w:szCs w:val="21"/>
              </w:rPr>
              <w:t>以1/2检出限计算速率。</w:t>
            </w:r>
            <w:r>
              <w:rPr>
                <w:rStyle w:val="43"/>
                <w:rFonts w:hint="eastAsia"/>
                <w:color w:val="auto"/>
                <w:kern w:val="0"/>
                <w:szCs w:val="20"/>
              </w:rPr>
              <w:t>氯化氢的检出限为0.2mg/m</w:t>
            </w:r>
            <w:r>
              <w:rPr>
                <w:rStyle w:val="43"/>
                <w:rFonts w:hint="eastAsia"/>
                <w:color w:val="auto"/>
                <w:kern w:val="0"/>
                <w:szCs w:val="20"/>
                <w:vertAlign w:val="superscript"/>
              </w:rPr>
              <w:t>3</w:t>
            </w:r>
            <w:r>
              <w:rPr>
                <w:rStyle w:val="43"/>
                <w:rFonts w:hint="eastAsia"/>
                <w:color w:val="auto"/>
                <w:kern w:val="0"/>
                <w:szCs w:val="20"/>
              </w:rPr>
              <w:t>，氮氧化物的检出限为0.7mg/m</w:t>
            </w:r>
            <w:r>
              <w:rPr>
                <w:rStyle w:val="43"/>
                <w:rFonts w:hint="eastAsia"/>
                <w:color w:val="auto"/>
                <w:kern w:val="0"/>
                <w:szCs w:val="20"/>
                <w:vertAlign w:val="superscript"/>
              </w:rPr>
              <w:t>3</w:t>
            </w:r>
            <w:r>
              <w:rPr>
                <w:rStyle w:val="43"/>
                <w:rFonts w:hint="eastAsia"/>
                <w:color w:val="auto"/>
                <w:kern w:val="0"/>
                <w:szCs w:val="20"/>
              </w:rPr>
              <w:t>，丙酮的检出限为0.01mg/m</w:t>
            </w:r>
            <w:r>
              <w:rPr>
                <w:rStyle w:val="43"/>
                <w:rFonts w:hint="eastAsia"/>
                <w:color w:val="auto"/>
                <w:kern w:val="0"/>
                <w:szCs w:val="20"/>
                <w:vertAlign w:val="superscript"/>
              </w:rPr>
              <w:t>3</w:t>
            </w:r>
            <w:r>
              <w:rPr>
                <w:rStyle w:val="43"/>
                <w:rFonts w:hint="eastAsia"/>
                <w:color w:val="auto"/>
                <w:kern w:val="0"/>
                <w:szCs w:val="20"/>
              </w:rPr>
              <w:t>。</w:t>
            </w:r>
          </w:p>
          <w:p>
            <w:pPr>
              <w:pStyle w:val="2"/>
              <w:rPr>
                <w:color w:val="auto"/>
              </w:rPr>
            </w:pPr>
            <w:r>
              <w:rPr>
                <w:rStyle w:val="43"/>
                <w:rFonts w:hint="eastAsia"/>
                <w:color w:val="auto"/>
                <w:kern w:val="0"/>
              </w:rPr>
              <w:t>注：监测报告QF2排气筒对应本项目P2排气筒，</w:t>
            </w:r>
            <w:r>
              <w:rPr>
                <w:rFonts w:hint="eastAsia"/>
                <w:color w:val="auto"/>
                <w:szCs w:val="21"/>
              </w:rPr>
              <w:t>QF3</w:t>
            </w:r>
            <w:r>
              <w:rPr>
                <w:rStyle w:val="43"/>
                <w:rFonts w:hint="eastAsia"/>
                <w:color w:val="auto"/>
                <w:kern w:val="0"/>
              </w:rPr>
              <w:t>对应本项目P1排气筒</w:t>
            </w:r>
          </w:p>
          <w:p>
            <w:pPr>
              <w:spacing w:beforeLines="50" w:line="360" w:lineRule="auto"/>
              <w:ind w:firstLine="480" w:firstLineChars="200"/>
              <w:rPr>
                <w:color w:val="auto"/>
                <w:sz w:val="24"/>
              </w:rPr>
            </w:pPr>
            <w:r>
              <w:rPr>
                <w:color w:val="auto"/>
                <w:sz w:val="24"/>
              </w:rPr>
              <w:t>现有项目产生的丙酮</w:t>
            </w:r>
            <w:r>
              <w:rPr>
                <w:rFonts w:hint="eastAsia"/>
                <w:color w:val="auto"/>
                <w:sz w:val="24"/>
              </w:rPr>
              <w:t>参照</w:t>
            </w:r>
            <w:r>
              <w:rPr>
                <w:color w:val="auto"/>
                <w:sz w:val="24"/>
              </w:rPr>
              <w:t>《化学工业挥发性有机物排放标准》（DB32/3151-2016）表1排放限值，其它污染因子</w:t>
            </w:r>
            <w:r>
              <w:rPr>
                <w:rFonts w:hint="eastAsia"/>
                <w:color w:val="auto"/>
                <w:sz w:val="24"/>
              </w:rPr>
              <w:t>执行</w:t>
            </w:r>
            <w:r>
              <w:rPr>
                <w:color w:val="auto"/>
                <w:sz w:val="24"/>
              </w:rPr>
              <w:t>《大气污染物综合排放标准》（DB32/4041-2021）表1排放限值。废气检测结果表明</w:t>
            </w:r>
            <w:r>
              <w:rPr>
                <w:rFonts w:hint="eastAsia"/>
                <w:color w:val="auto"/>
                <w:sz w:val="24"/>
              </w:rPr>
              <w:t>，</w:t>
            </w:r>
            <w:r>
              <w:rPr>
                <w:color w:val="auto"/>
                <w:sz w:val="24"/>
              </w:rPr>
              <w:t>现有项目产生废气能够达标排放。</w:t>
            </w:r>
          </w:p>
          <w:p>
            <w:pPr>
              <w:snapToGrid w:val="0"/>
              <w:spacing w:line="360" w:lineRule="auto"/>
              <w:ind w:firstLine="482" w:firstLineChars="200"/>
              <w:rPr>
                <w:b/>
                <w:bCs/>
                <w:color w:val="auto"/>
                <w:sz w:val="24"/>
              </w:rPr>
            </w:pPr>
            <w:r>
              <w:rPr>
                <w:b/>
                <w:bCs/>
                <w:color w:val="auto"/>
                <w:sz w:val="24"/>
              </w:rPr>
              <w:fldChar w:fldCharType="begin"/>
            </w:r>
            <w:r>
              <w:rPr>
                <w:b/>
                <w:bCs/>
                <w:color w:val="auto"/>
                <w:sz w:val="24"/>
              </w:rPr>
              <w:instrText xml:space="preserve"> = 2 \* GB3 \* MERGEFORMAT </w:instrText>
            </w:r>
            <w:r>
              <w:rPr>
                <w:b/>
                <w:bCs/>
                <w:color w:val="auto"/>
                <w:sz w:val="24"/>
              </w:rPr>
              <w:fldChar w:fldCharType="separate"/>
            </w:r>
            <w:r>
              <w:rPr>
                <w:rFonts w:hint="eastAsia" w:ascii="宋体" w:hAnsi="宋体" w:cs="宋体"/>
                <w:color w:val="auto"/>
              </w:rPr>
              <w:t>②</w:t>
            </w:r>
            <w:r>
              <w:rPr>
                <w:b/>
                <w:bCs/>
                <w:color w:val="auto"/>
                <w:sz w:val="24"/>
              </w:rPr>
              <w:fldChar w:fldCharType="end"/>
            </w:r>
            <w:r>
              <w:rPr>
                <w:b/>
                <w:bCs/>
                <w:color w:val="auto"/>
                <w:sz w:val="24"/>
              </w:rPr>
              <w:t>废水达标情况</w:t>
            </w:r>
          </w:p>
          <w:p>
            <w:pPr>
              <w:pStyle w:val="6"/>
              <w:ind w:firstLine="480" w:firstLineChars="200"/>
              <w:jc w:val="both"/>
              <w:rPr>
                <w:rFonts w:ascii="Times New Roman" w:hAnsi="Times New Roman"/>
                <w:color w:val="auto"/>
                <w:sz w:val="24"/>
                <w:szCs w:val="24"/>
              </w:rPr>
            </w:pPr>
            <w:r>
              <w:rPr>
                <w:rFonts w:ascii="Times New Roman" w:hAnsi="Times New Roman"/>
                <w:color w:val="auto"/>
                <w:sz w:val="24"/>
                <w:szCs w:val="24"/>
              </w:rPr>
              <w:t>根据2022年3月</w:t>
            </w:r>
            <w:r>
              <w:rPr>
                <w:rFonts w:hint="eastAsia" w:ascii="Times New Roman" w:hAnsi="Times New Roman"/>
                <w:color w:val="auto"/>
                <w:sz w:val="24"/>
                <w:szCs w:val="24"/>
              </w:rPr>
              <w:t>1日</w:t>
            </w:r>
            <w:r>
              <w:rPr>
                <w:rFonts w:ascii="Times New Roman" w:hAnsi="Times New Roman"/>
                <w:color w:val="auto"/>
                <w:sz w:val="24"/>
                <w:szCs w:val="24"/>
              </w:rPr>
              <w:t>江苏雁蓝检测科技有限公司对公司现有项目进行监测，监测报告(2022)环检（综）字第（W0174），现有项目废水排放情况见下表：</w:t>
            </w:r>
          </w:p>
          <w:p>
            <w:pPr>
              <w:spacing w:line="360" w:lineRule="auto"/>
              <w:jc w:val="center"/>
              <w:rPr>
                <w:b/>
                <w:bCs/>
                <w:color w:val="auto"/>
                <w:sz w:val="24"/>
              </w:rPr>
            </w:pPr>
            <w:r>
              <w:rPr>
                <w:b/>
                <w:bCs/>
                <w:color w:val="auto"/>
                <w:sz w:val="24"/>
              </w:rPr>
              <w:t>表2-1</w:t>
            </w:r>
            <w:r>
              <w:rPr>
                <w:rFonts w:hint="eastAsia"/>
                <w:b/>
                <w:bCs/>
                <w:color w:val="auto"/>
                <w:sz w:val="24"/>
              </w:rPr>
              <w:t>5</w:t>
            </w:r>
            <w:r>
              <w:rPr>
                <w:b/>
                <w:bCs/>
                <w:color w:val="auto"/>
                <w:sz w:val="24"/>
              </w:rPr>
              <w:t xml:space="preserve">  现状废水排放实测情况一览表</w:t>
            </w:r>
          </w:p>
          <w:tbl>
            <w:tblPr>
              <w:tblStyle w:val="34"/>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6"/>
              <w:gridCol w:w="1277"/>
              <w:gridCol w:w="1702"/>
              <w:gridCol w:w="991"/>
              <w:gridCol w:w="1133"/>
              <w:gridCol w:w="817"/>
              <w:gridCol w:w="16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639" w:type="pct"/>
                  <w:tcBorders>
                    <w:top w:val="single" w:color="auto" w:sz="4" w:space="0"/>
                    <w:left w:val="single" w:color="auto" w:sz="4" w:space="0"/>
                    <w:bottom w:val="single" w:color="auto" w:sz="4" w:space="0"/>
                    <w:right w:val="single" w:color="auto" w:sz="4" w:space="0"/>
                  </w:tcBorders>
                  <w:vAlign w:val="center"/>
                </w:tcPr>
                <w:p>
                  <w:pPr>
                    <w:jc w:val="center"/>
                    <w:rPr>
                      <w:color w:val="auto"/>
                    </w:rPr>
                  </w:pPr>
                  <w:r>
                    <w:rPr>
                      <w:color w:val="auto"/>
                      <w:szCs w:val="21"/>
                    </w:rPr>
                    <w:t>监测日期</w:t>
                  </w:r>
                </w:p>
              </w:tc>
              <w:tc>
                <w:tcPr>
                  <w:tcW w:w="738" w:type="pct"/>
                  <w:tcBorders>
                    <w:top w:val="single" w:color="auto" w:sz="4" w:space="0"/>
                    <w:left w:val="single" w:color="auto" w:sz="4" w:space="0"/>
                    <w:bottom w:val="single" w:color="auto" w:sz="4" w:space="0"/>
                    <w:right w:val="single" w:color="auto" w:sz="4" w:space="0"/>
                  </w:tcBorders>
                  <w:vAlign w:val="center"/>
                </w:tcPr>
                <w:p>
                  <w:pPr>
                    <w:jc w:val="center"/>
                    <w:rPr>
                      <w:color w:val="auto"/>
                    </w:rPr>
                  </w:pPr>
                  <w:r>
                    <w:rPr>
                      <w:color w:val="auto"/>
                      <w:szCs w:val="21"/>
                    </w:rPr>
                    <w:t>监测点位</w:t>
                  </w:r>
                </w:p>
              </w:tc>
              <w:tc>
                <w:tcPr>
                  <w:tcW w:w="984" w:type="pct"/>
                  <w:tcBorders>
                    <w:top w:val="single" w:color="auto" w:sz="4" w:space="0"/>
                    <w:left w:val="single" w:color="auto" w:sz="4" w:space="0"/>
                    <w:bottom w:val="single" w:color="auto" w:sz="4" w:space="0"/>
                    <w:right w:val="single" w:color="auto" w:sz="4" w:space="0"/>
                  </w:tcBorders>
                  <w:vAlign w:val="center"/>
                </w:tcPr>
                <w:p>
                  <w:pPr>
                    <w:jc w:val="center"/>
                    <w:rPr>
                      <w:color w:val="auto"/>
                    </w:rPr>
                  </w:pPr>
                  <w:r>
                    <w:rPr>
                      <w:color w:val="auto"/>
                      <w:szCs w:val="21"/>
                    </w:rPr>
                    <w:t>监测项目</w:t>
                  </w:r>
                </w:p>
              </w:tc>
              <w:tc>
                <w:tcPr>
                  <w:tcW w:w="573" w:type="pct"/>
                  <w:tcBorders>
                    <w:top w:val="single" w:color="auto" w:sz="4" w:space="0"/>
                    <w:left w:val="single" w:color="auto" w:sz="4" w:space="0"/>
                    <w:bottom w:val="single" w:color="auto" w:sz="4" w:space="0"/>
                    <w:right w:val="single" w:color="auto" w:sz="4" w:space="0"/>
                  </w:tcBorders>
                  <w:vAlign w:val="center"/>
                </w:tcPr>
                <w:p>
                  <w:pPr>
                    <w:jc w:val="center"/>
                    <w:rPr>
                      <w:color w:val="auto"/>
                    </w:rPr>
                  </w:pPr>
                  <w:r>
                    <w:rPr>
                      <w:color w:val="auto"/>
                      <w:szCs w:val="21"/>
                    </w:rPr>
                    <w:t>单位</w:t>
                  </w:r>
                </w:p>
              </w:tc>
              <w:tc>
                <w:tcPr>
                  <w:tcW w:w="655" w:type="pct"/>
                  <w:tcBorders>
                    <w:top w:val="single" w:color="auto" w:sz="4" w:space="0"/>
                    <w:left w:val="single" w:color="auto" w:sz="4" w:space="0"/>
                    <w:bottom w:val="single" w:color="auto" w:sz="4" w:space="0"/>
                    <w:right w:val="single" w:color="auto" w:sz="4" w:space="0"/>
                  </w:tcBorders>
                  <w:vAlign w:val="center"/>
                </w:tcPr>
                <w:p>
                  <w:pPr>
                    <w:jc w:val="center"/>
                    <w:rPr>
                      <w:color w:val="auto"/>
                    </w:rPr>
                  </w:pPr>
                  <w:r>
                    <w:rPr>
                      <w:color w:val="auto"/>
                      <w:szCs w:val="21"/>
                    </w:rPr>
                    <w:t>监测数据</w:t>
                  </w:r>
                </w:p>
              </w:tc>
              <w:tc>
                <w:tcPr>
                  <w:tcW w:w="472" w:type="pct"/>
                  <w:tcBorders>
                    <w:top w:val="single" w:color="auto" w:sz="4" w:space="0"/>
                    <w:left w:val="single" w:color="auto" w:sz="4" w:space="0"/>
                    <w:bottom w:val="single" w:color="auto" w:sz="4" w:space="0"/>
                    <w:right w:val="single" w:color="auto" w:sz="4" w:space="0"/>
                  </w:tcBorders>
                  <w:vAlign w:val="center"/>
                </w:tcPr>
                <w:p>
                  <w:pPr>
                    <w:jc w:val="center"/>
                    <w:rPr>
                      <w:color w:val="auto"/>
                    </w:rPr>
                  </w:pPr>
                  <w:r>
                    <w:rPr>
                      <w:color w:val="auto"/>
                      <w:szCs w:val="21"/>
                    </w:rPr>
                    <w:t>标准</w:t>
                  </w:r>
                </w:p>
              </w:tc>
              <w:tc>
                <w:tcPr>
                  <w:tcW w:w="939" w:type="pct"/>
                  <w:tcBorders>
                    <w:top w:val="single" w:color="auto" w:sz="4" w:space="0"/>
                    <w:left w:val="single" w:color="auto" w:sz="4" w:space="0"/>
                    <w:bottom w:val="single" w:color="auto" w:sz="4" w:space="0"/>
                    <w:right w:val="single" w:color="auto" w:sz="4" w:space="0"/>
                  </w:tcBorders>
                  <w:vAlign w:val="center"/>
                </w:tcPr>
                <w:p>
                  <w:pPr>
                    <w:jc w:val="center"/>
                    <w:rPr>
                      <w:color w:val="auto"/>
                    </w:rPr>
                  </w:pPr>
                  <w:r>
                    <w:rPr>
                      <w:color w:val="auto"/>
                      <w:szCs w:val="21"/>
                    </w:rPr>
                    <w:t>达标情况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39" w:type="pct"/>
                  <w:vMerge w:val="restart"/>
                  <w:tcBorders>
                    <w:top w:val="single" w:color="auto" w:sz="4" w:space="0"/>
                    <w:left w:val="single" w:color="auto" w:sz="4" w:space="0"/>
                    <w:right w:val="single" w:color="auto" w:sz="4" w:space="0"/>
                  </w:tcBorders>
                  <w:vAlign w:val="center"/>
                </w:tcPr>
                <w:p>
                  <w:pPr>
                    <w:jc w:val="center"/>
                    <w:rPr>
                      <w:color w:val="auto"/>
                    </w:rPr>
                  </w:pPr>
                  <w:r>
                    <w:rPr>
                      <w:color w:val="auto"/>
                      <w:szCs w:val="21"/>
                    </w:rPr>
                    <w:t>2022年3月1日</w:t>
                  </w:r>
                </w:p>
              </w:tc>
              <w:tc>
                <w:tcPr>
                  <w:tcW w:w="738" w:type="pct"/>
                  <w:vMerge w:val="restart"/>
                  <w:tcBorders>
                    <w:top w:val="single" w:color="auto" w:sz="4" w:space="0"/>
                    <w:left w:val="single" w:color="auto" w:sz="4" w:space="0"/>
                    <w:right w:val="single" w:color="auto" w:sz="4" w:space="0"/>
                  </w:tcBorders>
                  <w:vAlign w:val="center"/>
                </w:tcPr>
                <w:p>
                  <w:pPr>
                    <w:jc w:val="center"/>
                    <w:rPr>
                      <w:color w:val="auto"/>
                      <w:szCs w:val="21"/>
                    </w:rPr>
                  </w:pPr>
                  <w:r>
                    <w:rPr>
                      <w:color w:val="auto"/>
                      <w:szCs w:val="21"/>
                    </w:rPr>
                    <w:t>S1废水</w:t>
                  </w:r>
                </w:p>
                <w:p>
                  <w:pPr>
                    <w:jc w:val="center"/>
                    <w:rPr>
                      <w:color w:val="auto"/>
                    </w:rPr>
                  </w:pPr>
                  <w:r>
                    <w:rPr>
                      <w:color w:val="auto"/>
                      <w:szCs w:val="21"/>
                    </w:rPr>
                    <w:t>排放口(99547t/a)</w:t>
                  </w:r>
                </w:p>
              </w:tc>
              <w:tc>
                <w:tcPr>
                  <w:tcW w:w="984" w:type="pct"/>
                  <w:tcBorders>
                    <w:top w:val="single" w:color="auto" w:sz="4" w:space="0"/>
                    <w:left w:val="single" w:color="auto" w:sz="4" w:space="0"/>
                    <w:bottom w:val="single" w:color="auto" w:sz="4" w:space="0"/>
                    <w:right w:val="single" w:color="auto" w:sz="4" w:space="0"/>
                  </w:tcBorders>
                  <w:vAlign w:val="center"/>
                </w:tcPr>
                <w:p>
                  <w:pPr>
                    <w:jc w:val="center"/>
                    <w:rPr>
                      <w:color w:val="auto"/>
                    </w:rPr>
                  </w:pPr>
                  <w:r>
                    <w:rPr>
                      <w:color w:val="auto"/>
                      <w:szCs w:val="21"/>
                    </w:rPr>
                    <w:t>pH</w:t>
                  </w:r>
                </w:p>
              </w:tc>
              <w:tc>
                <w:tcPr>
                  <w:tcW w:w="573" w:type="pct"/>
                  <w:tcBorders>
                    <w:top w:val="single" w:color="auto" w:sz="4" w:space="0"/>
                    <w:left w:val="single" w:color="auto" w:sz="4" w:space="0"/>
                    <w:bottom w:val="single" w:color="auto" w:sz="4" w:space="0"/>
                    <w:right w:val="single" w:color="auto" w:sz="4" w:space="0"/>
                  </w:tcBorders>
                  <w:vAlign w:val="center"/>
                </w:tcPr>
                <w:p>
                  <w:pPr>
                    <w:jc w:val="center"/>
                    <w:rPr>
                      <w:color w:val="auto"/>
                    </w:rPr>
                  </w:pPr>
                  <w:r>
                    <w:rPr>
                      <w:color w:val="auto"/>
                      <w:szCs w:val="21"/>
                    </w:rPr>
                    <w:t>无量纲</w:t>
                  </w:r>
                </w:p>
              </w:tc>
              <w:tc>
                <w:tcPr>
                  <w:tcW w:w="655" w:type="pct"/>
                  <w:tcBorders>
                    <w:top w:val="single" w:color="auto" w:sz="4" w:space="0"/>
                    <w:left w:val="single" w:color="auto" w:sz="4" w:space="0"/>
                    <w:bottom w:val="single" w:color="auto" w:sz="4" w:space="0"/>
                    <w:right w:val="single" w:color="auto" w:sz="4" w:space="0"/>
                  </w:tcBorders>
                  <w:vAlign w:val="center"/>
                </w:tcPr>
                <w:p>
                  <w:pPr>
                    <w:jc w:val="center"/>
                    <w:rPr>
                      <w:color w:val="auto"/>
                    </w:rPr>
                  </w:pPr>
                  <w:r>
                    <w:rPr>
                      <w:color w:val="auto"/>
                    </w:rPr>
                    <w:t>7.3</w:t>
                  </w:r>
                  <w:r>
                    <w:rPr>
                      <w:rFonts w:hint="eastAsia"/>
                      <w:color w:val="auto"/>
                    </w:rPr>
                    <w:t>（11.2℃）</w:t>
                  </w:r>
                </w:p>
              </w:tc>
              <w:tc>
                <w:tcPr>
                  <w:tcW w:w="472" w:type="pct"/>
                  <w:tcBorders>
                    <w:top w:val="single" w:color="auto" w:sz="4" w:space="0"/>
                    <w:left w:val="single" w:color="auto" w:sz="4" w:space="0"/>
                    <w:bottom w:val="single" w:color="auto" w:sz="4" w:space="0"/>
                    <w:right w:val="single" w:color="auto" w:sz="4" w:space="0"/>
                  </w:tcBorders>
                  <w:vAlign w:val="center"/>
                </w:tcPr>
                <w:p>
                  <w:pPr>
                    <w:jc w:val="center"/>
                    <w:rPr>
                      <w:color w:val="auto"/>
                    </w:rPr>
                  </w:pPr>
                  <w:r>
                    <w:rPr>
                      <w:color w:val="auto"/>
                      <w:szCs w:val="21"/>
                    </w:rPr>
                    <w:t>6~9</w:t>
                  </w:r>
                </w:p>
              </w:tc>
              <w:tc>
                <w:tcPr>
                  <w:tcW w:w="939" w:type="pct"/>
                  <w:tcBorders>
                    <w:top w:val="single" w:color="auto" w:sz="4" w:space="0"/>
                    <w:left w:val="single" w:color="auto" w:sz="4" w:space="0"/>
                    <w:bottom w:val="single" w:color="auto" w:sz="4" w:space="0"/>
                    <w:right w:val="single" w:color="auto" w:sz="4" w:space="0"/>
                  </w:tcBorders>
                  <w:vAlign w:val="center"/>
                </w:tcPr>
                <w:p>
                  <w:pPr>
                    <w:jc w:val="center"/>
                    <w:rPr>
                      <w:color w:val="auto"/>
                    </w:rPr>
                  </w:pPr>
                  <w:r>
                    <w:rPr>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639" w:type="pct"/>
                  <w:vMerge w:val="continue"/>
                  <w:tcBorders>
                    <w:left w:val="single" w:color="auto" w:sz="4" w:space="0"/>
                    <w:right w:val="single" w:color="auto" w:sz="4" w:space="0"/>
                  </w:tcBorders>
                  <w:vAlign w:val="center"/>
                </w:tcPr>
                <w:p>
                  <w:pPr>
                    <w:jc w:val="center"/>
                    <w:rPr>
                      <w:color w:val="auto"/>
                      <w:szCs w:val="22"/>
                    </w:rPr>
                  </w:pPr>
                </w:p>
              </w:tc>
              <w:tc>
                <w:tcPr>
                  <w:tcW w:w="738" w:type="pct"/>
                  <w:vMerge w:val="continue"/>
                  <w:tcBorders>
                    <w:left w:val="single" w:color="auto" w:sz="4" w:space="0"/>
                    <w:right w:val="single" w:color="auto" w:sz="4" w:space="0"/>
                  </w:tcBorders>
                  <w:vAlign w:val="center"/>
                </w:tcPr>
                <w:p>
                  <w:pPr>
                    <w:jc w:val="center"/>
                    <w:rPr>
                      <w:color w:val="auto"/>
                      <w:szCs w:val="22"/>
                    </w:rPr>
                  </w:pPr>
                </w:p>
              </w:tc>
              <w:tc>
                <w:tcPr>
                  <w:tcW w:w="984" w:type="pct"/>
                  <w:tcBorders>
                    <w:top w:val="single" w:color="auto" w:sz="4" w:space="0"/>
                    <w:left w:val="single" w:color="auto" w:sz="4" w:space="0"/>
                    <w:bottom w:val="single" w:color="auto" w:sz="4" w:space="0"/>
                    <w:right w:val="single" w:color="auto" w:sz="4" w:space="0"/>
                  </w:tcBorders>
                  <w:vAlign w:val="center"/>
                </w:tcPr>
                <w:p>
                  <w:pPr>
                    <w:jc w:val="center"/>
                    <w:rPr>
                      <w:color w:val="auto"/>
                    </w:rPr>
                  </w:pPr>
                  <w:r>
                    <w:rPr>
                      <w:color w:val="auto"/>
                      <w:szCs w:val="21"/>
                    </w:rPr>
                    <w:t>悬浮物</w:t>
                  </w:r>
                </w:p>
              </w:tc>
              <w:tc>
                <w:tcPr>
                  <w:tcW w:w="573" w:type="pct"/>
                  <w:tcBorders>
                    <w:top w:val="single" w:color="auto" w:sz="4" w:space="0"/>
                    <w:left w:val="single" w:color="auto" w:sz="4" w:space="0"/>
                    <w:bottom w:val="single" w:color="auto" w:sz="4" w:space="0"/>
                    <w:right w:val="single" w:color="auto" w:sz="4" w:space="0"/>
                  </w:tcBorders>
                  <w:vAlign w:val="center"/>
                </w:tcPr>
                <w:p>
                  <w:pPr>
                    <w:jc w:val="center"/>
                    <w:rPr>
                      <w:color w:val="auto"/>
                    </w:rPr>
                  </w:pPr>
                  <w:r>
                    <w:rPr>
                      <w:color w:val="auto"/>
                      <w:szCs w:val="21"/>
                    </w:rPr>
                    <w:t>mg/L</w:t>
                  </w:r>
                </w:p>
              </w:tc>
              <w:tc>
                <w:tcPr>
                  <w:tcW w:w="655" w:type="pct"/>
                  <w:tcBorders>
                    <w:top w:val="single" w:color="auto" w:sz="4" w:space="0"/>
                    <w:left w:val="single" w:color="auto" w:sz="4" w:space="0"/>
                    <w:bottom w:val="single" w:color="auto" w:sz="4" w:space="0"/>
                    <w:right w:val="single" w:color="auto" w:sz="4" w:space="0"/>
                  </w:tcBorders>
                  <w:vAlign w:val="center"/>
                </w:tcPr>
                <w:p>
                  <w:pPr>
                    <w:jc w:val="center"/>
                    <w:rPr>
                      <w:color w:val="auto"/>
                    </w:rPr>
                  </w:pPr>
                  <w:r>
                    <w:rPr>
                      <w:color w:val="auto"/>
                    </w:rPr>
                    <w:t>13</w:t>
                  </w:r>
                </w:p>
              </w:tc>
              <w:tc>
                <w:tcPr>
                  <w:tcW w:w="472" w:type="pct"/>
                  <w:tcBorders>
                    <w:top w:val="single" w:color="auto" w:sz="4" w:space="0"/>
                    <w:left w:val="single" w:color="auto" w:sz="4" w:space="0"/>
                    <w:bottom w:val="single" w:color="auto" w:sz="4" w:space="0"/>
                    <w:right w:val="single" w:color="auto" w:sz="4" w:space="0"/>
                  </w:tcBorders>
                  <w:vAlign w:val="center"/>
                </w:tcPr>
                <w:p>
                  <w:pPr>
                    <w:jc w:val="center"/>
                    <w:rPr>
                      <w:color w:val="auto"/>
                    </w:rPr>
                  </w:pPr>
                  <w:r>
                    <w:rPr>
                      <w:color w:val="auto"/>
                      <w:szCs w:val="21"/>
                    </w:rPr>
                    <w:t>400</w:t>
                  </w:r>
                </w:p>
              </w:tc>
              <w:tc>
                <w:tcPr>
                  <w:tcW w:w="939" w:type="pct"/>
                  <w:tcBorders>
                    <w:top w:val="single" w:color="auto" w:sz="4" w:space="0"/>
                    <w:left w:val="single" w:color="auto" w:sz="4" w:space="0"/>
                    <w:bottom w:val="single" w:color="auto" w:sz="4" w:space="0"/>
                    <w:right w:val="single" w:color="auto" w:sz="4" w:space="0"/>
                  </w:tcBorders>
                  <w:vAlign w:val="center"/>
                </w:tcPr>
                <w:p>
                  <w:pPr>
                    <w:jc w:val="center"/>
                    <w:rPr>
                      <w:color w:val="auto"/>
                    </w:rPr>
                  </w:pPr>
                  <w:r>
                    <w:rPr>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639" w:type="pct"/>
                  <w:vMerge w:val="continue"/>
                  <w:tcBorders>
                    <w:left w:val="single" w:color="auto" w:sz="4" w:space="0"/>
                    <w:right w:val="single" w:color="auto" w:sz="4" w:space="0"/>
                  </w:tcBorders>
                  <w:vAlign w:val="center"/>
                </w:tcPr>
                <w:p>
                  <w:pPr>
                    <w:jc w:val="center"/>
                    <w:rPr>
                      <w:color w:val="auto"/>
                      <w:szCs w:val="22"/>
                    </w:rPr>
                  </w:pPr>
                </w:p>
              </w:tc>
              <w:tc>
                <w:tcPr>
                  <w:tcW w:w="738" w:type="pct"/>
                  <w:vMerge w:val="continue"/>
                  <w:tcBorders>
                    <w:left w:val="single" w:color="auto" w:sz="4" w:space="0"/>
                    <w:right w:val="single" w:color="auto" w:sz="4" w:space="0"/>
                  </w:tcBorders>
                  <w:vAlign w:val="center"/>
                </w:tcPr>
                <w:p>
                  <w:pPr>
                    <w:jc w:val="center"/>
                    <w:rPr>
                      <w:color w:val="auto"/>
                      <w:szCs w:val="22"/>
                    </w:rPr>
                  </w:pPr>
                </w:p>
              </w:tc>
              <w:tc>
                <w:tcPr>
                  <w:tcW w:w="984" w:type="pct"/>
                  <w:tcBorders>
                    <w:top w:val="single" w:color="auto" w:sz="4" w:space="0"/>
                    <w:left w:val="single" w:color="auto" w:sz="4" w:space="0"/>
                    <w:right w:val="single" w:color="auto" w:sz="4" w:space="0"/>
                  </w:tcBorders>
                  <w:vAlign w:val="center"/>
                </w:tcPr>
                <w:p>
                  <w:pPr>
                    <w:jc w:val="center"/>
                    <w:rPr>
                      <w:color w:val="auto"/>
                    </w:rPr>
                  </w:pPr>
                  <w:r>
                    <w:rPr>
                      <w:color w:val="auto"/>
                      <w:szCs w:val="21"/>
                    </w:rPr>
                    <w:t>氨氮</w:t>
                  </w:r>
                </w:p>
              </w:tc>
              <w:tc>
                <w:tcPr>
                  <w:tcW w:w="573" w:type="pct"/>
                  <w:tcBorders>
                    <w:top w:val="single" w:color="auto" w:sz="4" w:space="0"/>
                    <w:left w:val="single" w:color="auto" w:sz="4" w:space="0"/>
                    <w:right w:val="single" w:color="auto" w:sz="4" w:space="0"/>
                  </w:tcBorders>
                  <w:vAlign w:val="center"/>
                </w:tcPr>
                <w:p>
                  <w:pPr>
                    <w:jc w:val="center"/>
                    <w:rPr>
                      <w:color w:val="auto"/>
                    </w:rPr>
                  </w:pPr>
                  <w:r>
                    <w:rPr>
                      <w:color w:val="auto"/>
                      <w:szCs w:val="21"/>
                    </w:rPr>
                    <w:t>mg/L</w:t>
                  </w:r>
                </w:p>
              </w:tc>
              <w:tc>
                <w:tcPr>
                  <w:tcW w:w="655" w:type="pct"/>
                  <w:tcBorders>
                    <w:top w:val="single" w:color="auto" w:sz="4" w:space="0"/>
                    <w:left w:val="single" w:color="auto" w:sz="4" w:space="0"/>
                    <w:right w:val="single" w:color="auto" w:sz="4" w:space="0"/>
                  </w:tcBorders>
                  <w:vAlign w:val="center"/>
                </w:tcPr>
                <w:p>
                  <w:pPr>
                    <w:jc w:val="center"/>
                    <w:rPr>
                      <w:color w:val="auto"/>
                    </w:rPr>
                  </w:pPr>
                  <w:r>
                    <w:rPr>
                      <w:color w:val="auto"/>
                    </w:rPr>
                    <w:t>4.56</w:t>
                  </w:r>
                </w:p>
              </w:tc>
              <w:tc>
                <w:tcPr>
                  <w:tcW w:w="472" w:type="pct"/>
                  <w:tcBorders>
                    <w:top w:val="single" w:color="auto" w:sz="4" w:space="0"/>
                    <w:left w:val="single" w:color="auto" w:sz="4" w:space="0"/>
                    <w:right w:val="single" w:color="auto" w:sz="4" w:space="0"/>
                  </w:tcBorders>
                  <w:vAlign w:val="center"/>
                </w:tcPr>
                <w:p>
                  <w:pPr>
                    <w:jc w:val="center"/>
                    <w:rPr>
                      <w:color w:val="auto"/>
                    </w:rPr>
                  </w:pPr>
                  <w:r>
                    <w:rPr>
                      <w:color w:val="auto"/>
                      <w:szCs w:val="21"/>
                    </w:rPr>
                    <w:t>45</w:t>
                  </w:r>
                </w:p>
              </w:tc>
              <w:tc>
                <w:tcPr>
                  <w:tcW w:w="939" w:type="pct"/>
                  <w:tcBorders>
                    <w:top w:val="single" w:color="auto" w:sz="4" w:space="0"/>
                    <w:left w:val="single" w:color="auto" w:sz="4" w:space="0"/>
                    <w:bottom w:val="single" w:color="auto" w:sz="4" w:space="0"/>
                    <w:right w:val="single" w:color="auto" w:sz="4" w:space="0"/>
                  </w:tcBorders>
                  <w:vAlign w:val="center"/>
                </w:tcPr>
                <w:p>
                  <w:pPr>
                    <w:jc w:val="center"/>
                    <w:rPr>
                      <w:color w:val="auto"/>
                    </w:rPr>
                  </w:pPr>
                  <w:r>
                    <w:rPr>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639" w:type="pct"/>
                  <w:vMerge w:val="continue"/>
                  <w:tcBorders>
                    <w:left w:val="single" w:color="auto" w:sz="4" w:space="0"/>
                    <w:right w:val="single" w:color="auto" w:sz="4" w:space="0"/>
                  </w:tcBorders>
                  <w:vAlign w:val="center"/>
                </w:tcPr>
                <w:p>
                  <w:pPr>
                    <w:jc w:val="center"/>
                    <w:rPr>
                      <w:color w:val="auto"/>
                      <w:szCs w:val="22"/>
                    </w:rPr>
                  </w:pPr>
                </w:p>
              </w:tc>
              <w:tc>
                <w:tcPr>
                  <w:tcW w:w="738" w:type="pct"/>
                  <w:vMerge w:val="continue"/>
                  <w:tcBorders>
                    <w:left w:val="single" w:color="auto" w:sz="4" w:space="0"/>
                    <w:right w:val="single" w:color="auto" w:sz="4" w:space="0"/>
                  </w:tcBorders>
                  <w:vAlign w:val="center"/>
                </w:tcPr>
                <w:p>
                  <w:pPr>
                    <w:jc w:val="center"/>
                    <w:rPr>
                      <w:color w:val="auto"/>
                      <w:szCs w:val="22"/>
                    </w:rPr>
                  </w:pPr>
                </w:p>
              </w:tc>
              <w:tc>
                <w:tcPr>
                  <w:tcW w:w="984" w:type="pct"/>
                  <w:tcBorders>
                    <w:top w:val="single" w:color="auto" w:sz="4" w:space="0"/>
                    <w:left w:val="single" w:color="auto" w:sz="4" w:space="0"/>
                    <w:bottom w:val="single" w:color="auto" w:sz="4" w:space="0"/>
                    <w:right w:val="single" w:color="auto" w:sz="4" w:space="0"/>
                  </w:tcBorders>
                  <w:vAlign w:val="center"/>
                </w:tcPr>
                <w:p>
                  <w:pPr>
                    <w:jc w:val="center"/>
                    <w:rPr>
                      <w:color w:val="auto"/>
                    </w:rPr>
                  </w:pPr>
                  <w:r>
                    <w:rPr>
                      <w:color w:val="auto"/>
                      <w:szCs w:val="21"/>
                    </w:rPr>
                    <w:t>总磷</w:t>
                  </w:r>
                </w:p>
              </w:tc>
              <w:tc>
                <w:tcPr>
                  <w:tcW w:w="573" w:type="pct"/>
                  <w:tcBorders>
                    <w:top w:val="single" w:color="auto" w:sz="4" w:space="0"/>
                    <w:left w:val="single" w:color="auto" w:sz="4" w:space="0"/>
                    <w:bottom w:val="single" w:color="auto" w:sz="4" w:space="0"/>
                    <w:right w:val="single" w:color="auto" w:sz="4" w:space="0"/>
                  </w:tcBorders>
                  <w:vAlign w:val="center"/>
                </w:tcPr>
                <w:p>
                  <w:pPr>
                    <w:jc w:val="center"/>
                    <w:rPr>
                      <w:color w:val="auto"/>
                    </w:rPr>
                  </w:pPr>
                  <w:r>
                    <w:rPr>
                      <w:color w:val="auto"/>
                      <w:szCs w:val="21"/>
                    </w:rPr>
                    <w:t>mg/L</w:t>
                  </w:r>
                </w:p>
              </w:tc>
              <w:tc>
                <w:tcPr>
                  <w:tcW w:w="655" w:type="pct"/>
                  <w:tcBorders>
                    <w:top w:val="single" w:color="auto" w:sz="4" w:space="0"/>
                    <w:left w:val="single" w:color="auto" w:sz="4" w:space="0"/>
                    <w:bottom w:val="single" w:color="auto" w:sz="4" w:space="0"/>
                    <w:right w:val="single" w:color="auto" w:sz="4" w:space="0"/>
                  </w:tcBorders>
                  <w:vAlign w:val="center"/>
                </w:tcPr>
                <w:p>
                  <w:pPr>
                    <w:jc w:val="center"/>
                    <w:rPr>
                      <w:color w:val="auto"/>
                    </w:rPr>
                  </w:pPr>
                  <w:r>
                    <w:rPr>
                      <w:color w:val="auto"/>
                    </w:rPr>
                    <w:t>1.14</w:t>
                  </w:r>
                </w:p>
              </w:tc>
              <w:tc>
                <w:tcPr>
                  <w:tcW w:w="472" w:type="pct"/>
                  <w:tcBorders>
                    <w:top w:val="single" w:color="auto" w:sz="4" w:space="0"/>
                    <w:left w:val="single" w:color="auto" w:sz="4" w:space="0"/>
                    <w:bottom w:val="single" w:color="auto" w:sz="4" w:space="0"/>
                    <w:right w:val="single" w:color="auto" w:sz="4" w:space="0"/>
                  </w:tcBorders>
                  <w:vAlign w:val="center"/>
                </w:tcPr>
                <w:p>
                  <w:pPr>
                    <w:jc w:val="center"/>
                    <w:rPr>
                      <w:color w:val="auto"/>
                    </w:rPr>
                  </w:pPr>
                  <w:r>
                    <w:rPr>
                      <w:color w:val="auto"/>
                      <w:szCs w:val="21"/>
                    </w:rPr>
                    <w:t>8</w:t>
                  </w:r>
                </w:p>
              </w:tc>
              <w:tc>
                <w:tcPr>
                  <w:tcW w:w="939" w:type="pct"/>
                  <w:tcBorders>
                    <w:top w:val="single" w:color="auto" w:sz="4" w:space="0"/>
                    <w:left w:val="single" w:color="auto" w:sz="4" w:space="0"/>
                    <w:bottom w:val="single" w:color="auto" w:sz="4" w:space="0"/>
                    <w:right w:val="single" w:color="auto" w:sz="4" w:space="0"/>
                  </w:tcBorders>
                  <w:vAlign w:val="center"/>
                </w:tcPr>
                <w:p>
                  <w:pPr>
                    <w:jc w:val="center"/>
                    <w:rPr>
                      <w:color w:val="auto"/>
                    </w:rPr>
                  </w:pPr>
                  <w:r>
                    <w:rPr>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639" w:type="pct"/>
                  <w:vMerge w:val="continue"/>
                  <w:tcBorders>
                    <w:left w:val="single" w:color="auto" w:sz="4" w:space="0"/>
                    <w:right w:val="single" w:color="auto" w:sz="4" w:space="0"/>
                  </w:tcBorders>
                  <w:vAlign w:val="center"/>
                </w:tcPr>
                <w:p>
                  <w:pPr>
                    <w:jc w:val="center"/>
                    <w:rPr>
                      <w:color w:val="auto"/>
                      <w:szCs w:val="22"/>
                    </w:rPr>
                  </w:pPr>
                </w:p>
              </w:tc>
              <w:tc>
                <w:tcPr>
                  <w:tcW w:w="738" w:type="pct"/>
                  <w:vMerge w:val="continue"/>
                  <w:tcBorders>
                    <w:left w:val="single" w:color="auto" w:sz="4" w:space="0"/>
                    <w:right w:val="single" w:color="auto" w:sz="4" w:space="0"/>
                  </w:tcBorders>
                  <w:vAlign w:val="center"/>
                </w:tcPr>
                <w:p>
                  <w:pPr>
                    <w:jc w:val="center"/>
                    <w:rPr>
                      <w:color w:val="auto"/>
                      <w:szCs w:val="22"/>
                    </w:rPr>
                  </w:pPr>
                </w:p>
              </w:tc>
              <w:tc>
                <w:tcPr>
                  <w:tcW w:w="984" w:type="pct"/>
                  <w:tcBorders>
                    <w:top w:val="single" w:color="auto" w:sz="4" w:space="0"/>
                    <w:left w:val="single" w:color="auto" w:sz="4" w:space="0"/>
                    <w:bottom w:val="single" w:color="auto" w:sz="4" w:space="0"/>
                    <w:right w:val="single" w:color="auto" w:sz="4" w:space="0"/>
                  </w:tcBorders>
                  <w:vAlign w:val="center"/>
                </w:tcPr>
                <w:p>
                  <w:pPr>
                    <w:jc w:val="center"/>
                    <w:rPr>
                      <w:color w:val="auto"/>
                    </w:rPr>
                  </w:pPr>
                  <w:r>
                    <w:rPr>
                      <w:color w:val="auto"/>
                      <w:szCs w:val="21"/>
                    </w:rPr>
                    <w:t>动植物油</w:t>
                  </w:r>
                </w:p>
              </w:tc>
              <w:tc>
                <w:tcPr>
                  <w:tcW w:w="573" w:type="pct"/>
                  <w:tcBorders>
                    <w:top w:val="single" w:color="auto" w:sz="4" w:space="0"/>
                    <w:left w:val="single" w:color="auto" w:sz="4" w:space="0"/>
                    <w:bottom w:val="single" w:color="auto" w:sz="4" w:space="0"/>
                    <w:right w:val="single" w:color="auto" w:sz="4" w:space="0"/>
                  </w:tcBorders>
                  <w:vAlign w:val="center"/>
                </w:tcPr>
                <w:p>
                  <w:pPr>
                    <w:jc w:val="center"/>
                    <w:rPr>
                      <w:color w:val="auto"/>
                    </w:rPr>
                  </w:pPr>
                  <w:r>
                    <w:rPr>
                      <w:color w:val="auto"/>
                      <w:szCs w:val="21"/>
                    </w:rPr>
                    <w:t>mg/L</w:t>
                  </w:r>
                </w:p>
              </w:tc>
              <w:tc>
                <w:tcPr>
                  <w:tcW w:w="655" w:type="pct"/>
                  <w:tcBorders>
                    <w:top w:val="single" w:color="auto" w:sz="4" w:space="0"/>
                    <w:left w:val="single" w:color="auto" w:sz="4" w:space="0"/>
                    <w:bottom w:val="single" w:color="auto" w:sz="4" w:space="0"/>
                    <w:right w:val="single" w:color="auto" w:sz="4" w:space="0"/>
                  </w:tcBorders>
                  <w:vAlign w:val="center"/>
                </w:tcPr>
                <w:p>
                  <w:pPr>
                    <w:jc w:val="center"/>
                    <w:rPr>
                      <w:color w:val="auto"/>
                    </w:rPr>
                  </w:pPr>
                  <w:r>
                    <w:rPr>
                      <w:color w:val="auto"/>
                    </w:rPr>
                    <w:t>1.34</w:t>
                  </w:r>
                </w:p>
              </w:tc>
              <w:tc>
                <w:tcPr>
                  <w:tcW w:w="472" w:type="pct"/>
                  <w:tcBorders>
                    <w:top w:val="single" w:color="auto" w:sz="4" w:space="0"/>
                    <w:left w:val="single" w:color="auto" w:sz="4" w:space="0"/>
                    <w:bottom w:val="single" w:color="auto" w:sz="4" w:space="0"/>
                    <w:right w:val="single" w:color="auto" w:sz="4" w:space="0"/>
                  </w:tcBorders>
                  <w:vAlign w:val="center"/>
                </w:tcPr>
                <w:p>
                  <w:pPr>
                    <w:jc w:val="center"/>
                    <w:rPr>
                      <w:color w:val="auto"/>
                    </w:rPr>
                  </w:pPr>
                  <w:r>
                    <w:rPr>
                      <w:color w:val="auto"/>
                    </w:rPr>
                    <w:t>100</w:t>
                  </w:r>
                </w:p>
              </w:tc>
              <w:tc>
                <w:tcPr>
                  <w:tcW w:w="939" w:type="pct"/>
                  <w:tcBorders>
                    <w:top w:val="single" w:color="auto" w:sz="4" w:space="0"/>
                    <w:left w:val="single" w:color="auto" w:sz="4" w:space="0"/>
                    <w:bottom w:val="single" w:color="auto" w:sz="4" w:space="0"/>
                    <w:right w:val="single" w:color="auto" w:sz="4" w:space="0"/>
                  </w:tcBorders>
                  <w:vAlign w:val="center"/>
                </w:tcPr>
                <w:p>
                  <w:pPr>
                    <w:jc w:val="center"/>
                    <w:rPr>
                      <w:color w:val="auto"/>
                    </w:rPr>
                  </w:pPr>
                  <w:r>
                    <w:rPr>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639" w:type="pct"/>
                  <w:vMerge w:val="continue"/>
                  <w:tcBorders>
                    <w:left w:val="single" w:color="auto" w:sz="4" w:space="0"/>
                    <w:right w:val="single" w:color="auto" w:sz="4" w:space="0"/>
                  </w:tcBorders>
                  <w:vAlign w:val="center"/>
                </w:tcPr>
                <w:p>
                  <w:pPr>
                    <w:jc w:val="center"/>
                    <w:rPr>
                      <w:color w:val="auto"/>
                      <w:szCs w:val="22"/>
                    </w:rPr>
                  </w:pPr>
                </w:p>
              </w:tc>
              <w:tc>
                <w:tcPr>
                  <w:tcW w:w="738" w:type="pct"/>
                  <w:vMerge w:val="continue"/>
                  <w:tcBorders>
                    <w:left w:val="single" w:color="auto" w:sz="4" w:space="0"/>
                    <w:right w:val="single" w:color="auto" w:sz="4" w:space="0"/>
                  </w:tcBorders>
                  <w:vAlign w:val="center"/>
                </w:tcPr>
                <w:p>
                  <w:pPr>
                    <w:jc w:val="center"/>
                    <w:rPr>
                      <w:color w:val="auto"/>
                      <w:szCs w:val="22"/>
                    </w:rPr>
                  </w:pPr>
                </w:p>
              </w:tc>
              <w:tc>
                <w:tcPr>
                  <w:tcW w:w="984" w:type="pct"/>
                  <w:tcBorders>
                    <w:top w:val="single" w:color="auto" w:sz="4" w:space="0"/>
                    <w:left w:val="single" w:color="auto" w:sz="4" w:space="0"/>
                    <w:bottom w:val="single" w:color="auto" w:sz="4" w:space="0"/>
                    <w:right w:val="single" w:color="auto" w:sz="4" w:space="0"/>
                  </w:tcBorders>
                  <w:vAlign w:val="center"/>
                </w:tcPr>
                <w:p>
                  <w:pPr>
                    <w:jc w:val="center"/>
                    <w:rPr>
                      <w:color w:val="auto"/>
                    </w:rPr>
                  </w:pPr>
                  <w:r>
                    <w:rPr>
                      <w:color w:val="auto"/>
                      <w:szCs w:val="21"/>
                    </w:rPr>
                    <w:t>化学需氧量</w:t>
                  </w:r>
                </w:p>
              </w:tc>
              <w:tc>
                <w:tcPr>
                  <w:tcW w:w="573" w:type="pct"/>
                  <w:tcBorders>
                    <w:top w:val="single" w:color="auto" w:sz="4" w:space="0"/>
                    <w:left w:val="single" w:color="auto" w:sz="4" w:space="0"/>
                    <w:bottom w:val="single" w:color="auto" w:sz="4" w:space="0"/>
                    <w:right w:val="single" w:color="auto" w:sz="4" w:space="0"/>
                  </w:tcBorders>
                  <w:vAlign w:val="center"/>
                </w:tcPr>
                <w:p>
                  <w:pPr>
                    <w:jc w:val="center"/>
                    <w:rPr>
                      <w:color w:val="auto"/>
                    </w:rPr>
                  </w:pPr>
                  <w:r>
                    <w:rPr>
                      <w:color w:val="auto"/>
                      <w:szCs w:val="21"/>
                    </w:rPr>
                    <w:t>mg/L</w:t>
                  </w:r>
                </w:p>
              </w:tc>
              <w:tc>
                <w:tcPr>
                  <w:tcW w:w="655" w:type="pct"/>
                  <w:tcBorders>
                    <w:top w:val="single" w:color="auto" w:sz="4" w:space="0"/>
                    <w:left w:val="single" w:color="auto" w:sz="4" w:space="0"/>
                    <w:bottom w:val="single" w:color="auto" w:sz="4" w:space="0"/>
                    <w:right w:val="single" w:color="auto" w:sz="4" w:space="0"/>
                  </w:tcBorders>
                  <w:vAlign w:val="center"/>
                </w:tcPr>
                <w:p>
                  <w:pPr>
                    <w:jc w:val="center"/>
                    <w:rPr>
                      <w:color w:val="auto"/>
                    </w:rPr>
                  </w:pPr>
                  <w:r>
                    <w:rPr>
                      <w:color w:val="auto"/>
                    </w:rPr>
                    <w:t>261</w:t>
                  </w:r>
                </w:p>
              </w:tc>
              <w:tc>
                <w:tcPr>
                  <w:tcW w:w="472" w:type="pct"/>
                  <w:tcBorders>
                    <w:top w:val="single" w:color="auto" w:sz="4" w:space="0"/>
                    <w:left w:val="single" w:color="auto" w:sz="4" w:space="0"/>
                    <w:right w:val="single" w:color="auto" w:sz="4" w:space="0"/>
                  </w:tcBorders>
                  <w:vAlign w:val="center"/>
                </w:tcPr>
                <w:p>
                  <w:pPr>
                    <w:jc w:val="center"/>
                    <w:rPr>
                      <w:color w:val="auto"/>
                    </w:rPr>
                  </w:pPr>
                  <w:r>
                    <w:rPr>
                      <w:color w:val="auto"/>
                      <w:szCs w:val="21"/>
                    </w:rPr>
                    <w:t>500</w:t>
                  </w:r>
                </w:p>
              </w:tc>
              <w:tc>
                <w:tcPr>
                  <w:tcW w:w="939" w:type="pct"/>
                  <w:tcBorders>
                    <w:top w:val="single" w:color="auto" w:sz="4" w:space="0"/>
                    <w:left w:val="single" w:color="auto" w:sz="4" w:space="0"/>
                    <w:right w:val="single" w:color="auto" w:sz="4" w:space="0"/>
                  </w:tcBorders>
                  <w:vAlign w:val="center"/>
                </w:tcPr>
                <w:p>
                  <w:pPr>
                    <w:jc w:val="center"/>
                    <w:rPr>
                      <w:color w:val="auto"/>
                    </w:rPr>
                  </w:pPr>
                  <w:r>
                    <w:rPr>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639" w:type="pct"/>
                  <w:vMerge w:val="continue"/>
                  <w:tcBorders>
                    <w:left w:val="single" w:color="auto" w:sz="4" w:space="0"/>
                    <w:bottom w:val="single" w:color="auto" w:sz="4" w:space="0"/>
                    <w:right w:val="single" w:color="auto" w:sz="4" w:space="0"/>
                  </w:tcBorders>
                  <w:vAlign w:val="center"/>
                </w:tcPr>
                <w:p>
                  <w:pPr>
                    <w:jc w:val="center"/>
                    <w:rPr>
                      <w:color w:val="auto"/>
                      <w:szCs w:val="22"/>
                    </w:rPr>
                  </w:pPr>
                </w:p>
              </w:tc>
              <w:tc>
                <w:tcPr>
                  <w:tcW w:w="738" w:type="pct"/>
                  <w:vMerge w:val="continue"/>
                  <w:tcBorders>
                    <w:left w:val="single" w:color="auto" w:sz="4" w:space="0"/>
                    <w:bottom w:val="single" w:color="auto" w:sz="4" w:space="0"/>
                    <w:right w:val="single" w:color="auto" w:sz="4" w:space="0"/>
                  </w:tcBorders>
                  <w:vAlign w:val="center"/>
                </w:tcPr>
                <w:p>
                  <w:pPr>
                    <w:jc w:val="center"/>
                    <w:rPr>
                      <w:color w:val="auto"/>
                      <w:szCs w:val="22"/>
                    </w:rPr>
                  </w:pPr>
                </w:p>
              </w:tc>
              <w:tc>
                <w:tcPr>
                  <w:tcW w:w="984" w:type="pct"/>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五日生化需氧量</w:t>
                  </w:r>
                </w:p>
              </w:tc>
              <w:tc>
                <w:tcPr>
                  <w:tcW w:w="573" w:type="pct"/>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mg/L</w:t>
                  </w:r>
                </w:p>
              </w:tc>
              <w:tc>
                <w:tcPr>
                  <w:tcW w:w="655" w:type="pct"/>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5</w:t>
                  </w:r>
                </w:p>
              </w:tc>
              <w:tc>
                <w:tcPr>
                  <w:tcW w:w="472" w:type="pct"/>
                  <w:tcBorders>
                    <w:left w:val="single" w:color="auto" w:sz="4" w:space="0"/>
                    <w:bottom w:val="single" w:color="auto" w:sz="4" w:space="0"/>
                    <w:right w:val="single" w:color="auto" w:sz="4" w:space="0"/>
                  </w:tcBorders>
                  <w:vAlign w:val="center"/>
                </w:tcPr>
                <w:p>
                  <w:pPr>
                    <w:jc w:val="center"/>
                    <w:rPr>
                      <w:color w:val="auto"/>
                      <w:szCs w:val="21"/>
                    </w:rPr>
                  </w:pPr>
                  <w:r>
                    <w:rPr>
                      <w:color w:val="auto"/>
                      <w:szCs w:val="21"/>
                    </w:rPr>
                    <w:t>300</w:t>
                  </w:r>
                </w:p>
              </w:tc>
              <w:tc>
                <w:tcPr>
                  <w:tcW w:w="939" w:type="pct"/>
                  <w:tcBorders>
                    <w:left w:val="single" w:color="auto" w:sz="4" w:space="0"/>
                    <w:bottom w:val="single" w:color="auto" w:sz="4" w:space="0"/>
                    <w:right w:val="single" w:color="auto" w:sz="4" w:space="0"/>
                  </w:tcBorders>
                  <w:vAlign w:val="center"/>
                </w:tcPr>
                <w:p>
                  <w:pPr>
                    <w:jc w:val="center"/>
                    <w:rPr>
                      <w:color w:val="auto"/>
                      <w:szCs w:val="21"/>
                    </w:rPr>
                  </w:pPr>
                  <w:r>
                    <w:rPr>
                      <w:color w:val="auto"/>
                      <w:szCs w:val="21"/>
                    </w:rPr>
                    <w:t>达标</w:t>
                  </w:r>
                </w:p>
              </w:tc>
            </w:tr>
          </w:tbl>
          <w:p>
            <w:pPr>
              <w:snapToGrid w:val="0"/>
              <w:spacing w:beforeLines="50" w:line="360" w:lineRule="auto"/>
              <w:ind w:firstLine="480" w:firstLineChars="200"/>
              <w:rPr>
                <w:color w:val="auto"/>
                <w:kern w:val="0"/>
                <w:sz w:val="24"/>
              </w:rPr>
            </w:pPr>
            <w:r>
              <w:rPr>
                <w:color w:val="auto"/>
                <w:sz w:val="24"/>
              </w:rPr>
              <w:t>废水监测结果表明：2022年3月1日S1废水排口</w:t>
            </w:r>
            <w:r>
              <w:rPr>
                <w:color w:val="auto"/>
                <w:kern w:val="0"/>
                <w:sz w:val="24"/>
              </w:rPr>
              <w:t>pH值、悬浮物、氨氮、总磷、动植物油、化学需氧量、五日生化需氧量</w:t>
            </w:r>
            <w:r>
              <w:rPr>
                <w:color w:val="auto"/>
                <w:sz w:val="24"/>
              </w:rPr>
              <w:t>监测浓度均满足江宁经济技术开发区污水处理厂接管标准。</w:t>
            </w:r>
          </w:p>
          <w:p>
            <w:pPr>
              <w:snapToGrid w:val="0"/>
              <w:spacing w:line="360" w:lineRule="auto"/>
              <w:ind w:firstLine="482" w:firstLineChars="200"/>
              <w:rPr>
                <w:b/>
                <w:bCs/>
                <w:color w:val="auto"/>
                <w:sz w:val="24"/>
              </w:rPr>
            </w:pPr>
            <w:r>
              <w:rPr>
                <w:b/>
                <w:bCs/>
                <w:color w:val="auto"/>
                <w:sz w:val="24"/>
              </w:rPr>
              <w:fldChar w:fldCharType="begin"/>
            </w:r>
            <w:r>
              <w:rPr>
                <w:b/>
                <w:bCs/>
                <w:color w:val="auto"/>
                <w:sz w:val="24"/>
              </w:rPr>
              <w:instrText xml:space="preserve"> = 3 \* GB3 \* MERGEFORMAT </w:instrText>
            </w:r>
            <w:r>
              <w:rPr>
                <w:b/>
                <w:bCs/>
                <w:color w:val="auto"/>
                <w:sz w:val="24"/>
              </w:rPr>
              <w:fldChar w:fldCharType="separate"/>
            </w:r>
            <w:r>
              <w:rPr>
                <w:rFonts w:hint="eastAsia" w:ascii="宋体" w:hAnsi="宋体" w:cs="宋体"/>
                <w:color w:val="auto"/>
              </w:rPr>
              <w:t>③</w:t>
            </w:r>
            <w:r>
              <w:rPr>
                <w:b/>
                <w:bCs/>
                <w:color w:val="auto"/>
                <w:sz w:val="24"/>
              </w:rPr>
              <w:fldChar w:fldCharType="end"/>
            </w:r>
            <w:r>
              <w:rPr>
                <w:b/>
                <w:bCs/>
                <w:color w:val="auto"/>
                <w:sz w:val="24"/>
              </w:rPr>
              <w:t>噪声达标排放情况</w:t>
            </w:r>
          </w:p>
          <w:p>
            <w:pPr>
              <w:spacing w:line="360" w:lineRule="auto"/>
              <w:ind w:firstLine="480" w:firstLineChars="200"/>
              <w:rPr>
                <w:color w:val="auto"/>
                <w:sz w:val="24"/>
              </w:rPr>
            </w:pPr>
            <w:r>
              <w:rPr>
                <w:color w:val="auto"/>
                <w:sz w:val="24"/>
              </w:rPr>
              <w:t>根据2022年3月</w:t>
            </w:r>
            <w:r>
              <w:rPr>
                <w:rFonts w:hint="eastAsia"/>
                <w:color w:val="auto"/>
                <w:sz w:val="24"/>
              </w:rPr>
              <w:t>1日</w:t>
            </w:r>
            <w:r>
              <w:rPr>
                <w:color w:val="auto"/>
                <w:sz w:val="24"/>
              </w:rPr>
              <w:t>江苏雁蓝检测科技有限公司对公司现有项目进行监测，监测报告(2022)环检（综）字第（W0174），现有项目噪声排放情况见下表。</w:t>
            </w:r>
          </w:p>
          <w:p>
            <w:pPr>
              <w:pStyle w:val="104"/>
              <w:spacing w:line="360" w:lineRule="auto"/>
              <w:rPr>
                <w:color w:val="auto"/>
                <w:sz w:val="24"/>
                <w:szCs w:val="24"/>
              </w:rPr>
            </w:pPr>
            <w:r>
              <w:rPr>
                <w:color w:val="auto"/>
                <w:sz w:val="24"/>
                <w:szCs w:val="24"/>
              </w:rPr>
              <w:t>表2-1</w:t>
            </w:r>
            <w:r>
              <w:rPr>
                <w:rFonts w:hint="eastAsia"/>
                <w:color w:val="auto"/>
                <w:sz w:val="24"/>
                <w:szCs w:val="24"/>
              </w:rPr>
              <w:t>6</w:t>
            </w:r>
            <w:r>
              <w:rPr>
                <w:color w:val="auto"/>
                <w:sz w:val="24"/>
                <w:szCs w:val="24"/>
              </w:rPr>
              <w:t xml:space="preserve">  现状噪声实测情况一览表</w:t>
            </w:r>
          </w:p>
          <w:tbl>
            <w:tblPr>
              <w:tblStyle w:val="3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0"/>
              <w:gridCol w:w="760"/>
              <w:gridCol w:w="1381"/>
              <w:gridCol w:w="3356"/>
              <w:gridCol w:w="1190"/>
              <w:gridCol w:w="9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90" w:type="dxa"/>
                  <w:vMerge w:val="restart"/>
                  <w:vAlign w:val="center"/>
                </w:tcPr>
                <w:p>
                  <w:pPr>
                    <w:pStyle w:val="105"/>
                  </w:pPr>
                  <w:r>
                    <w:t>监测</w:t>
                  </w:r>
                </w:p>
                <w:p>
                  <w:pPr>
                    <w:pStyle w:val="105"/>
                  </w:pPr>
                  <w:r>
                    <w:t>日期</w:t>
                  </w:r>
                </w:p>
              </w:tc>
              <w:tc>
                <w:tcPr>
                  <w:tcW w:w="780" w:type="dxa"/>
                  <w:vMerge w:val="restart"/>
                  <w:vAlign w:val="center"/>
                </w:tcPr>
                <w:p>
                  <w:pPr>
                    <w:pStyle w:val="105"/>
                  </w:pPr>
                  <w:r>
                    <w:t>天气情况</w:t>
                  </w:r>
                </w:p>
              </w:tc>
              <w:tc>
                <w:tcPr>
                  <w:tcW w:w="1425" w:type="dxa"/>
                  <w:vMerge w:val="restart"/>
                  <w:vAlign w:val="center"/>
                </w:tcPr>
                <w:p>
                  <w:pPr>
                    <w:pStyle w:val="105"/>
                  </w:pPr>
                  <w:r>
                    <w:t>风速（m/s）</w:t>
                  </w:r>
                </w:p>
              </w:tc>
              <w:tc>
                <w:tcPr>
                  <w:tcW w:w="3475" w:type="dxa"/>
                  <w:vMerge w:val="restart"/>
                  <w:vAlign w:val="center"/>
                </w:tcPr>
                <w:p>
                  <w:pPr>
                    <w:pStyle w:val="105"/>
                  </w:pPr>
                  <w:r>
                    <w:t>监测点位</w:t>
                  </w:r>
                </w:p>
              </w:tc>
              <w:tc>
                <w:tcPr>
                  <w:tcW w:w="2160" w:type="dxa"/>
                  <w:gridSpan w:val="2"/>
                  <w:vAlign w:val="center"/>
                </w:tcPr>
                <w:p>
                  <w:pPr>
                    <w:pStyle w:val="105"/>
                  </w:pPr>
                  <w:r>
                    <w:t>声级值dB(A)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90" w:type="dxa"/>
                  <w:vMerge w:val="continue"/>
                  <w:vAlign w:val="center"/>
                </w:tcPr>
                <w:p>
                  <w:pPr>
                    <w:pStyle w:val="105"/>
                  </w:pPr>
                </w:p>
              </w:tc>
              <w:tc>
                <w:tcPr>
                  <w:tcW w:w="780" w:type="dxa"/>
                  <w:vMerge w:val="continue"/>
                  <w:vAlign w:val="center"/>
                </w:tcPr>
                <w:p>
                  <w:pPr>
                    <w:pStyle w:val="105"/>
                  </w:pPr>
                </w:p>
              </w:tc>
              <w:tc>
                <w:tcPr>
                  <w:tcW w:w="1425" w:type="dxa"/>
                  <w:vMerge w:val="continue"/>
                  <w:vAlign w:val="center"/>
                </w:tcPr>
                <w:p>
                  <w:pPr>
                    <w:pStyle w:val="105"/>
                  </w:pPr>
                </w:p>
              </w:tc>
              <w:tc>
                <w:tcPr>
                  <w:tcW w:w="3475" w:type="dxa"/>
                  <w:vMerge w:val="continue"/>
                  <w:vAlign w:val="center"/>
                </w:tcPr>
                <w:p>
                  <w:pPr>
                    <w:pStyle w:val="105"/>
                  </w:pPr>
                </w:p>
              </w:tc>
              <w:tc>
                <w:tcPr>
                  <w:tcW w:w="1226" w:type="dxa"/>
                  <w:vAlign w:val="center"/>
                </w:tcPr>
                <w:p>
                  <w:pPr>
                    <w:pStyle w:val="105"/>
                  </w:pPr>
                  <w:r>
                    <w:t>昼间</w:t>
                  </w:r>
                </w:p>
              </w:tc>
              <w:tc>
                <w:tcPr>
                  <w:tcW w:w="934" w:type="dxa"/>
                  <w:vAlign w:val="center"/>
                </w:tcPr>
                <w:p>
                  <w:pPr>
                    <w:pStyle w:val="105"/>
                  </w:pPr>
                  <w: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90" w:type="dxa"/>
                  <w:vMerge w:val="restart"/>
                  <w:vAlign w:val="center"/>
                </w:tcPr>
                <w:p>
                  <w:pPr>
                    <w:pStyle w:val="105"/>
                  </w:pPr>
                  <w:r>
                    <w:t>2021年1月4日</w:t>
                  </w:r>
                </w:p>
              </w:tc>
              <w:tc>
                <w:tcPr>
                  <w:tcW w:w="780" w:type="dxa"/>
                  <w:vMerge w:val="restart"/>
                  <w:vAlign w:val="center"/>
                </w:tcPr>
                <w:p>
                  <w:pPr>
                    <w:pStyle w:val="105"/>
                  </w:pPr>
                  <w:r>
                    <w:t>晴</w:t>
                  </w:r>
                </w:p>
              </w:tc>
              <w:tc>
                <w:tcPr>
                  <w:tcW w:w="1425" w:type="dxa"/>
                  <w:vMerge w:val="restart"/>
                  <w:vAlign w:val="center"/>
                </w:tcPr>
                <w:p>
                  <w:pPr>
                    <w:pStyle w:val="105"/>
                  </w:pPr>
                  <w:r>
                    <w:t>1.7</w:t>
                  </w:r>
                </w:p>
              </w:tc>
              <w:tc>
                <w:tcPr>
                  <w:tcW w:w="3475" w:type="dxa"/>
                  <w:vAlign w:val="center"/>
                </w:tcPr>
                <w:p>
                  <w:pPr>
                    <w:pStyle w:val="105"/>
                  </w:pPr>
                  <w:r>
                    <w:t>N2东厂界外1米</w:t>
                  </w:r>
                </w:p>
              </w:tc>
              <w:tc>
                <w:tcPr>
                  <w:tcW w:w="1226" w:type="dxa"/>
                  <w:vAlign w:val="center"/>
                </w:tcPr>
                <w:p>
                  <w:pPr>
                    <w:pStyle w:val="105"/>
                  </w:pPr>
                  <w:r>
                    <w:rPr>
                      <w:rFonts w:hint="eastAsia"/>
                    </w:rPr>
                    <w:t>53</w:t>
                  </w:r>
                </w:p>
              </w:tc>
              <w:tc>
                <w:tcPr>
                  <w:tcW w:w="934" w:type="dxa"/>
                  <w:vAlign w:val="center"/>
                </w:tcPr>
                <w:p>
                  <w:pPr>
                    <w:pStyle w:val="105"/>
                  </w:pPr>
                  <w:r>
                    <w:rPr>
                      <w:rFonts w:hint="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90" w:type="dxa"/>
                  <w:vMerge w:val="continue"/>
                  <w:vAlign w:val="center"/>
                </w:tcPr>
                <w:p>
                  <w:pPr>
                    <w:pStyle w:val="105"/>
                  </w:pPr>
                </w:p>
              </w:tc>
              <w:tc>
                <w:tcPr>
                  <w:tcW w:w="780" w:type="dxa"/>
                  <w:vMerge w:val="continue"/>
                  <w:vAlign w:val="center"/>
                </w:tcPr>
                <w:p>
                  <w:pPr>
                    <w:pStyle w:val="105"/>
                  </w:pPr>
                </w:p>
              </w:tc>
              <w:tc>
                <w:tcPr>
                  <w:tcW w:w="1425" w:type="dxa"/>
                  <w:vMerge w:val="continue"/>
                  <w:vAlign w:val="center"/>
                </w:tcPr>
                <w:p>
                  <w:pPr>
                    <w:pStyle w:val="105"/>
                  </w:pPr>
                </w:p>
              </w:tc>
              <w:tc>
                <w:tcPr>
                  <w:tcW w:w="3475" w:type="dxa"/>
                  <w:vAlign w:val="center"/>
                </w:tcPr>
                <w:p>
                  <w:pPr>
                    <w:pStyle w:val="105"/>
                  </w:pPr>
                  <w:r>
                    <w:t>N3南厂界</w:t>
                  </w:r>
                  <w:r>
                    <w:cr/>
                  </w:r>
                  <w:r>
                    <w:t>1米</w:t>
                  </w:r>
                </w:p>
              </w:tc>
              <w:tc>
                <w:tcPr>
                  <w:tcW w:w="1226" w:type="dxa"/>
                  <w:vAlign w:val="center"/>
                </w:tcPr>
                <w:p>
                  <w:pPr>
                    <w:pStyle w:val="105"/>
                  </w:pPr>
                  <w:r>
                    <w:rPr>
                      <w:rFonts w:hint="eastAsia"/>
                    </w:rPr>
                    <w:t>57</w:t>
                  </w:r>
                </w:p>
              </w:tc>
              <w:tc>
                <w:tcPr>
                  <w:tcW w:w="934" w:type="dxa"/>
                  <w:vAlign w:val="center"/>
                </w:tcPr>
                <w:p>
                  <w:pPr>
                    <w:pStyle w:val="105"/>
                  </w:pPr>
                  <w:r>
                    <w:rPr>
                      <w:rFonts w:hint="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90" w:type="dxa"/>
                  <w:vMerge w:val="continue"/>
                  <w:vAlign w:val="center"/>
                </w:tcPr>
                <w:p>
                  <w:pPr>
                    <w:pStyle w:val="105"/>
                  </w:pPr>
                </w:p>
              </w:tc>
              <w:tc>
                <w:tcPr>
                  <w:tcW w:w="780" w:type="dxa"/>
                  <w:vMerge w:val="continue"/>
                  <w:vAlign w:val="center"/>
                </w:tcPr>
                <w:p>
                  <w:pPr>
                    <w:pStyle w:val="105"/>
                  </w:pPr>
                </w:p>
              </w:tc>
              <w:tc>
                <w:tcPr>
                  <w:tcW w:w="1425" w:type="dxa"/>
                  <w:vMerge w:val="continue"/>
                  <w:vAlign w:val="center"/>
                </w:tcPr>
                <w:p>
                  <w:pPr>
                    <w:pStyle w:val="105"/>
                  </w:pPr>
                </w:p>
              </w:tc>
              <w:tc>
                <w:tcPr>
                  <w:tcW w:w="3475" w:type="dxa"/>
                  <w:vAlign w:val="center"/>
                </w:tcPr>
                <w:p>
                  <w:pPr>
                    <w:pStyle w:val="105"/>
                  </w:pPr>
                  <w:r>
                    <w:t>N4西厂界外1米</w:t>
                  </w:r>
                </w:p>
              </w:tc>
              <w:tc>
                <w:tcPr>
                  <w:tcW w:w="1226" w:type="dxa"/>
                  <w:vAlign w:val="center"/>
                </w:tcPr>
                <w:p>
                  <w:pPr>
                    <w:pStyle w:val="105"/>
                  </w:pPr>
                  <w:r>
                    <w:rPr>
                      <w:rFonts w:hint="eastAsia"/>
                    </w:rPr>
                    <w:t>58</w:t>
                  </w:r>
                </w:p>
              </w:tc>
              <w:tc>
                <w:tcPr>
                  <w:tcW w:w="934" w:type="dxa"/>
                  <w:vAlign w:val="center"/>
                </w:tcPr>
                <w:p>
                  <w:pPr>
                    <w:pStyle w:val="105"/>
                  </w:pPr>
                  <w:r>
                    <w:rPr>
                      <w:rFonts w:hint="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53" w:hRule="atLeast"/>
              </w:trPr>
              <w:tc>
                <w:tcPr>
                  <w:tcW w:w="1090" w:type="dxa"/>
                  <w:vMerge w:val="continue"/>
                  <w:vAlign w:val="center"/>
                </w:tcPr>
                <w:p>
                  <w:pPr>
                    <w:pStyle w:val="105"/>
                  </w:pPr>
                </w:p>
              </w:tc>
              <w:tc>
                <w:tcPr>
                  <w:tcW w:w="780" w:type="dxa"/>
                  <w:vMerge w:val="continue"/>
                  <w:vAlign w:val="center"/>
                </w:tcPr>
                <w:p>
                  <w:pPr>
                    <w:pStyle w:val="105"/>
                  </w:pPr>
                </w:p>
              </w:tc>
              <w:tc>
                <w:tcPr>
                  <w:tcW w:w="1425" w:type="dxa"/>
                  <w:vMerge w:val="continue"/>
                  <w:vAlign w:val="center"/>
                </w:tcPr>
                <w:p>
                  <w:pPr>
                    <w:pStyle w:val="105"/>
                  </w:pPr>
                </w:p>
              </w:tc>
              <w:tc>
                <w:tcPr>
                  <w:tcW w:w="3475" w:type="dxa"/>
                  <w:vAlign w:val="center"/>
                </w:tcPr>
                <w:p>
                  <w:pPr>
                    <w:pStyle w:val="105"/>
                  </w:pPr>
                  <w:r>
                    <w:t>N</w:t>
                  </w:r>
                  <w:r>
                    <w:rPr>
                      <w:rFonts w:hint="eastAsia"/>
                    </w:rPr>
                    <w:t>1</w:t>
                  </w:r>
                  <w:r>
                    <w:t>北厂界外1米</w:t>
                  </w:r>
                </w:p>
              </w:tc>
              <w:tc>
                <w:tcPr>
                  <w:tcW w:w="1226" w:type="dxa"/>
                  <w:vAlign w:val="center"/>
                </w:tcPr>
                <w:p>
                  <w:pPr>
                    <w:pStyle w:val="105"/>
                  </w:pPr>
                  <w:r>
                    <w:rPr>
                      <w:rFonts w:hint="eastAsia"/>
                    </w:rPr>
                    <w:t>59</w:t>
                  </w:r>
                </w:p>
              </w:tc>
              <w:tc>
                <w:tcPr>
                  <w:tcW w:w="934" w:type="dxa"/>
                  <w:vAlign w:val="center"/>
                </w:tcPr>
                <w:p>
                  <w:pPr>
                    <w:pStyle w:val="105"/>
                  </w:pPr>
                  <w:r>
                    <w:rPr>
                      <w:rFonts w:hint="eastAsia"/>
                    </w:rPr>
                    <w:t>--</w:t>
                  </w:r>
                </w:p>
              </w:tc>
            </w:tr>
          </w:tbl>
          <w:p>
            <w:pPr>
              <w:snapToGrid w:val="0"/>
              <w:spacing w:beforeLines="50" w:line="360" w:lineRule="auto"/>
              <w:ind w:firstLine="480" w:firstLineChars="200"/>
              <w:rPr>
                <w:sz w:val="24"/>
              </w:rPr>
            </w:pPr>
            <w:r>
              <w:rPr>
                <w:sz w:val="24"/>
              </w:rPr>
              <w:t>监测结果表明，2021年1月4日昼间厂界东、南、西、北环境噪声等效声级均符合《工业企业厂界环境噪声排放标准》（GB12348-2008）中</w:t>
            </w:r>
            <w:r>
              <w:rPr>
                <w:rFonts w:hint="eastAsia"/>
                <w:sz w:val="24"/>
              </w:rPr>
              <w:t>2</w:t>
            </w:r>
            <w:r>
              <w:rPr>
                <w:sz w:val="24"/>
              </w:rPr>
              <w:t>类标准限值</w:t>
            </w:r>
            <w:r>
              <w:rPr>
                <w:rFonts w:hint="eastAsia"/>
                <w:sz w:val="24"/>
              </w:rPr>
              <w:t>，</w:t>
            </w:r>
            <w:r>
              <w:rPr>
                <w:sz w:val="24"/>
              </w:rPr>
              <w:t>昼间：6</w:t>
            </w:r>
            <w:r>
              <w:rPr>
                <w:rFonts w:hint="eastAsia"/>
                <w:sz w:val="24"/>
              </w:rPr>
              <w:t>0</w:t>
            </w:r>
            <w:r>
              <w:rPr>
                <w:sz w:val="24"/>
              </w:rPr>
              <w:t>dB（A）的要求</w:t>
            </w:r>
            <w:r>
              <w:rPr>
                <w:rFonts w:hint="eastAsia"/>
                <w:color w:val="auto"/>
                <w:sz w:val="24"/>
              </w:rPr>
              <w:t>，企业夜间不生产</w:t>
            </w:r>
            <w:r>
              <w:rPr>
                <w:color w:val="auto"/>
                <w:sz w:val="24"/>
              </w:rPr>
              <w:t>。</w:t>
            </w:r>
          </w:p>
          <w:p>
            <w:pPr>
              <w:pStyle w:val="6"/>
              <w:jc w:val="both"/>
              <w:rPr>
                <w:rFonts w:ascii="Times New Roman" w:hAnsi="Times New Roman"/>
                <w:b/>
                <w:bCs/>
                <w:color w:val="auto"/>
                <w:kern w:val="2"/>
                <w:sz w:val="24"/>
                <w:szCs w:val="24"/>
              </w:rPr>
            </w:pPr>
            <w:r>
              <w:rPr>
                <w:rFonts w:hint="eastAsia" w:ascii="Times New Roman" w:hAnsi="Times New Roman"/>
                <w:b/>
                <w:bCs/>
                <w:color w:val="auto"/>
                <w:kern w:val="2"/>
                <w:sz w:val="24"/>
                <w:szCs w:val="24"/>
              </w:rPr>
              <w:t>4</w:t>
            </w:r>
            <w:r>
              <w:rPr>
                <w:rFonts w:ascii="Times New Roman" w:hAnsi="Times New Roman"/>
                <w:b/>
                <w:bCs/>
                <w:color w:val="auto"/>
                <w:kern w:val="2"/>
                <w:sz w:val="24"/>
                <w:szCs w:val="24"/>
              </w:rPr>
              <w:t>、</w:t>
            </w:r>
            <w:r>
              <w:rPr>
                <w:rFonts w:hint="eastAsia"/>
                <w:b/>
                <w:bCs/>
                <w:sz w:val="24"/>
                <w:szCs w:val="24"/>
              </w:rPr>
              <w:t>与本项目相关的现有20英寸光电倍增管项目</w:t>
            </w:r>
            <w:r>
              <w:rPr>
                <w:b/>
                <w:bCs/>
                <w:kern w:val="2"/>
                <w:sz w:val="24"/>
                <w:szCs w:val="24"/>
              </w:rPr>
              <w:t>工艺流程及产污环节</w:t>
            </w:r>
          </w:p>
          <w:p>
            <w:pPr>
              <w:spacing w:line="360" w:lineRule="auto"/>
            </w:pPr>
            <w:r>
              <w:rPr>
                <w:szCs w:val="22"/>
              </w:rPr>
              <w:object>
                <v:shape id="_x0000_i1026" o:spt="75" type="#_x0000_t75" style="height:117.35pt;width:414pt;" o:ole="t" filled="f" o:preferrelative="t" stroked="f" coordsize="21600,21600">
                  <v:path/>
                  <v:fill on="f" focussize="0,0"/>
                  <v:stroke on="f" joinstyle="miter"/>
                  <v:imagedata r:id="rId12" o:title=""/>
                  <o:lock v:ext="edit" aspectratio="t"/>
                  <w10:wrap type="none"/>
                  <w10:anchorlock/>
                </v:shape>
                <o:OLEObject Type="Embed" ProgID="Visio.Drawing.11" ShapeID="_x0000_i1026" DrawAspect="Content" ObjectID="_1468075726" r:id="rId11">
                  <o:LockedField>false</o:LockedField>
                </o:OLEObject>
              </w:object>
            </w:r>
          </w:p>
          <w:p>
            <w:pPr>
              <w:pStyle w:val="6"/>
              <w:jc w:val="center"/>
              <w:rPr>
                <w:rFonts w:ascii="Times New Roman" w:hAnsi="Times New Roman"/>
                <w:b/>
                <w:bCs/>
                <w:color w:val="auto"/>
                <w:kern w:val="2"/>
                <w:sz w:val="24"/>
                <w:szCs w:val="24"/>
              </w:rPr>
            </w:pPr>
            <w:r>
              <w:rPr>
                <w:rFonts w:ascii="Times New Roman" w:hAnsi="Times New Roman"/>
                <w:b/>
                <w:bCs/>
                <w:color w:val="auto"/>
                <w:kern w:val="2"/>
                <w:sz w:val="24"/>
                <w:szCs w:val="24"/>
                <w:lang w:val="zh-CN"/>
              </w:rPr>
              <w:t>图</w:t>
            </w:r>
            <w:r>
              <w:rPr>
                <w:rFonts w:ascii="Times New Roman" w:hAnsi="Times New Roman"/>
                <w:b/>
                <w:bCs/>
                <w:color w:val="auto"/>
                <w:kern w:val="2"/>
                <w:sz w:val="24"/>
                <w:szCs w:val="24"/>
              </w:rPr>
              <w:t>2-</w:t>
            </w:r>
            <w:r>
              <w:rPr>
                <w:rFonts w:hint="eastAsia" w:ascii="Times New Roman" w:hAnsi="Times New Roman"/>
                <w:b/>
                <w:bCs/>
                <w:color w:val="auto"/>
                <w:kern w:val="2"/>
                <w:sz w:val="24"/>
                <w:szCs w:val="24"/>
              </w:rPr>
              <w:t>3</w:t>
            </w:r>
            <w:r>
              <w:rPr>
                <w:rFonts w:ascii="Times New Roman" w:hAnsi="Times New Roman"/>
                <w:b/>
                <w:bCs/>
                <w:color w:val="auto"/>
                <w:kern w:val="2"/>
                <w:sz w:val="24"/>
                <w:szCs w:val="24"/>
              </w:rPr>
              <w:t xml:space="preserve">  20英寸光电倍增管生产工艺及产污环节图</w:t>
            </w:r>
          </w:p>
          <w:p>
            <w:pPr>
              <w:widowControl/>
              <w:spacing w:line="360" w:lineRule="auto"/>
              <w:ind w:firstLine="482" w:firstLineChars="200"/>
              <w:rPr>
                <w:kern w:val="0"/>
                <w:sz w:val="24"/>
              </w:rPr>
            </w:pPr>
            <w:r>
              <w:rPr>
                <w:b/>
                <w:bCs/>
                <w:kern w:val="0"/>
                <w:sz w:val="24"/>
              </w:rPr>
              <w:t>（1）清洗工序</w:t>
            </w:r>
          </w:p>
          <w:p>
            <w:pPr>
              <w:widowControl/>
              <w:spacing w:line="360" w:lineRule="auto"/>
              <w:ind w:firstLine="480" w:firstLineChars="200"/>
              <w:rPr>
                <w:kern w:val="0"/>
                <w:sz w:val="24"/>
              </w:rPr>
            </w:pPr>
            <w:r>
              <w:rPr>
                <w:kern w:val="0"/>
                <w:sz w:val="24"/>
              </w:rPr>
              <w:t>清洗工序主要实现对零件以及玻壳的清洗。</w:t>
            </w:r>
          </w:p>
          <w:p>
            <w:pPr>
              <w:widowControl/>
              <w:spacing w:line="360" w:lineRule="auto"/>
              <w:ind w:firstLine="480" w:firstLineChars="200"/>
              <w:rPr>
                <w:kern w:val="0"/>
                <w:sz w:val="24"/>
              </w:rPr>
            </w:pPr>
            <w:r>
              <w:rPr>
                <w:kern w:val="0"/>
                <w:sz w:val="24"/>
              </w:rPr>
              <w:t>零部清洗前操作人员需对清洗液进行配备，芯柱（清洗液成分是RBS-25和乙醇）、陶瓷件（</w:t>
            </w:r>
            <w:r>
              <w:rPr>
                <w:rFonts w:hint="eastAsia"/>
                <w:kern w:val="0"/>
                <w:sz w:val="24"/>
              </w:rPr>
              <w:t>RBS清洗剂溶液、盐酸溶液</w:t>
            </w:r>
            <w:r>
              <w:rPr>
                <w:kern w:val="0"/>
                <w:sz w:val="24"/>
              </w:rPr>
              <w:t>）、云母片（乙醇）清洗好后，使用去离子水再次进行清洗、乙醇脱水，然后采用烘箱对其进行烘干（烘干温度在20~200</w:t>
            </w:r>
            <w:r>
              <w:rPr>
                <w:rFonts w:hint="eastAsia" w:ascii="宋体" w:hAnsi="宋体" w:cs="宋体"/>
                <w:kern w:val="0"/>
                <w:sz w:val="24"/>
              </w:rPr>
              <w:t>℃</w:t>
            </w:r>
            <w:r>
              <w:rPr>
                <w:kern w:val="0"/>
                <w:sz w:val="24"/>
              </w:rPr>
              <w:t>）处理，以及时去除零件表面水分，防止其表面发生氧化反应。</w:t>
            </w:r>
          </w:p>
          <w:p>
            <w:pPr>
              <w:widowControl/>
              <w:spacing w:line="360" w:lineRule="auto"/>
              <w:ind w:firstLine="480" w:firstLineChars="200"/>
              <w:rPr>
                <w:kern w:val="0"/>
                <w:sz w:val="24"/>
              </w:rPr>
            </w:pPr>
            <w:r>
              <w:rPr>
                <w:kern w:val="0"/>
                <w:sz w:val="24"/>
              </w:rPr>
              <w:t>玻壳的清洗：玻壳清洗</w:t>
            </w:r>
            <w:r>
              <w:rPr>
                <w:rFonts w:hint="eastAsia"/>
                <w:kern w:val="0"/>
                <w:sz w:val="24"/>
              </w:rPr>
              <w:t>采用</w:t>
            </w:r>
            <w:r>
              <w:rPr>
                <w:kern w:val="0"/>
                <w:sz w:val="24"/>
              </w:rPr>
              <w:t>RBS-25中性洗涤剂按一定的比列调配</w:t>
            </w:r>
            <w:r>
              <w:rPr>
                <w:rFonts w:hint="eastAsia"/>
                <w:kern w:val="0"/>
                <w:sz w:val="24"/>
              </w:rPr>
              <w:t>的清洗液进行清洗</w:t>
            </w:r>
            <w:r>
              <w:rPr>
                <w:kern w:val="0"/>
                <w:sz w:val="24"/>
              </w:rPr>
              <w:t>。玻壳放入20英寸的玻壳清洗机中进行自动清洗。清洗20min后，进行两道漂洗，漂洗使用的是水，然后采用烘箱对其进行烘干处理，以及时去除表面水分，烘干温度在20~200</w:t>
            </w:r>
            <w:r>
              <w:rPr>
                <w:rFonts w:hint="eastAsia" w:ascii="宋体" w:hAnsi="宋体" w:cs="宋体"/>
                <w:kern w:val="0"/>
                <w:sz w:val="24"/>
              </w:rPr>
              <w:t>℃</w:t>
            </w:r>
            <w:r>
              <w:rPr>
                <w:kern w:val="0"/>
                <w:sz w:val="24"/>
              </w:rPr>
              <w:t>。可伐盘、弹簧片、玻璃珠的清洗委外处理。</w:t>
            </w:r>
          </w:p>
          <w:p>
            <w:pPr>
              <w:widowControl/>
              <w:spacing w:line="360" w:lineRule="auto"/>
              <w:ind w:firstLine="480" w:firstLineChars="200"/>
              <w:rPr>
                <w:color w:val="auto"/>
                <w:kern w:val="0"/>
                <w:sz w:val="24"/>
              </w:rPr>
            </w:pPr>
            <w:r>
              <w:rPr>
                <w:rFonts w:hint="eastAsia"/>
                <w:color w:val="auto"/>
                <w:kern w:val="0"/>
                <w:sz w:val="24"/>
              </w:rPr>
              <w:t>清洗工序产生G1非甲烷总烃、G2氯化氢、W1酸碱废水、W2冲洗废水。</w:t>
            </w:r>
          </w:p>
          <w:p>
            <w:pPr>
              <w:widowControl/>
              <w:spacing w:line="360" w:lineRule="auto"/>
              <w:ind w:firstLine="482" w:firstLineChars="200"/>
              <w:rPr>
                <w:color w:val="auto"/>
                <w:kern w:val="0"/>
                <w:sz w:val="24"/>
              </w:rPr>
            </w:pPr>
            <w:r>
              <w:rPr>
                <w:b/>
                <w:bCs/>
                <w:color w:val="auto"/>
                <w:kern w:val="0"/>
                <w:sz w:val="24"/>
              </w:rPr>
              <w:t>（2）零部件处理工序</w:t>
            </w:r>
          </w:p>
          <w:p>
            <w:pPr>
              <w:widowControl/>
              <w:spacing w:line="360" w:lineRule="auto"/>
              <w:ind w:firstLine="480" w:firstLineChars="200"/>
              <w:rPr>
                <w:kern w:val="0"/>
                <w:sz w:val="24"/>
              </w:rPr>
            </w:pPr>
            <w:r>
              <w:rPr>
                <w:kern w:val="0"/>
                <w:sz w:val="24"/>
              </w:rPr>
              <w:t>零部件处理主要是针对可伐盘及芯柱、不锈钢零件及陶瓷件、玻壳进行处理的。</w:t>
            </w:r>
          </w:p>
          <w:p>
            <w:pPr>
              <w:widowControl/>
              <w:spacing w:line="360" w:lineRule="auto"/>
              <w:ind w:firstLine="480" w:firstLineChars="200"/>
              <w:rPr>
                <w:kern w:val="0"/>
                <w:sz w:val="24"/>
              </w:rPr>
            </w:pPr>
            <w:r>
              <w:rPr>
                <w:kern w:val="0"/>
                <w:sz w:val="24"/>
              </w:rPr>
              <w:t>可伐盘及芯柱：为了保证密封性，操作人员使用高频焊机对玻璃芯柱和金属可伐盘进行高频封接；封接好后，操作人员使用检漏仪对其进行检测，检测是否有封接完好；20英寸光电倍增管采用铟封技术对玻壳及MCP进行真空封接，铟封过程中工作温度在20~650</w:t>
            </w:r>
            <w:r>
              <w:rPr>
                <w:rFonts w:hint="eastAsia" w:ascii="宋体" w:hAnsi="宋体" w:cs="宋体"/>
                <w:kern w:val="0"/>
                <w:sz w:val="24"/>
              </w:rPr>
              <w:t>℃</w:t>
            </w:r>
            <w:r>
              <w:rPr>
                <w:kern w:val="0"/>
                <w:sz w:val="24"/>
              </w:rPr>
              <w:t>，需对其再次进行检漏，检测是否有铟封好。</w:t>
            </w:r>
          </w:p>
          <w:p>
            <w:pPr>
              <w:widowControl/>
              <w:spacing w:line="360" w:lineRule="auto"/>
              <w:ind w:firstLine="480" w:firstLineChars="200"/>
              <w:rPr>
                <w:kern w:val="0"/>
                <w:sz w:val="24"/>
              </w:rPr>
            </w:pPr>
            <w:r>
              <w:rPr>
                <w:kern w:val="0"/>
                <w:sz w:val="24"/>
              </w:rPr>
              <w:t>不锈钢零件及陶瓷件：其中真空电子器件所用零件需使用真空除气炉进行真空除气处理，为了防止其在密封完好的真空器件中放气，降低真空度，影响其性能。为了防止陶瓷件在密封完好的真空器件中放气，降低真空度，使用马弗炉对其进行除气。</w:t>
            </w:r>
          </w:p>
          <w:p>
            <w:pPr>
              <w:widowControl/>
              <w:spacing w:line="360" w:lineRule="auto"/>
              <w:ind w:firstLine="480" w:firstLineChars="200"/>
              <w:rPr>
                <w:kern w:val="0"/>
                <w:sz w:val="24"/>
              </w:rPr>
            </w:pPr>
          </w:p>
          <w:p>
            <w:pPr>
              <w:spacing w:line="360" w:lineRule="auto"/>
              <w:ind w:firstLine="480" w:firstLineChars="200"/>
              <w:rPr>
                <w:b/>
                <w:bCs/>
                <w:kern w:val="0"/>
                <w:sz w:val="24"/>
              </w:rPr>
            </w:pPr>
            <w:r>
              <w:rPr>
                <w:bCs/>
                <w:kern w:val="0"/>
                <w:sz w:val="24"/>
              </w:rPr>
              <w:t>（3）</w:t>
            </w:r>
            <w:r>
              <w:rPr>
                <w:b/>
                <w:bCs/>
                <w:kern w:val="0"/>
                <w:sz w:val="24"/>
              </w:rPr>
              <w:t>装配工序</w:t>
            </w:r>
          </w:p>
          <w:p>
            <w:pPr>
              <w:widowControl/>
              <w:spacing w:line="360" w:lineRule="auto"/>
              <w:ind w:firstLine="480" w:firstLineChars="200"/>
              <w:rPr>
                <w:kern w:val="0"/>
                <w:sz w:val="24"/>
              </w:rPr>
            </w:pPr>
            <w:r>
              <w:rPr>
                <w:kern w:val="0"/>
                <w:sz w:val="24"/>
              </w:rPr>
              <w:t>装配工序主要是通过使用点焊机或手持式点焊机将处理好的可伐盘及芯柱、弹簧片、陶瓷件、玻璃珠、云母片、MCP等装配成管芯，焊接使用的主要材料为不锈钢；碱源和锑球也利用点焊接装配成锑碱座。</w:t>
            </w:r>
          </w:p>
          <w:p>
            <w:pPr>
              <w:widowControl/>
              <w:spacing w:line="360" w:lineRule="auto"/>
              <w:ind w:firstLine="482" w:firstLineChars="200"/>
              <w:rPr>
                <w:kern w:val="0"/>
                <w:sz w:val="24"/>
              </w:rPr>
            </w:pPr>
            <w:r>
              <w:rPr>
                <w:b/>
                <w:bCs/>
                <w:kern w:val="0"/>
                <w:sz w:val="24"/>
              </w:rPr>
              <w:t>（4）检测工序</w:t>
            </w:r>
          </w:p>
          <w:p>
            <w:pPr>
              <w:widowControl/>
              <w:spacing w:line="360" w:lineRule="auto"/>
              <w:ind w:firstLine="480" w:firstLineChars="200"/>
              <w:rPr>
                <w:kern w:val="0"/>
                <w:sz w:val="24"/>
              </w:rPr>
            </w:pPr>
            <w:r>
              <w:rPr>
                <w:kern w:val="0"/>
                <w:sz w:val="24"/>
              </w:rPr>
              <w:t>管芯与锑碱座装配工序完成后，需对其进行检验，操作人员是用万用表检测管芯与锑碱座各管角是否短路、牢固，管芯与锑碱座是否通气等。</w:t>
            </w:r>
          </w:p>
          <w:p>
            <w:pPr>
              <w:widowControl/>
              <w:spacing w:line="360" w:lineRule="auto"/>
              <w:ind w:firstLine="482" w:firstLineChars="200"/>
              <w:rPr>
                <w:kern w:val="0"/>
                <w:sz w:val="24"/>
              </w:rPr>
            </w:pPr>
            <w:r>
              <w:rPr>
                <w:b/>
                <w:bCs/>
                <w:kern w:val="0"/>
                <w:sz w:val="24"/>
              </w:rPr>
              <w:t>（5）整管制作工序</w:t>
            </w:r>
          </w:p>
          <w:p>
            <w:pPr>
              <w:widowControl/>
              <w:spacing w:line="360" w:lineRule="auto"/>
              <w:ind w:firstLine="480" w:firstLineChars="200"/>
              <w:rPr>
                <w:kern w:val="0"/>
                <w:sz w:val="24"/>
              </w:rPr>
            </w:pPr>
            <w:r>
              <w:rPr>
                <w:kern w:val="0"/>
                <w:sz w:val="24"/>
              </w:rPr>
              <w:t>检验完成后，将管芯、锑碱座及玻壳上排气台，在排气台上先抽真空，升温除气。除气完毕后，待温度降到工作温度，对MPC组件进行加工作电压；对锑碱盘及玻壳进行阴极激活，阴极激活是操作人员通过操作监控台使阴极转移设备自动对其自动进行激活，使光电倍增管具有高灵敏度、高信噪比、长寿命、高产量等，阴极激活过程中还进行热烘烤和电子清刷；对管芯进行吸气剂激活（即对管内进行抽真空）。然后将管芯、锑碱座及玻壳进行铟封，在铟封过程中需对铟锡合金丝进行加热，加热温度到130</w:t>
            </w:r>
            <w:r>
              <w:rPr>
                <w:rFonts w:hint="eastAsia" w:ascii="宋体" w:hAnsi="宋体" w:cs="宋体"/>
                <w:kern w:val="0"/>
                <w:sz w:val="24"/>
              </w:rPr>
              <w:t>℃</w:t>
            </w:r>
            <w:r>
              <w:rPr>
                <w:kern w:val="0"/>
                <w:sz w:val="24"/>
              </w:rPr>
              <w:t>左右，铟锡合金丝熔化在铟封槽内，使管芯和锑碱座封接，形成光电倍增管。</w:t>
            </w:r>
          </w:p>
          <w:p>
            <w:pPr>
              <w:widowControl/>
              <w:spacing w:line="360" w:lineRule="auto"/>
              <w:ind w:firstLine="482" w:firstLineChars="200"/>
              <w:rPr>
                <w:kern w:val="0"/>
                <w:sz w:val="24"/>
              </w:rPr>
            </w:pPr>
            <w:r>
              <w:rPr>
                <w:b/>
                <w:bCs/>
                <w:kern w:val="0"/>
                <w:sz w:val="24"/>
              </w:rPr>
              <w:t>（6）测试工序</w:t>
            </w:r>
          </w:p>
          <w:p>
            <w:pPr>
              <w:widowControl/>
              <w:spacing w:line="360" w:lineRule="auto"/>
              <w:ind w:firstLine="480" w:firstLineChars="200"/>
              <w:rPr>
                <w:kern w:val="0"/>
                <w:sz w:val="24"/>
              </w:rPr>
            </w:pPr>
            <w:r>
              <w:rPr>
                <w:kern w:val="0"/>
                <w:sz w:val="24"/>
              </w:rPr>
              <w:t>光电倍增管性能测试是光电倍增研制的重要组成部分之一。批量生产阶段，需对样管进行生产性能测试和出厂性能测试，保证产品的质量。</w:t>
            </w:r>
          </w:p>
          <w:p>
            <w:pPr>
              <w:widowControl/>
              <w:spacing w:line="360" w:lineRule="auto"/>
              <w:ind w:firstLine="482" w:firstLineChars="200"/>
              <w:rPr>
                <w:kern w:val="0"/>
                <w:sz w:val="24"/>
              </w:rPr>
            </w:pPr>
            <w:r>
              <w:rPr>
                <w:b/>
                <w:bCs/>
                <w:kern w:val="0"/>
                <w:sz w:val="24"/>
              </w:rPr>
              <w:t>（7）包装、储运</w:t>
            </w:r>
          </w:p>
          <w:p>
            <w:pPr>
              <w:widowControl/>
              <w:spacing w:line="360" w:lineRule="auto"/>
              <w:ind w:firstLine="480" w:firstLineChars="200"/>
              <w:rPr>
                <w:kern w:val="0"/>
                <w:sz w:val="24"/>
              </w:rPr>
            </w:pPr>
            <w:r>
              <w:rPr>
                <w:kern w:val="0"/>
                <w:sz w:val="24"/>
              </w:rPr>
              <w:t>南京地区湿度较大，为节约成本，保障光电倍增管在储存、运输过程中，可伐盘及管针不受潮氧化，进而直接影响光电倍增管工作性能，将采用自动真空包装机真空包装储存。</w:t>
            </w:r>
          </w:p>
          <w:p>
            <w:pPr>
              <w:pStyle w:val="6"/>
              <w:jc w:val="both"/>
              <w:rPr>
                <w:rFonts w:ascii="Times New Roman" w:hAnsi="Times New Roman"/>
                <w:b/>
                <w:bCs/>
                <w:color w:val="auto"/>
                <w:kern w:val="2"/>
                <w:sz w:val="24"/>
                <w:szCs w:val="24"/>
                <w:lang w:val="zh-CN"/>
              </w:rPr>
            </w:pPr>
            <w:r>
              <w:rPr>
                <w:rFonts w:hint="eastAsia" w:ascii="Times New Roman" w:hAnsi="Times New Roman"/>
                <w:b/>
                <w:bCs/>
                <w:color w:val="auto"/>
                <w:kern w:val="2"/>
                <w:sz w:val="24"/>
                <w:szCs w:val="24"/>
              </w:rPr>
              <w:t>5</w:t>
            </w:r>
            <w:r>
              <w:rPr>
                <w:rFonts w:ascii="Times New Roman" w:hAnsi="Times New Roman"/>
                <w:b/>
                <w:bCs/>
                <w:color w:val="auto"/>
                <w:kern w:val="2"/>
                <w:sz w:val="24"/>
                <w:szCs w:val="24"/>
                <w:lang w:val="zh-CN"/>
              </w:rPr>
              <w:t>、现有项目存在问题及措施</w:t>
            </w:r>
          </w:p>
          <w:p>
            <w:pPr>
              <w:spacing w:line="360" w:lineRule="auto"/>
              <w:ind w:firstLine="482" w:firstLineChars="200"/>
              <w:rPr>
                <w:b/>
                <w:sz w:val="24"/>
              </w:rPr>
            </w:pPr>
            <w:r>
              <w:rPr>
                <w:b/>
                <w:sz w:val="24"/>
              </w:rPr>
              <w:t>（1）环境监测计划</w:t>
            </w:r>
          </w:p>
          <w:p>
            <w:pPr>
              <w:spacing w:line="360" w:lineRule="auto"/>
              <w:ind w:firstLine="480" w:firstLineChars="200"/>
              <w:rPr>
                <w:color w:val="auto"/>
                <w:sz w:val="24"/>
              </w:rPr>
            </w:pPr>
            <w:r>
              <w:rPr>
                <w:sz w:val="24"/>
              </w:rPr>
              <w:t>由于企业现有项目原环评编制时间较久远，环评文件未涉及环境监测计划，企</w:t>
            </w:r>
            <w:r>
              <w:rPr>
                <w:color w:val="auto"/>
                <w:sz w:val="24"/>
              </w:rPr>
              <w:t>业已根据实际情况参照《排污单位自行监测技术指南 电子工业》（HJ 1253-2022）等文件要求设置自行监测计划。</w:t>
            </w:r>
            <w:r>
              <w:rPr>
                <w:rFonts w:hint="eastAsia"/>
                <w:color w:val="auto"/>
                <w:sz w:val="24"/>
              </w:rPr>
              <w:t>本项目将提出项目建成后全厂监测计划。</w:t>
            </w:r>
          </w:p>
          <w:p>
            <w:pPr>
              <w:pStyle w:val="6"/>
              <w:ind w:firstLine="482" w:firstLineChars="200"/>
              <w:jc w:val="both"/>
              <w:rPr>
                <w:rFonts w:ascii="Times New Roman" w:hAnsi="Times New Roman"/>
                <w:b/>
                <w:color w:val="auto"/>
                <w:sz w:val="24"/>
                <w:szCs w:val="24"/>
              </w:rPr>
            </w:pPr>
            <w:r>
              <w:rPr>
                <w:rFonts w:ascii="Times New Roman" w:hAnsi="Times New Roman"/>
                <w:b/>
                <w:color w:val="auto"/>
                <w:sz w:val="24"/>
                <w:szCs w:val="24"/>
              </w:rPr>
              <w:t>（2）现有项目排放总量</w:t>
            </w:r>
          </w:p>
          <w:p>
            <w:pPr>
              <w:pStyle w:val="6"/>
              <w:ind w:firstLine="480" w:firstLineChars="200"/>
              <w:jc w:val="both"/>
              <w:rPr>
                <w:rFonts w:ascii="Times New Roman" w:hAnsi="Times New Roman"/>
                <w:color w:val="auto"/>
                <w:sz w:val="24"/>
                <w:szCs w:val="24"/>
              </w:rPr>
            </w:pPr>
            <w:r>
              <w:rPr>
                <w:rFonts w:ascii="Times New Roman" w:hAnsi="Times New Roman"/>
                <w:color w:val="auto"/>
                <w:sz w:val="24"/>
                <w:szCs w:val="24"/>
              </w:rPr>
              <w:t>由于企业现有项目原环评编制时间较久远，2003年微通道板生产线技术改造项目和2004年微光夜视元件科研基础建设项目环评文件中的污染物排放量及排放因子与企业实际排放量及排放因子有差别，建</w:t>
            </w:r>
            <w:r>
              <w:rPr>
                <w:rFonts w:hint="eastAsia" w:ascii="Times New Roman" w:hAnsi="Times New Roman"/>
                <w:color w:val="auto"/>
                <w:sz w:val="24"/>
                <w:szCs w:val="24"/>
              </w:rPr>
              <w:t>议</w:t>
            </w:r>
            <w:r>
              <w:rPr>
                <w:rFonts w:ascii="Times New Roman" w:hAnsi="Times New Roman"/>
                <w:color w:val="auto"/>
                <w:sz w:val="24"/>
                <w:szCs w:val="24"/>
              </w:rPr>
              <w:t>重新申请排污许可证。</w:t>
            </w:r>
          </w:p>
          <w:p>
            <w:pPr>
              <w:numPr>
                <w:ilvl w:val="0"/>
                <w:numId w:val="7"/>
              </w:numPr>
              <w:spacing w:line="360" w:lineRule="auto"/>
              <w:ind w:firstLine="480"/>
              <w:rPr>
                <w:b/>
                <w:color w:val="auto"/>
                <w:sz w:val="24"/>
              </w:rPr>
            </w:pPr>
            <w:r>
              <w:rPr>
                <w:rFonts w:hint="eastAsia"/>
                <w:b/>
                <w:color w:val="auto"/>
                <w:sz w:val="24"/>
              </w:rPr>
              <w:t>现有危废库没有废气处理设施</w:t>
            </w:r>
          </w:p>
          <w:p>
            <w:pPr>
              <w:spacing w:line="360" w:lineRule="auto"/>
              <w:ind w:firstLine="480" w:firstLineChars="200"/>
              <w:jc w:val="left"/>
              <w:rPr>
                <w:color w:val="auto"/>
                <w:sz w:val="24"/>
              </w:rPr>
            </w:pPr>
            <w:r>
              <w:rPr>
                <w:rFonts w:hint="eastAsia"/>
                <w:color w:val="auto"/>
                <w:sz w:val="24"/>
              </w:rPr>
              <w:t>本项目“以新带老”在现有危废库安装废气处理装置，危废库废气负压收集，+一级活性炭处理后经15m高排气筒排放，风量2000m</w:t>
            </w:r>
            <w:r>
              <w:rPr>
                <w:rFonts w:hint="eastAsia"/>
                <w:color w:val="auto"/>
                <w:sz w:val="24"/>
                <w:vertAlign w:val="superscript"/>
              </w:rPr>
              <w:t>3</w:t>
            </w:r>
            <w:r>
              <w:rPr>
                <w:rFonts w:hint="eastAsia"/>
                <w:color w:val="auto"/>
                <w:sz w:val="24"/>
              </w:rPr>
              <w:t>/h，内径0.2m。</w:t>
            </w:r>
          </w:p>
          <w:p>
            <w:pPr>
              <w:numPr>
                <w:ilvl w:val="0"/>
                <w:numId w:val="7"/>
              </w:numPr>
              <w:spacing w:line="360" w:lineRule="auto"/>
              <w:ind w:firstLine="480"/>
              <w:jc w:val="left"/>
              <w:rPr>
                <w:b/>
                <w:color w:val="auto"/>
                <w:sz w:val="24"/>
              </w:rPr>
            </w:pPr>
            <w:r>
              <w:rPr>
                <w:rFonts w:hint="eastAsia"/>
                <w:b/>
                <w:color w:val="auto"/>
                <w:sz w:val="24"/>
              </w:rPr>
              <w:t>改造现有8#厂房废气处理设施</w:t>
            </w:r>
          </w:p>
          <w:p>
            <w:pPr>
              <w:spacing w:line="360" w:lineRule="auto"/>
              <w:ind w:firstLine="480" w:firstLineChars="200"/>
              <w:jc w:val="left"/>
              <w:rPr>
                <w:color w:val="auto"/>
                <w:sz w:val="24"/>
              </w:rPr>
            </w:pPr>
            <w:r>
              <w:rPr>
                <w:rFonts w:hint="eastAsia"/>
                <w:color w:val="auto"/>
                <w:sz w:val="24"/>
              </w:rPr>
              <w:t>本项目“以新带老”改造现有8#厂房废气处理设施。8#厂房清洗工序产生的废气，主要为非甲烷总烃、氯化氢，通过酸洗柜收集后，经水喷淋净化塔处理+15米高的排气筒P2排放，对产生的非甲烷总烃未做处理，本项目改造为经废气收集+碱液喷淋+一级活性炭吸附+15高排气筒P2排放，风量8000m</w:t>
            </w:r>
            <w:r>
              <w:rPr>
                <w:rFonts w:hint="eastAsia"/>
                <w:color w:val="auto"/>
                <w:sz w:val="24"/>
                <w:vertAlign w:val="superscript"/>
              </w:rPr>
              <w:t>3</w:t>
            </w:r>
            <w:r>
              <w:rPr>
                <w:rFonts w:hint="eastAsia"/>
                <w:color w:val="auto"/>
                <w:sz w:val="24"/>
              </w:rPr>
              <w:t>/h，内径0.5m。</w:t>
            </w:r>
          </w:p>
          <w:p>
            <w:pPr>
              <w:pStyle w:val="6"/>
              <w:ind w:firstLine="482" w:firstLineChars="200"/>
              <w:jc w:val="both"/>
              <w:rPr>
                <w:rFonts w:ascii="Times New Roman" w:hAnsi="Times New Roman"/>
                <w:b/>
                <w:color w:val="auto"/>
                <w:sz w:val="24"/>
                <w:szCs w:val="24"/>
              </w:rPr>
            </w:pPr>
            <w:r>
              <w:rPr>
                <w:rFonts w:ascii="Times New Roman" w:hAnsi="Times New Roman"/>
                <w:b/>
                <w:color w:val="auto"/>
                <w:sz w:val="24"/>
                <w:szCs w:val="24"/>
              </w:rPr>
              <w:t>（</w:t>
            </w:r>
            <w:r>
              <w:rPr>
                <w:rFonts w:hint="eastAsia" w:ascii="Times New Roman" w:hAnsi="Times New Roman"/>
                <w:b/>
                <w:color w:val="auto"/>
                <w:sz w:val="24"/>
                <w:szCs w:val="24"/>
              </w:rPr>
              <w:t>5</w:t>
            </w:r>
            <w:r>
              <w:rPr>
                <w:rFonts w:ascii="Times New Roman" w:hAnsi="Times New Roman"/>
                <w:b/>
                <w:color w:val="auto"/>
                <w:sz w:val="24"/>
                <w:szCs w:val="24"/>
              </w:rPr>
              <w:t>）一般固体废物“以新带老”</w:t>
            </w:r>
          </w:p>
          <w:p>
            <w:pPr>
              <w:spacing w:line="360" w:lineRule="auto"/>
              <w:ind w:firstLine="480" w:firstLineChars="200"/>
              <w:rPr>
                <w:color w:val="auto"/>
                <w:sz w:val="24"/>
              </w:rPr>
            </w:pPr>
            <w:r>
              <w:rPr>
                <w:rFonts w:hint="eastAsia"/>
                <w:color w:val="auto"/>
                <w:sz w:val="24"/>
              </w:rPr>
              <w:t>现有项目</w:t>
            </w:r>
            <w:r>
              <w:rPr>
                <w:color w:val="auto"/>
                <w:sz w:val="24"/>
              </w:rPr>
              <w:t>微通道板生产过程，完成微通道板及光纤元件的毛坯生产后，对毛坯进行切片、滚圆、倒边、并对其进行检验，之后进行抛光等工序，冷加工全部结束后，对于光纤元件经检验合格后包装出厂。在抛光过程产生抛光粉</w:t>
            </w:r>
            <w:r>
              <w:rPr>
                <w:rFonts w:hint="eastAsia"/>
                <w:color w:val="auto"/>
                <w:sz w:val="24"/>
              </w:rPr>
              <w:t>（氧化镧和氧化铈）</w:t>
            </w:r>
            <w:r>
              <w:rPr>
                <w:color w:val="auto"/>
                <w:sz w:val="24"/>
              </w:rPr>
              <w:t>沉淀物，为一般固体废物，产生量为4t/a，纳入本项目一般固体废物管理。</w:t>
            </w:r>
          </w:p>
          <w:p>
            <w:pPr>
              <w:pStyle w:val="3"/>
              <w:spacing w:line="360" w:lineRule="auto"/>
              <w:ind w:firstLine="482" w:firstLineChars="200"/>
              <w:jc w:val="left"/>
              <w:rPr>
                <w:b/>
                <w:color w:val="auto"/>
                <w:sz w:val="24"/>
                <w:szCs w:val="24"/>
              </w:rPr>
            </w:pPr>
            <w:r>
              <w:rPr>
                <w:rFonts w:hint="eastAsia"/>
                <w:b/>
                <w:color w:val="auto"/>
                <w:sz w:val="24"/>
                <w:szCs w:val="24"/>
              </w:rPr>
              <w:t>（6）现有项目未设置事故池</w:t>
            </w:r>
          </w:p>
          <w:p>
            <w:pPr>
              <w:pStyle w:val="3"/>
              <w:spacing w:line="360" w:lineRule="auto"/>
              <w:ind w:firstLine="480" w:firstLineChars="200"/>
              <w:jc w:val="left"/>
              <w:rPr>
                <w:color w:val="auto"/>
                <w:sz w:val="24"/>
                <w:szCs w:val="24"/>
              </w:rPr>
            </w:pPr>
            <w:r>
              <w:rPr>
                <w:color w:val="auto"/>
                <w:sz w:val="24"/>
                <w:szCs w:val="24"/>
              </w:rPr>
              <w:t>现有项目未设置事故池，本项目“以新带老”设置事故废水收集池</w:t>
            </w:r>
            <w:r>
              <w:rPr>
                <w:rFonts w:hint="eastAsia"/>
                <w:color w:val="auto"/>
                <w:sz w:val="24"/>
                <w:szCs w:val="24"/>
              </w:rPr>
              <w:t>800m</w:t>
            </w:r>
            <w:r>
              <w:rPr>
                <w:rFonts w:hint="eastAsia"/>
                <w:color w:val="auto"/>
                <w:sz w:val="24"/>
                <w:szCs w:val="24"/>
                <w:vertAlign w:val="superscript"/>
              </w:rPr>
              <w:t>3</w:t>
            </w:r>
            <w:r>
              <w:rPr>
                <w:color w:val="auto"/>
                <w:sz w:val="24"/>
                <w:szCs w:val="24"/>
              </w:rPr>
              <w:t>，在雨污水总排口装应急切断阀门，防止消防废水及泄漏物料置进入周边水体污染水环境</w:t>
            </w:r>
            <w:r>
              <w:rPr>
                <w:rFonts w:hint="eastAsia"/>
                <w:color w:val="auto"/>
                <w:sz w:val="24"/>
                <w:szCs w:val="24"/>
              </w:rPr>
              <w:t>，防止事故情况下污水超标排放</w:t>
            </w:r>
            <w:r>
              <w:rPr>
                <w:color w:val="auto"/>
                <w:sz w:val="24"/>
                <w:szCs w:val="24"/>
              </w:rPr>
              <w:t>。</w:t>
            </w:r>
          </w:p>
          <w:p>
            <w:pPr>
              <w:pStyle w:val="6"/>
              <w:jc w:val="both"/>
              <w:rPr>
                <w:rFonts w:ascii="Times New Roman" w:hAnsi="Times New Roman"/>
                <w:b/>
                <w:color w:val="auto"/>
                <w:kern w:val="2"/>
                <w:sz w:val="24"/>
                <w:szCs w:val="24"/>
                <w:lang w:val="zh-CN"/>
              </w:rPr>
            </w:pPr>
            <w:r>
              <w:rPr>
                <w:rFonts w:hint="eastAsia" w:ascii="Times New Roman" w:hAnsi="Times New Roman"/>
                <w:b/>
                <w:color w:val="auto"/>
                <w:kern w:val="2"/>
                <w:sz w:val="24"/>
                <w:szCs w:val="24"/>
              </w:rPr>
              <w:t>6</w:t>
            </w:r>
            <w:r>
              <w:rPr>
                <w:rFonts w:ascii="Times New Roman" w:hAnsi="Times New Roman"/>
                <w:b/>
                <w:color w:val="auto"/>
                <w:kern w:val="2"/>
                <w:sz w:val="24"/>
                <w:szCs w:val="24"/>
                <w:lang w:val="zh-CN"/>
              </w:rPr>
              <w:t>、现有项目污染物排放总量</w:t>
            </w:r>
          </w:p>
          <w:p>
            <w:pPr>
              <w:snapToGrid w:val="0"/>
              <w:spacing w:line="360" w:lineRule="auto"/>
              <w:ind w:firstLine="480" w:firstLineChars="200"/>
              <w:rPr>
                <w:bCs/>
                <w:color w:val="auto"/>
                <w:sz w:val="24"/>
              </w:rPr>
            </w:pPr>
            <w:r>
              <w:rPr>
                <w:bCs/>
                <w:color w:val="auto"/>
                <w:sz w:val="24"/>
              </w:rPr>
              <w:t>现有项目污染物实际排放量依据</w:t>
            </w:r>
            <w:r>
              <w:rPr>
                <w:color w:val="auto"/>
                <w:sz w:val="24"/>
              </w:rPr>
              <w:t>监测报告统计，检测时间：2022年3月</w:t>
            </w:r>
            <w:r>
              <w:rPr>
                <w:rFonts w:hint="eastAsia"/>
                <w:color w:val="auto"/>
                <w:sz w:val="24"/>
              </w:rPr>
              <w:t>1日</w:t>
            </w:r>
            <w:r>
              <w:rPr>
                <w:color w:val="auto"/>
                <w:sz w:val="24"/>
              </w:rPr>
              <w:t>，检测单位：江苏雁蓝检测科技有限公司对公司，监测报告编号：(2022)环检（综）字第（W0174），</w:t>
            </w:r>
            <w:r>
              <w:rPr>
                <w:bCs/>
                <w:color w:val="auto"/>
                <w:sz w:val="24"/>
              </w:rPr>
              <w:t>现有项目污染物实际排放量详见表2-1</w:t>
            </w:r>
            <w:r>
              <w:rPr>
                <w:rFonts w:hint="eastAsia"/>
                <w:bCs/>
                <w:color w:val="auto"/>
                <w:sz w:val="24"/>
              </w:rPr>
              <w:t>7</w:t>
            </w:r>
            <w:r>
              <w:rPr>
                <w:bCs/>
                <w:color w:val="auto"/>
                <w:sz w:val="24"/>
              </w:rPr>
              <w:t>。</w:t>
            </w:r>
          </w:p>
          <w:p>
            <w:pPr>
              <w:keepNext/>
              <w:spacing w:line="360" w:lineRule="auto"/>
              <w:jc w:val="center"/>
              <w:rPr>
                <w:b/>
                <w:bCs/>
                <w:color w:val="auto"/>
                <w:sz w:val="24"/>
              </w:rPr>
            </w:pPr>
            <w:r>
              <w:rPr>
                <w:b/>
                <w:color w:val="auto"/>
                <w:sz w:val="24"/>
              </w:rPr>
              <w:t>表2-1</w:t>
            </w:r>
            <w:r>
              <w:rPr>
                <w:rFonts w:hint="eastAsia"/>
                <w:b/>
                <w:color w:val="auto"/>
                <w:sz w:val="24"/>
              </w:rPr>
              <w:t>7</w:t>
            </w:r>
            <w:r>
              <w:rPr>
                <w:b/>
                <w:color w:val="auto"/>
                <w:sz w:val="24"/>
              </w:rPr>
              <w:t xml:space="preserve">  现有项目污染物排放量汇总</w:t>
            </w:r>
            <w:r>
              <w:rPr>
                <w:b/>
                <w:color w:val="auto"/>
                <w:sz w:val="24"/>
              </w:rPr>
              <w:tab/>
            </w:r>
            <w:r>
              <w:rPr>
                <w:b/>
                <w:bCs/>
                <w:color w:val="auto"/>
                <w:sz w:val="24"/>
              </w:rPr>
              <w:t>单位：t/a</w:t>
            </w:r>
          </w:p>
          <w:tbl>
            <w:tblPr>
              <w:tblStyle w:val="34"/>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92"/>
              <w:gridCol w:w="2545"/>
              <w:gridCol w:w="2835"/>
              <w:gridCol w:w="16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9" w:hRule="atLeast"/>
                <w:jc w:val="center"/>
              </w:trPr>
              <w:tc>
                <w:tcPr>
                  <w:tcW w:w="920" w:type="pct"/>
                  <w:vAlign w:val="center"/>
                </w:tcPr>
                <w:p>
                  <w:pPr>
                    <w:spacing w:line="20" w:lineRule="atLeast"/>
                    <w:jc w:val="center"/>
                    <w:rPr>
                      <w:color w:val="auto"/>
                    </w:rPr>
                  </w:pPr>
                  <w:r>
                    <w:rPr>
                      <w:color w:val="auto"/>
                    </w:rPr>
                    <w:t>类别</w:t>
                  </w:r>
                </w:p>
              </w:tc>
              <w:tc>
                <w:tcPr>
                  <w:tcW w:w="1470" w:type="pct"/>
                  <w:vAlign w:val="center"/>
                </w:tcPr>
                <w:p>
                  <w:pPr>
                    <w:spacing w:line="20" w:lineRule="atLeast"/>
                    <w:jc w:val="center"/>
                    <w:rPr>
                      <w:color w:val="auto"/>
                    </w:rPr>
                  </w:pPr>
                  <w:r>
                    <w:rPr>
                      <w:color w:val="auto"/>
                    </w:rPr>
                    <w:t>污染物名称</w:t>
                  </w:r>
                </w:p>
              </w:tc>
              <w:tc>
                <w:tcPr>
                  <w:tcW w:w="1638" w:type="pct"/>
                  <w:vAlign w:val="center"/>
                </w:tcPr>
                <w:p>
                  <w:pPr>
                    <w:spacing w:line="20" w:lineRule="atLeast"/>
                    <w:jc w:val="center"/>
                    <w:rPr>
                      <w:color w:val="auto"/>
                    </w:rPr>
                  </w:pPr>
                  <w:r>
                    <w:rPr>
                      <w:color w:val="auto"/>
                    </w:rPr>
                    <w:t>2016年</w:t>
                  </w:r>
                  <w:r>
                    <w:rPr>
                      <w:color w:val="auto"/>
                      <w:szCs w:val="21"/>
                    </w:rPr>
                    <w:t>20英寸光电倍增管生产线项目</w:t>
                  </w:r>
                  <w:r>
                    <w:rPr>
                      <w:color w:val="auto"/>
                    </w:rPr>
                    <w:t>批复总量</w:t>
                  </w:r>
                  <w:r>
                    <w:rPr>
                      <w:rStyle w:val="43"/>
                      <w:color w:val="auto"/>
                      <w:kern w:val="0"/>
                      <w:szCs w:val="20"/>
                      <w:vertAlign w:val="superscript"/>
                    </w:rPr>
                    <w:fldChar w:fldCharType="begin"/>
                  </w:r>
                  <w:r>
                    <w:rPr>
                      <w:rStyle w:val="43"/>
                      <w:color w:val="auto"/>
                      <w:kern w:val="0"/>
                      <w:szCs w:val="20"/>
                      <w:vertAlign w:val="superscript"/>
                    </w:rPr>
                    <w:instrText xml:space="preserve"> = 2 \* GB3 \* MERGEFORMAT </w:instrText>
                  </w:r>
                  <w:r>
                    <w:rPr>
                      <w:rStyle w:val="43"/>
                      <w:color w:val="auto"/>
                      <w:kern w:val="0"/>
                      <w:szCs w:val="20"/>
                      <w:vertAlign w:val="superscript"/>
                    </w:rPr>
                    <w:fldChar w:fldCharType="separate"/>
                  </w:r>
                  <w:r>
                    <w:rPr>
                      <w:color w:val="auto"/>
                      <w:vertAlign w:val="superscript"/>
                    </w:rPr>
                    <w:t>②</w:t>
                  </w:r>
                  <w:r>
                    <w:rPr>
                      <w:rStyle w:val="43"/>
                      <w:color w:val="auto"/>
                      <w:kern w:val="0"/>
                      <w:szCs w:val="20"/>
                      <w:vertAlign w:val="superscript"/>
                    </w:rPr>
                    <w:fldChar w:fldCharType="end"/>
                  </w:r>
                </w:p>
              </w:tc>
              <w:tc>
                <w:tcPr>
                  <w:tcW w:w="970" w:type="pct"/>
                  <w:vAlign w:val="center"/>
                </w:tcPr>
                <w:p>
                  <w:pPr>
                    <w:spacing w:line="20" w:lineRule="atLeast"/>
                    <w:jc w:val="center"/>
                    <w:rPr>
                      <w:color w:val="auto"/>
                    </w:rPr>
                  </w:pPr>
                  <w:r>
                    <w:rPr>
                      <w:color w:val="auto"/>
                    </w:rPr>
                    <w:t>现有项目实际排放量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20" w:type="pct"/>
                  <w:vMerge w:val="restart"/>
                  <w:vAlign w:val="center"/>
                </w:tcPr>
                <w:p>
                  <w:pPr>
                    <w:spacing w:line="20" w:lineRule="atLeast"/>
                    <w:jc w:val="center"/>
                    <w:rPr>
                      <w:color w:val="auto"/>
                    </w:rPr>
                  </w:pPr>
                  <w:r>
                    <w:rPr>
                      <w:color w:val="auto"/>
                    </w:rPr>
                    <w:t>有组织废气</w:t>
                  </w:r>
                </w:p>
              </w:tc>
              <w:tc>
                <w:tcPr>
                  <w:tcW w:w="1470" w:type="pct"/>
                  <w:vAlign w:val="center"/>
                </w:tcPr>
                <w:p>
                  <w:pPr>
                    <w:spacing w:line="20" w:lineRule="atLeast"/>
                    <w:jc w:val="center"/>
                    <w:rPr>
                      <w:color w:val="auto"/>
                    </w:rPr>
                  </w:pPr>
                  <w:r>
                    <w:rPr>
                      <w:color w:val="auto"/>
                    </w:rPr>
                    <w:t>氯化氢</w:t>
                  </w:r>
                </w:p>
              </w:tc>
              <w:tc>
                <w:tcPr>
                  <w:tcW w:w="1638" w:type="pct"/>
                  <w:vAlign w:val="center"/>
                </w:tcPr>
                <w:p>
                  <w:pPr>
                    <w:pStyle w:val="124"/>
                    <w:spacing w:line="20" w:lineRule="atLeast"/>
                    <w:rPr>
                      <w:color w:val="auto"/>
                    </w:rPr>
                  </w:pPr>
                  <w:r>
                    <w:rPr>
                      <w:color w:val="auto"/>
                    </w:rPr>
                    <w:t>0.0268</w:t>
                  </w:r>
                </w:p>
              </w:tc>
              <w:tc>
                <w:tcPr>
                  <w:tcW w:w="970" w:type="pct"/>
                  <w:vAlign w:val="center"/>
                </w:tcPr>
                <w:p>
                  <w:pPr>
                    <w:pStyle w:val="124"/>
                    <w:spacing w:line="20" w:lineRule="atLeast"/>
                    <w:rPr>
                      <w:color w:val="auto"/>
                    </w:rPr>
                  </w:pPr>
                  <w:r>
                    <w:rPr>
                      <w:color w:val="auto"/>
                    </w:rPr>
                    <w:t>0.006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920" w:type="pct"/>
                  <w:vMerge w:val="continue"/>
                  <w:vAlign w:val="center"/>
                </w:tcPr>
                <w:p>
                  <w:pPr>
                    <w:spacing w:line="20" w:lineRule="atLeast"/>
                    <w:jc w:val="center"/>
                    <w:rPr>
                      <w:color w:val="auto"/>
                    </w:rPr>
                  </w:pPr>
                </w:p>
              </w:tc>
              <w:tc>
                <w:tcPr>
                  <w:tcW w:w="1470" w:type="pct"/>
                  <w:vAlign w:val="center"/>
                </w:tcPr>
                <w:p>
                  <w:pPr>
                    <w:spacing w:line="20" w:lineRule="atLeast"/>
                    <w:jc w:val="center"/>
                    <w:rPr>
                      <w:color w:val="auto"/>
                    </w:rPr>
                  </w:pPr>
                  <w:r>
                    <w:rPr>
                      <w:color w:val="auto"/>
                    </w:rPr>
                    <w:t>非甲烷总烃</w:t>
                  </w:r>
                  <w:r>
                    <w:rPr>
                      <w:color w:val="auto"/>
                      <w:vertAlign w:val="superscript"/>
                    </w:rPr>
                    <w:fldChar w:fldCharType="begin"/>
                  </w:r>
                  <w:r>
                    <w:rPr>
                      <w:color w:val="auto"/>
                      <w:vertAlign w:val="superscript"/>
                    </w:rPr>
                    <w:instrText xml:space="preserve"> = 1 \* GB3 \* MERGEFORMAT </w:instrText>
                  </w:r>
                  <w:r>
                    <w:rPr>
                      <w:color w:val="auto"/>
                      <w:vertAlign w:val="superscript"/>
                    </w:rPr>
                    <w:fldChar w:fldCharType="separate"/>
                  </w:r>
                  <w:r>
                    <w:rPr>
                      <w:color w:val="auto"/>
                      <w:vertAlign w:val="superscript"/>
                    </w:rPr>
                    <w:t>①</w:t>
                  </w:r>
                  <w:r>
                    <w:rPr>
                      <w:color w:val="auto"/>
                      <w:vertAlign w:val="superscript"/>
                    </w:rPr>
                    <w:fldChar w:fldCharType="end"/>
                  </w:r>
                </w:p>
              </w:tc>
              <w:tc>
                <w:tcPr>
                  <w:tcW w:w="1638" w:type="pct"/>
                  <w:vAlign w:val="center"/>
                </w:tcPr>
                <w:p>
                  <w:pPr>
                    <w:pStyle w:val="124"/>
                    <w:spacing w:line="20" w:lineRule="atLeast"/>
                    <w:rPr>
                      <w:color w:val="auto"/>
                    </w:rPr>
                  </w:pPr>
                  <w:r>
                    <w:rPr>
                      <w:color w:val="auto"/>
                    </w:rPr>
                    <w:t>/</w:t>
                  </w:r>
                </w:p>
              </w:tc>
              <w:tc>
                <w:tcPr>
                  <w:tcW w:w="970" w:type="pct"/>
                  <w:vAlign w:val="center"/>
                </w:tcPr>
                <w:p>
                  <w:pPr>
                    <w:pStyle w:val="124"/>
                    <w:spacing w:line="20" w:lineRule="atLeast"/>
                    <w:rPr>
                      <w:color w:val="auto"/>
                    </w:rPr>
                  </w:pPr>
                  <w:r>
                    <w:rPr>
                      <w:color w:val="auto"/>
                    </w:rPr>
                    <w:t>0.053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20" w:type="pct"/>
                  <w:vMerge w:val="restart"/>
                  <w:vAlign w:val="center"/>
                </w:tcPr>
                <w:p>
                  <w:pPr>
                    <w:spacing w:line="20" w:lineRule="atLeast"/>
                    <w:jc w:val="center"/>
                    <w:rPr>
                      <w:color w:val="auto"/>
                    </w:rPr>
                  </w:pPr>
                  <w:r>
                    <w:rPr>
                      <w:color w:val="auto"/>
                    </w:rPr>
                    <w:t>废水（</w:t>
                  </w:r>
                  <w:r>
                    <w:rPr>
                      <w:color w:val="auto"/>
                      <w:szCs w:val="21"/>
                    </w:rPr>
                    <w:t>江宁经济技术</w:t>
                  </w:r>
                  <w:r>
                    <w:rPr>
                      <w:color w:val="auto"/>
                    </w:rPr>
                    <w:t>开发区污水处理厂）</w:t>
                  </w:r>
                </w:p>
                <w:p>
                  <w:pPr>
                    <w:spacing w:line="20" w:lineRule="atLeast"/>
                    <w:jc w:val="center"/>
                    <w:rPr>
                      <w:color w:val="auto"/>
                    </w:rPr>
                  </w:pPr>
                </w:p>
              </w:tc>
              <w:tc>
                <w:tcPr>
                  <w:tcW w:w="1470" w:type="pct"/>
                  <w:vAlign w:val="center"/>
                </w:tcPr>
                <w:p>
                  <w:pPr>
                    <w:spacing w:line="20" w:lineRule="atLeast"/>
                    <w:jc w:val="center"/>
                    <w:rPr>
                      <w:color w:val="auto"/>
                    </w:rPr>
                  </w:pPr>
                  <w:r>
                    <w:rPr>
                      <w:color w:val="auto"/>
                    </w:rPr>
                    <w:t>废水量</w:t>
                  </w:r>
                </w:p>
              </w:tc>
              <w:tc>
                <w:tcPr>
                  <w:tcW w:w="1638" w:type="pct"/>
                  <w:vAlign w:val="center"/>
                </w:tcPr>
                <w:p>
                  <w:pPr>
                    <w:spacing w:line="20" w:lineRule="atLeast"/>
                    <w:jc w:val="center"/>
                    <w:rPr>
                      <w:color w:val="auto"/>
                    </w:rPr>
                  </w:pPr>
                  <w:r>
                    <w:rPr>
                      <w:color w:val="auto"/>
                    </w:rPr>
                    <w:t>1356.26</w:t>
                  </w:r>
                </w:p>
              </w:tc>
              <w:tc>
                <w:tcPr>
                  <w:tcW w:w="970" w:type="pct"/>
                  <w:vAlign w:val="center"/>
                </w:tcPr>
                <w:p>
                  <w:pPr>
                    <w:spacing w:line="288" w:lineRule="auto"/>
                    <w:jc w:val="center"/>
                    <w:rPr>
                      <w:snapToGrid w:val="0"/>
                      <w:color w:val="auto"/>
                      <w:kern w:val="0"/>
                    </w:rPr>
                  </w:pPr>
                  <w:r>
                    <w:rPr>
                      <w:snapToGrid w:val="0"/>
                      <w:color w:val="auto"/>
                      <w:kern w:val="0"/>
                    </w:rPr>
                    <w:t>99547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20" w:type="pct"/>
                  <w:vMerge w:val="continue"/>
                  <w:vAlign w:val="center"/>
                </w:tcPr>
                <w:p>
                  <w:pPr>
                    <w:spacing w:line="20" w:lineRule="atLeast"/>
                    <w:jc w:val="center"/>
                    <w:rPr>
                      <w:color w:val="auto"/>
                    </w:rPr>
                  </w:pPr>
                </w:p>
              </w:tc>
              <w:tc>
                <w:tcPr>
                  <w:tcW w:w="1470" w:type="pct"/>
                  <w:vAlign w:val="center"/>
                </w:tcPr>
                <w:p>
                  <w:pPr>
                    <w:spacing w:line="20" w:lineRule="atLeast"/>
                    <w:jc w:val="center"/>
                    <w:rPr>
                      <w:color w:val="auto"/>
                    </w:rPr>
                  </w:pPr>
                  <w:r>
                    <w:rPr>
                      <w:color w:val="auto"/>
                    </w:rPr>
                    <w:t>COD</w:t>
                  </w:r>
                </w:p>
              </w:tc>
              <w:tc>
                <w:tcPr>
                  <w:tcW w:w="1638" w:type="pct"/>
                  <w:vAlign w:val="center"/>
                </w:tcPr>
                <w:p>
                  <w:pPr>
                    <w:spacing w:line="20" w:lineRule="atLeast"/>
                    <w:jc w:val="center"/>
                    <w:rPr>
                      <w:color w:val="auto"/>
                    </w:rPr>
                  </w:pPr>
                  <w:r>
                    <w:rPr>
                      <w:color w:val="auto"/>
                    </w:rPr>
                    <w:t>0.06</w:t>
                  </w:r>
                </w:p>
              </w:tc>
              <w:tc>
                <w:tcPr>
                  <w:tcW w:w="970" w:type="pct"/>
                  <w:vAlign w:val="center"/>
                </w:tcPr>
                <w:p>
                  <w:pPr>
                    <w:pStyle w:val="123"/>
                    <w:spacing w:line="20" w:lineRule="atLeast"/>
                    <w:rPr>
                      <w:color w:val="auto"/>
                      <w:szCs w:val="24"/>
                    </w:rPr>
                  </w:pPr>
                  <w:r>
                    <w:rPr>
                      <w:color w:val="auto"/>
                      <w:szCs w:val="24"/>
                    </w:rPr>
                    <w:t>25.982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20" w:type="pct"/>
                  <w:vMerge w:val="continue"/>
                  <w:vAlign w:val="center"/>
                </w:tcPr>
                <w:p>
                  <w:pPr>
                    <w:spacing w:line="20" w:lineRule="atLeast"/>
                    <w:jc w:val="center"/>
                    <w:rPr>
                      <w:color w:val="auto"/>
                    </w:rPr>
                  </w:pPr>
                </w:p>
              </w:tc>
              <w:tc>
                <w:tcPr>
                  <w:tcW w:w="1470" w:type="pct"/>
                  <w:vAlign w:val="center"/>
                </w:tcPr>
                <w:p>
                  <w:pPr>
                    <w:spacing w:line="20" w:lineRule="atLeast"/>
                    <w:jc w:val="center"/>
                    <w:rPr>
                      <w:color w:val="auto"/>
                    </w:rPr>
                  </w:pPr>
                  <w:r>
                    <w:rPr>
                      <w:color w:val="auto"/>
                    </w:rPr>
                    <w:t>SS</w:t>
                  </w:r>
                </w:p>
              </w:tc>
              <w:tc>
                <w:tcPr>
                  <w:tcW w:w="1638" w:type="pct"/>
                  <w:vAlign w:val="center"/>
                </w:tcPr>
                <w:p>
                  <w:pPr>
                    <w:spacing w:line="20" w:lineRule="atLeast"/>
                    <w:jc w:val="center"/>
                    <w:rPr>
                      <w:color w:val="auto"/>
                    </w:rPr>
                  </w:pPr>
                  <w:r>
                    <w:rPr>
                      <w:color w:val="auto"/>
                    </w:rPr>
                    <w:t>0.013</w:t>
                  </w:r>
                </w:p>
              </w:tc>
              <w:tc>
                <w:tcPr>
                  <w:tcW w:w="970" w:type="pct"/>
                  <w:vAlign w:val="center"/>
                </w:tcPr>
                <w:p>
                  <w:pPr>
                    <w:widowControl/>
                    <w:jc w:val="center"/>
                    <w:textAlignment w:val="center"/>
                    <w:rPr>
                      <w:snapToGrid w:val="0"/>
                      <w:color w:val="auto"/>
                      <w:kern w:val="0"/>
                    </w:rPr>
                  </w:pPr>
                  <w:r>
                    <w:rPr>
                      <w:snapToGrid w:val="0"/>
                      <w:color w:val="auto"/>
                      <w:kern w:val="0"/>
                    </w:rPr>
                    <w:t>1.294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20" w:type="pct"/>
                  <w:vMerge w:val="continue"/>
                  <w:vAlign w:val="center"/>
                </w:tcPr>
                <w:p>
                  <w:pPr>
                    <w:spacing w:line="20" w:lineRule="atLeast"/>
                    <w:jc w:val="center"/>
                    <w:rPr>
                      <w:color w:val="auto"/>
                    </w:rPr>
                  </w:pPr>
                </w:p>
              </w:tc>
              <w:tc>
                <w:tcPr>
                  <w:tcW w:w="1470" w:type="pct"/>
                  <w:vAlign w:val="center"/>
                </w:tcPr>
                <w:p>
                  <w:pPr>
                    <w:spacing w:line="20" w:lineRule="atLeast"/>
                    <w:jc w:val="center"/>
                    <w:rPr>
                      <w:color w:val="auto"/>
                    </w:rPr>
                  </w:pPr>
                  <w:r>
                    <w:rPr>
                      <w:color w:val="auto"/>
                    </w:rPr>
                    <w:t>氨氮</w:t>
                  </w:r>
                </w:p>
              </w:tc>
              <w:tc>
                <w:tcPr>
                  <w:tcW w:w="1638" w:type="pct"/>
                  <w:vAlign w:val="center"/>
                </w:tcPr>
                <w:p>
                  <w:pPr>
                    <w:spacing w:line="20" w:lineRule="atLeast"/>
                    <w:jc w:val="center"/>
                    <w:rPr>
                      <w:color w:val="auto"/>
                    </w:rPr>
                  </w:pPr>
                  <w:r>
                    <w:rPr>
                      <w:rFonts w:hint="eastAsia"/>
                      <w:color w:val="auto"/>
                    </w:rPr>
                    <w:t>--</w:t>
                  </w:r>
                </w:p>
              </w:tc>
              <w:tc>
                <w:tcPr>
                  <w:tcW w:w="970" w:type="pct"/>
                  <w:vAlign w:val="center"/>
                </w:tcPr>
                <w:p>
                  <w:pPr>
                    <w:pStyle w:val="123"/>
                    <w:spacing w:line="20" w:lineRule="atLeast"/>
                    <w:rPr>
                      <w:color w:val="auto"/>
                      <w:szCs w:val="24"/>
                    </w:rPr>
                  </w:pPr>
                  <w:r>
                    <w:rPr>
                      <w:color w:val="auto"/>
                      <w:szCs w:val="24"/>
                    </w:rPr>
                    <w:t>0.454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20" w:type="pct"/>
                  <w:vMerge w:val="continue"/>
                  <w:vAlign w:val="center"/>
                </w:tcPr>
                <w:p>
                  <w:pPr>
                    <w:spacing w:line="20" w:lineRule="atLeast"/>
                    <w:jc w:val="center"/>
                    <w:rPr>
                      <w:color w:val="auto"/>
                    </w:rPr>
                  </w:pPr>
                </w:p>
              </w:tc>
              <w:tc>
                <w:tcPr>
                  <w:tcW w:w="1470" w:type="pct"/>
                  <w:vAlign w:val="center"/>
                </w:tcPr>
                <w:p>
                  <w:pPr>
                    <w:spacing w:line="20" w:lineRule="atLeast"/>
                    <w:jc w:val="center"/>
                    <w:rPr>
                      <w:color w:val="auto"/>
                    </w:rPr>
                  </w:pPr>
                  <w:r>
                    <w:rPr>
                      <w:color w:val="auto"/>
                    </w:rPr>
                    <w:t>总磷</w:t>
                  </w:r>
                </w:p>
              </w:tc>
              <w:tc>
                <w:tcPr>
                  <w:tcW w:w="1638" w:type="pct"/>
                  <w:vAlign w:val="center"/>
                </w:tcPr>
                <w:p>
                  <w:pPr>
                    <w:spacing w:line="20" w:lineRule="atLeast"/>
                    <w:jc w:val="center"/>
                    <w:rPr>
                      <w:color w:val="auto"/>
                    </w:rPr>
                  </w:pPr>
                  <w:r>
                    <w:rPr>
                      <w:rFonts w:hint="eastAsia"/>
                      <w:color w:val="auto"/>
                    </w:rPr>
                    <w:t>--</w:t>
                  </w:r>
                </w:p>
              </w:tc>
              <w:tc>
                <w:tcPr>
                  <w:tcW w:w="970" w:type="pct"/>
                  <w:vAlign w:val="center"/>
                </w:tcPr>
                <w:p>
                  <w:pPr>
                    <w:pStyle w:val="123"/>
                    <w:spacing w:line="20" w:lineRule="atLeast"/>
                    <w:rPr>
                      <w:color w:val="auto"/>
                      <w:szCs w:val="24"/>
                    </w:rPr>
                  </w:pPr>
                  <w:r>
                    <w:rPr>
                      <w:color w:val="auto"/>
                      <w:szCs w:val="24"/>
                    </w:rPr>
                    <w:t>0.113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20" w:type="pct"/>
                  <w:vMerge w:val="restart"/>
                  <w:vAlign w:val="center"/>
                </w:tcPr>
                <w:p>
                  <w:pPr>
                    <w:spacing w:line="20" w:lineRule="atLeast"/>
                    <w:jc w:val="center"/>
                    <w:rPr>
                      <w:color w:val="auto"/>
                    </w:rPr>
                  </w:pPr>
                  <w:r>
                    <w:rPr>
                      <w:color w:val="auto"/>
                    </w:rPr>
                    <w:t>固废</w:t>
                  </w:r>
                </w:p>
              </w:tc>
              <w:tc>
                <w:tcPr>
                  <w:tcW w:w="1470" w:type="pct"/>
                  <w:vAlign w:val="center"/>
                </w:tcPr>
                <w:p>
                  <w:pPr>
                    <w:spacing w:line="20" w:lineRule="atLeast"/>
                    <w:jc w:val="center"/>
                    <w:rPr>
                      <w:color w:val="auto"/>
                    </w:rPr>
                  </w:pPr>
                  <w:r>
                    <w:rPr>
                      <w:color w:val="auto"/>
                    </w:rPr>
                    <w:t>危险废物</w:t>
                  </w:r>
                </w:p>
              </w:tc>
              <w:tc>
                <w:tcPr>
                  <w:tcW w:w="1638" w:type="pct"/>
                  <w:vAlign w:val="center"/>
                </w:tcPr>
                <w:p>
                  <w:pPr>
                    <w:spacing w:line="20" w:lineRule="atLeast"/>
                    <w:jc w:val="center"/>
                    <w:rPr>
                      <w:color w:val="auto"/>
                    </w:rPr>
                  </w:pPr>
                  <w:r>
                    <w:rPr>
                      <w:rFonts w:hint="eastAsia"/>
                      <w:color w:val="auto"/>
                    </w:rPr>
                    <w:t>--</w:t>
                  </w:r>
                </w:p>
              </w:tc>
              <w:tc>
                <w:tcPr>
                  <w:tcW w:w="970" w:type="pct"/>
                  <w:vAlign w:val="center"/>
                </w:tcPr>
                <w:p>
                  <w:pPr>
                    <w:spacing w:line="20" w:lineRule="atLeast"/>
                    <w:jc w:val="center"/>
                    <w:rPr>
                      <w:snapToGrid w:val="0"/>
                      <w:color w:val="auto"/>
                      <w:kern w:val="0"/>
                    </w:rPr>
                  </w:pPr>
                  <w:r>
                    <w:rPr>
                      <w:rFonts w:hint="eastAsia"/>
                      <w:snapToGrid w:val="0"/>
                      <w:color w:val="auto"/>
                      <w:kern w:val="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20" w:type="pct"/>
                  <w:vMerge w:val="continue"/>
                  <w:vAlign w:val="center"/>
                </w:tcPr>
                <w:p>
                  <w:pPr>
                    <w:spacing w:line="20" w:lineRule="atLeast"/>
                    <w:jc w:val="center"/>
                  </w:pPr>
                </w:p>
              </w:tc>
              <w:tc>
                <w:tcPr>
                  <w:tcW w:w="1470" w:type="pct"/>
                  <w:vAlign w:val="center"/>
                </w:tcPr>
                <w:p>
                  <w:pPr>
                    <w:spacing w:line="20" w:lineRule="atLeast"/>
                    <w:jc w:val="center"/>
                  </w:pPr>
                  <w:r>
                    <w:t>一般工业固体废物</w:t>
                  </w:r>
                </w:p>
              </w:tc>
              <w:tc>
                <w:tcPr>
                  <w:tcW w:w="1638" w:type="pct"/>
                  <w:vAlign w:val="center"/>
                </w:tcPr>
                <w:p>
                  <w:pPr>
                    <w:spacing w:line="20" w:lineRule="atLeast"/>
                    <w:jc w:val="center"/>
                  </w:pPr>
                  <w:r>
                    <w:rPr>
                      <w:rFonts w:hint="eastAsia"/>
                    </w:rPr>
                    <w:t>--</w:t>
                  </w:r>
                </w:p>
              </w:tc>
              <w:tc>
                <w:tcPr>
                  <w:tcW w:w="970" w:type="pct"/>
                  <w:vAlign w:val="center"/>
                </w:tcPr>
                <w:p>
                  <w:pPr>
                    <w:spacing w:line="20" w:lineRule="atLeast"/>
                    <w:jc w:val="center"/>
                    <w:rPr>
                      <w:snapToGrid w:val="0"/>
                      <w:kern w:val="0"/>
                    </w:rPr>
                  </w:pPr>
                  <w:r>
                    <w:rPr>
                      <w:rFonts w:hint="eastAsia"/>
                      <w:snapToGrid w:val="0"/>
                      <w:kern w:val="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920" w:type="pct"/>
                  <w:vMerge w:val="continue"/>
                  <w:vAlign w:val="center"/>
                </w:tcPr>
                <w:p>
                  <w:pPr>
                    <w:spacing w:line="20" w:lineRule="atLeast"/>
                    <w:jc w:val="center"/>
                  </w:pPr>
                </w:p>
              </w:tc>
              <w:tc>
                <w:tcPr>
                  <w:tcW w:w="1470" w:type="pct"/>
                  <w:vAlign w:val="center"/>
                </w:tcPr>
                <w:p>
                  <w:pPr>
                    <w:spacing w:line="20" w:lineRule="atLeast"/>
                    <w:jc w:val="center"/>
                  </w:pPr>
                  <w:r>
                    <w:t>生活垃圾</w:t>
                  </w:r>
                </w:p>
              </w:tc>
              <w:tc>
                <w:tcPr>
                  <w:tcW w:w="1638" w:type="pct"/>
                  <w:vAlign w:val="center"/>
                </w:tcPr>
                <w:p>
                  <w:pPr>
                    <w:spacing w:line="20" w:lineRule="atLeast"/>
                    <w:jc w:val="center"/>
                  </w:pPr>
                  <w:r>
                    <w:rPr>
                      <w:rFonts w:hint="eastAsia"/>
                    </w:rPr>
                    <w:t>--</w:t>
                  </w:r>
                </w:p>
              </w:tc>
              <w:tc>
                <w:tcPr>
                  <w:tcW w:w="970" w:type="pct"/>
                  <w:vAlign w:val="center"/>
                </w:tcPr>
                <w:p>
                  <w:pPr>
                    <w:spacing w:line="20" w:lineRule="atLeast"/>
                    <w:jc w:val="center"/>
                    <w:rPr>
                      <w:snapToGrid w:val="0"/>
                      <w:kern w:val="0"/>
                    </w:rPr>
                  </w:pPr>
                  <w:r>
                    <w:rPr>
                      <w:rFonts w:hint="eastAsia"/>
                      <w:snapToGrid w:val="0"/>
                      <w:kern w:val="0"/>
                    </w:rPr>
                    <w:t>0</w:t>
                  </w:r>
                </w:p>
              </w:tc>
            </w:tr>
          </w:tbl>
          <w:p>
            <w:pPr>
              <w:snapToGrid w:val="0"/>
              <w:rPr>
                <w:szCs w:val="21"/>
              </w:rPr>
            </w:pPr>
            <w:r>
              <w:fldChar w:fldCharType="begin"/>
            </w:r>
            <w:r>
              <w:instrText xml:space="preserve"> = 1 \* GB3 \* MERGEFORMAT </w:instrText>
            </w:r>
            <w:r>
              <w:fldChar w:fldCharType="separate"/>
            </w:r>
            <w:r>
              <w:t>①</w:t>
            </w:r>
            <w:r>
              <w:fldChar w:fldCharType="end"/>
            </w:r>
            <w:r>
              <w:rPr>
                <w:szCs w:val="21"/>
              </w:rPr>
              <w:t>1#厂房、8#厂房丙酮、非甲烷总烃、有机废气总和。</w:t>
            </w:r>
          </w:p>
          <w:p>
            <w:pPr>
              <w:snapToGrid w:val="0"/>
              <w:rPr>
                <w:szCs w:val="21"/>
              </w:rPr>
            </w:pPr>
            <w:r>
              <w:rPr>
                <w:rStyle w:val="43"/>
                <w:kern w:val="0"/>
                <w:szCs w:val="20"/>
              </w:rPr>
              <w:fldChar w:fldCharType="begin"/>
            </w:r>
            <w:r>
              <w:rPr>
                <w:rStyle w:val="43"/>
                <w:kern w:val="0"/>
                <w:szCs w:val="20"/>
              </w:rPr>
              <w:instrText xml:space="preserve"> = 2 \* GB3 \* MERGEFORMAT </w:instrText>
            </w:r>
            <w:r>
              <w:rPr>
                <w:rStyle w:val="43"/>
                <w:kern w:val="0"/>
                <w:szCs w:val="20"/>
              </w:rPr>
              <w:fldChar w:fldCharType="separate"/>
            </w:r>
            <w:r>
              <w:t>②</w:t>
            </w:r>
            <w:r>
              <w:rPr>
                <w:rStyle w:val="43"/>
                <w:kern w:val="0"/>
                <w:szCs w:val="20"/>
              </w:rPr>
              <w:fldChar w:fldCharType="end"/>
            </w:r>
            <w:r>
              <w:rPr>
                <w:rStyle w:val="43"/>
                <w:rFonts w:hint="eastAsia"/>
                <w:kern w:val="0"/>
                <w:szCs w:val="20"/>
              </w:rPr>
              <w:t>2003年“</w:t>
            </w:r>
            <w:r>
              <w:rPr>
                <w:szCs w:val="21"/>
              </w:rPr>
              <w:t>微通道板生产线技术改造项目</w:t>
            </w:r>
            <w:r>
              <w:rPr>
                <w:rFonts w:hint="eastAsia"/>
                <w:szCs w:val="21"/>
              </w:rPr>
              <w:t>”、2004年“</w:t>
            </w:r>
            <w:r>
              <w:rPr>
                <w:szCs w:val="21"/>
              </w:rPr>
              <w:t>微光夜视元件科研基础建设</w:t>
            </w:r>
            <w:r>
              <w:rPr>
                <w:rFonts w:hint="eastAsia"/>
                <w:szCs w:val="21"/>
              </w:rPr>
              <w:t>项目”批复较早，没批复总量，通过监测现有项目达标排放，排污许可证正在申领中。</w:t>
            </w:r>
          </w:p>
          <w:p>
            <w:pPr>
              <w:pStyle w:val="2"/>
            </w:pPr>
          </w:p>
          <w:p>
            <w:pPr>
              <w:pStyle w:val="2"/>
              <w:rPr>
                <w:szCs w:val="21"/>
              </w:rPr>
            </w:pPr>
          </w:p>
          <w:p>
            <w:pPr>
              <w:pStyle w:val="3"/>
              <w:rPr>
                <w:szCs w:val="21"/>
              </w:rPr>
            </w:pPr>
          </w:p>
          <w:p>
            <w:pPr>
              <w:rPr>
                <w:szCs w:val="21"/>
              </w:rPr>
            </w:pPr>
          </w:p>
          <w:p>
            <w:pPr>
              <w:pStyle w:val="2"/>
              <w:rPr>
                <w:szCs w:val="21"/>
              </w:rPr>
            </w:pPr>
          </w:p>
          <w:p>
            <w:pPr>
              <w:pStyle w:val="3"/>
              <w:rPr>
                <w:szCs w:val="21"/>
              </w:rPr>
            </w:pPr>
          </w:p>
          <w:p>
            <w:pPr>
              <w:rPr>
                <w:szCs w:val="21"/>
              </w:rPr>
            </w:pPr>
          </w:p>
          <w:p>
            <w:pPr>
              <w:pStyle w:val="2"/>
              <w:rPr>
                <w:szCs w:val="21"/>
              </w:rPr>
            </w:pPr>
          </w:p>
          <w:p>
            <w:pPr>
              <w:pStyle w:val="3"/>
              <w:rPr>
                <w:szCs w:val="21"/>
              </w:rPr>
            </w:pPr>
          </w:p>
          <w:p>
            <w:pPr>
              <w:rPr>
                <w:szCs w:val="21"/>
              </w:rPr>
            </w:pPr>
          </w:p>
          <w:p>
            <w:pPr>
              <w:pStyle w:val="2"/>
              <w:rPr>
                <w:szCs w:val="21"/>
              </w:rPr>
            </w:pPr>
          </w:p>
          <w:p>
            <w:pPr>
              <w:pStyle w:val="3"/>
              <w:rPr>
                <w:szCs w:val="21"/>
              </w:rPr>
            </w:pPr>
          </w:p>
          <w:p>
            <w:pPr>
              <w:rPr>
                <w:szCs w:val="21"/>
              </w:rPr>
            </w:pPr>
          </w:p>
          <w:p>
            <w:pPr>
              <w:pStyle w:val="2"/>
              <w:rPr>
                <w:szCs w:val="21"/>
              </w:rPr>
            </w:pPr>
          </w:p>
          <w:p>
            <w:pPr>
              <w:pStyle w:val="3"/>
              <w:rPr>
                <w:szCs w:val="21"/>
              </w:rPr>
            </w:pPr>
          </w:p>
          <w:p>
            <w:pPr>
              <w:rPr>
                <w:szCs w:val="21"/>
              </w:rPr>
            </w:pPr>
          </w:p>
          <w:p>
            <w:pPr>
              <w:pStyle w:val="2"/>
              <w:rPr>
                <w:szCs w:val="21"/>
              </w:rPr>
            </w:pPr>
          </w:p>
          <w:p>
            <w:pPr>
              <w:pStyle w:val="3"/>
              <w:rPr>
                <w:szCs w:val="21"/>
              </w:rPr>
            </w:pPr>
          </w:p>
          <w:p>
            <w:pPr>
              <w:rPr>
                <w:szCs w:val="21"/>
              </w:rPr>
            </w:pPr>
          </w:p>
          <w:p>
            <w:pPr>
              <w:pStyle w:val="2"/>
              <w:rPr>
                <w:szCs w:val="21"/>
              </w:rPr>
            </w:pPr>
          </w:p>
          <w:p>
            <w:pPr>
              <w:pStyle w:val="3"/>
              <w:rPr>
                <w:szCs w:val="21"/>
              </w:rPr>
            </w:pPr>
          </w:p>
          <w:p>
            <w:pPr>
              <w:rPr>
                <w:szCs w:val="21"/>
              </w:rPr>
            </w:pPr>
          </w:p>
          <w:p>
            <w:pPr>
              <w:pStyle w:val="2"/>
              <w:rPr>
                <w:szCs w:val="21"/>
              </w:rPr>
            </w:pPr>
          </w:p>
          <w:p>
            <w:pPr>
              <w:pStyle w:val="3"/>
              <w:rPr>
                <w:szCs w:val="21"/>
              </w:rPr>
            </w:pPr>
          </w:p>
          <w:p>
            <w:pPr>
              <w:rPr>
                <w:szCs w:val="21"/>
              </w:rPr>
            </w:pPr>
          </w:p>
          <w:p>
            <w:pPr>
              <w:pStyle w:val="2"/>
              <w:rPr>
                <w:szCs w:val="21"/>
              </w:rPr>
            </w:pPr>
          </w:p>
          <w:p>
            <w:pPr>
              <w:pStyle w:val="3"/>
              <w:rPr>
                <w:szCs w:val="21"/>
              </w:rPr>
            </w:pPr>
          </w:p>
          <w:p>
            <w:pPr>
              <w:rPr>
                <w:szCs w:val="21"/>
              </w:rPr>
            </w:pPr>
          </w:p>
          <w:p>
            <w:pPr>
              <w:pStyle w:val="2"/>
              <w:rPr>
                <w:szCs w:val="21"/>
              </w:rPr>
            </w:pPr>
          </w:p>
          <w:p>
            <w:pPr>
              <w:pStyle w:val="3"/>
              <w:rPr>
                <w:szCs w:val="21"/>
              </w:rPr>
            </w:pPr>
          </w:p>
          <w:p>
            <w:pPr>
              <w:rPr>
                <w:szCs w:val="21"/>
              </w:rPr>
            </w:pPr>
          </w:p>
          <w:p>
            <w:pPr>
              <w:pStyle w:val="2"/>
              <w:rPr>
                <w:szCs w:val="21"/>
              </w:rPr>
            </w:pPr>
          </w:p>
          <w:p>
            <w:pPr>
              <w:pStyle w:val="3"/>
              <w:rPr>
                <w:szCs w:val="21"/>
              </w:rPr>
            </w:pPr>
          </w:p>
          <w:p>
            <w:pPr>
              <w:rPr>
                <w:szCs w:val="21"/>
              </w:rPr>
            </w:pPr>
          </w:p>
          <w:p>
            <w:pPr>
              <w:pStyle w:val="2"/>
              <w:rPr>
                <w:szCs w:val="21"/>
              </w:rPr>
            </w:pPr>
          </w:p>
          <w:p>
            <w:pPr>
              <w:pStyle w:val="3"/>
              <w:rPr>
                <w:szCs w:val="21"/>
              </w:rPr>
            </w:pPr>
          </w:p>
          <w:p>
            <w:pPr>
              <w:rPr>
                <w:szCs w:val="21"/>
              </w:rPr>
            </w:pPr>
          </w:p>
          <w:p>
            <w:pPr>
              <w:pStyle w:val="2"/>
              <w:rPr>
                <w:szCs w:val="21"/>
              </w:rPr>
            </w:pPr>
          </w:p>
          <w:p>
            <w:pPr>
              <w:pStyle w:val="3"/>
              <w:rPr>
                <w:szCs w:val="21"/>
              </w:rPr>
            </w:pPr>
          </w:p>
          <w:p>
            <w:pPr>
              <w:rPr>
                <w:szCs w:val="21"/>
              </w:rPr>
            </w:pPr>
          </w:p>
          <w:p>
            <w:pPr>
              <w:pStyle w:val="2"/>
              <w:rPr>
                <w:szCs w:val="21"/>
              </w:rPr>
            </w:pPr>
          </w:p>
          <w:p>
            <w:pPr>
              <w:pStyle w:val="3"/>
              <w:rPr>
                <w:szCs w:val="21"/>
              </w:rPr>
            </w:pPr>
          </w:p>
          <w:p>
            <w:pPr>
              <w:rPr>
                <w:szCs w:val="21"/>
              </w:rPr>
            </w:pPr>
          </w:p>
          <w:p>
            <w:pPr>
              <w:pStyle w:val="3"/>
              <w:jc w:val="both"/>
            </w:pPr>
          </w:p>
          <w:p>
            <w:pPr>
              <w:pStyle w:val="75"/>
              <w:adjustRightInd w:val="0"/>
              <w:snapToGrid w:val="0"/>
              <w:spacing w:line="360" w:lineRule="auto"/>
              <w:ind w:firstLine="422" w:firstLineChars="200"/>
              <w:jc w:val="both"/>
              <w:rPr>
                <w:rFonts w:ascii="Times New Roman" w:hAnsi="Times New Roman" w:eastAsia="宋体"/>
                <w:b/>
                <w:sz w:val="21"/>
                <w:szCs w:val="21"/>
              </w:rPr>
            </w:pPr>
          </w:p>
          <w:p>
            <w:pPr>
              <w:spacing w:line="360" w:lineRule="auto"/>
            </w:pPr>
          </w:p>
        </w:tc>
      </w:tr>
    </w:tbl>
    <w:p>
      <w:pPr>
        <w:pStyle w:val="30"/>
        <w:jc w:val="both"/>
        <w:rPr>
          <w:rFonts w:ascii="Times New Roman" w:hAnsi="Times New Roman" w:eastAsia="黑体"/>
          <w:snapToGrid w:val="0"/>
          <w:sz w:val="36"/>
          <w:szCs w:val="36"/>
        </w:rPr>
        <w:sectPr>
          <w:type w:val="continuous"/>
          <w:pgSz w:w="11906" w:h="16838"/>
          <w:pgMar w:top="1474" w:right="1474" w:bottom="1474" w:left="1474" w:header="851" w:footer="851" w:gutter="0"/>
          <w:pgNumType w:fmt="numberInDash"/>
          <w:cols w:space="720" w:num="1"/>
          <w:docGrid w:linePitch="312" w:charSpace="0"/>
        </w:sectPr>
      </w:pPr>
    </w:p>
    <w:tbl>
      <w:tblPr>
        <w:tblStyle w:val="34"/>
        <w:tblpPr w:leftFromText="180" w:rightFromText="180" w:vertAnchor="text" w:horzAnchor="page" w:tblpX="1383" w:tblpY="390"/>
        <w:tblOverlap w:val="never"/>
        <w:tblW w:w="5032"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537"/>
        <w:gridCol w:w="856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955" w:hRule="atLeast"/>
        </w:trPr>
        <w:tc>
          <w:tcPr>
            <w:tcW w:w="294" w:type="pct"/>
            <w:vAlign w:val="center"/>
          </w:tcPr>
          <w:p>
            <w:pPr>
              <w:adjustRightInd w:val="0"/>
              <w:snapToGrid w:val="0"/>
              <w:jc w:val="center"/>
              <w:rPr>
                <w:color w:val="auto"/>
                <w:kern w:val="0"/>
                <w:sz w:val="24"/>
              </w:rPr>
            </w:pPr>
            <w:bookmarkStart w:id="6" w:name="_Toc88945581"/>
            <w:r>
              <w:rPr>
                <w:color w:val="auto"/>
                <w:kern w:val="0"/>
                <w:sz w:val="24"/>
              </w:rPr>
              <w:t>区</w:t>
            </w:r>
          </w:p>
          <w:p>
            <w:pPr>
              <w:pStyle w:val="2"/>
              <w:rPr>
                <w:color w:val="auto"/>
                <w:sz w:val="24"/>
                <w:szCs w:val="24"/>
              </w:rPr>
            </w:pPr>
          </w:p>
          <w:p>
            <w:pPr>
              <w:adjustRightInd w:val="0"/>
              <w:snapToGrid w:val="0"/>
              <w:jc w:val="center"/>
              <w:rPr>
                <w:color w:val="auto"/>
                <w:kern w:val="0"/>
                <w:sz w:val="24"/>
              </w:rPr>
            </w:pPr>
            <w:r>
              <w:rPr>
                <w:color w:val="auto"/>
                <w:kern w:val="0"/>
                <w:sz w:val="24"/>
              </w:rPr>
              <w:t>域</w:t>
            </w:r>
          </w:p>
          <w:p>
            <w:pPr>
              <w:pStyle w:val="2"/>
              <w:rPr>
                <w:color w:val="auto"/>
                <w:sz w:val="24"/>
                <w:szCs w:val="24"/>
              </w:rPr>
            </w:pPr>
          </w:p>
          <w:p>
            <w:pPr>
              <w:adjustRightInd w:val="0"/>
              <w:snapToGrid w:val="0"/>
              <w:jc w:val="center"/>
              <w:rPr>
                <w:color w:val="auto"/>
                <w:kern w:val="0"/>
                <w:sz w:val="24"/>
              </w:rPr>
            </w:pPr>
            <w:r>
              <w:rPr>
                <w:color w:val="auto"/>
                <w:kern w:val="0"/>
                <w:sz w:val="24"/>
              </w:rPr>
              <w:t>环</w:t>
            </w:r>
          </w:p>
          <w:p>
            <w:pPr>
              <w:pStyle w:val="2"/>
              <w:rPr>
                <w:color w:val="auto"/>
                <w:sz w:val="24"/>
                <w:szCs w:val="24"/>
              </w:rPr>
            </w:pPr>
          </w:p>
          <w:p>
            <w:pPr>
              <w:adjustRightInd w:val="0"/>
              <w:snapToGrid w:val="0"/>
              <w:jc w:val="center"/>
              <w:rPr>
                <w:color w:val="auto"/>
                <w:kern w:val="0"/>
                <w:sz w:val="24"/>
              </w:rPr>
            </w:pPr>
            <w:r>
              <w:rPr>
                <w:color w:val="auto"/>
                <w:kern w:val="0"/>
                <w:sz w:val="24"/>
              </w:rPr>
              <w:t>境</w:t>
            </w:r>
          </w:p>
          <w:p>
            <w:pPr>
              <w:pStyle w:val="2"/>
              <w:rPr>
                <w:color w:val="auto"/>
                <w:sz w:val="24"/>
                <w:szCs w:val="24"/>
              </w:rPr>
            </w:pPr>
          </w:p>
          <w:p>
            <w:pPr>
              <w:adjustRightInd w:val="0"/>
              <w:snapToGrid w:val="0"/>
              <w:jc w:val="center"/>
              <w:rPr>
                <w:color w:val="auto"/>
                <w:kern w:val="0"/>
                <w:sz w:val="24"/>
              </w:rPr>
            </w:pPr>
            <w:r>
              <w:rPr>
                <w:color w:val="auto"/>
                <w:kern w:val="0"/>
                <w:sz w:val="24"/>
              </w:rPr>
              <w:t>质</w:t>
            </w:r>
          </w:p>
          <w:p>
            <w:pPr>
              <w:pStyle w:val="2"/>
              <w:rPr>
                <w:color w:val="auto"/>
                <w:sz w:val="24"/>
                <w:szCs w:val="24"/>
              </w:rPr>
            </w:pPr>
          </w:p>
          <w:p>
            <w:pPr>
              <w:adjustRightInd w:val="0"/>
              <w:snapToGrid w:val="0"/>
              <w:jc w:val="center"/>
              <w:rPr>
                <w:color w:val="auto"/>
                <w:kern w:val="0"/>
                <w:sz w:val="24"/>
              </w:rPr>
            </w:pPr>
            <w:r>
              <w:rPr>
                <w:color w:val="auto"/>
                <w:kern w:val="0"/>
                <w:sz w:val="24"/>
              </w:rPr>
              <w:t>量</w:t>
            </w:r>
          </w:p>
          <w:p>
            <w:pPr>
              <w:pStyle w:val="2"/>
              <w:rPr>
                <w:color w:val="auto"/>
                <w:sz w:val="24"/>
                <w:szCs w:val="24"/>
              </w:rPr>
            </w:pPr>
          </w:p>
          <w:p>
            <w:pPr>
              <w:adjustRightInd w:val="0"/>
              <w:snapToGrid w:val="0"/>
              <w:jc w:val="center"/>
              <w:rPr>
                <w:color w:val="auto"/>
                <w:kern w:val="0"/>
                <w:sz w:val="24"/>
              </w:rPr>
            </w:pPr>
            <w:r>
              <w:rPr>
                <w:color w:val="auto"/>
                <w:kern w:val="0"/>
                <w:sz w:val="24"/>
              </w:rPr>
              <w:t>现</w:t>
            </w:r>
          </w:p>
          <w:p>
            <w:pPr>
              <w:pStyle w:val="2"/>
              <w:rPr>
                <w:color w:val="auto"/>
                <w:sz w:val="24"/>
                <w:szCs w:val="24"/>
              </w:rPr>
            </w:pPr>
          </w:p>
          <w:p>
            <w:pPr>
              <w:adjustRightInd w:val="0"/>
              <w:snapToGrid w:val="0"/>
              <w:jc w:val="center"/>
              <w:rPr>
                <w:color w:val="auto"/>
                <w:kern w:val="0"/>
                <w:szCs w:val="21"/>
              </w:rPr>
            </w:pPr>
            <w:r>
              <w:rPr>
                <w:color w:val="auto"/>
                <w:kern w:val="0"/>
                <w:sz w:val="24"/>
              </w:rPr>
              <w:t>状</w:t>
            </w:r>
          </w:p>
        </w:tc>
        <w:tc>
          <w:tcPr>
            <w:tcW w:w="4705" w:type="pct"/>
            <w:vAlign w:val="center"/>
          </w:tcPr>
          <w:p>
            <w:pPr>
              <w:numPr>
                <w:ilvl w:val="0"/>
                <w:numId w:val="8"/>
              </w:numPr>
              <w:adjustRightInd w:val="0"/>
              <w:snapToGrid w:val="0"/>
              <w:spacing w:beforeLines="50" w:line="360" w:lineRule="auto"/>
              <w:jc w:val="left"/>
              <w:rPr>
                <w:b/>
                <w:bCs/>
                <w:color w:val="auto"/>
                <w:sz w:val="24"/>
              </w:rPr>
            </w:pPr>
            <w:r>
              <w:rPr>
                <w:b/>
                <w:bCs/>
                <w:color w:val="auto"/>
                <w:sz w:val="24"/>
              </w:rPr>
              <w:t>大气环境</w:t>
            </w:r>
          </w:p>
          <w:p>
            <w:pPr>
              <w:spacing w:line="360" w:lineRule="auto"/>
              <w:ind w:firstLine="482" w:firstLineChars="200"/>
              <w:rPr>
                <w:b/>
                <w:color w:val="auto"/>
                <w:sz w:val="24"/>
              </w:rPr>
            </w:pPr>
            <w:r>
              <w:rPr>
                <w:b/>
                <w:color w:val="auto"/>
                <w:sz w:val="24"/>
              </w:rPr>
              <w:t>（1）</w:t>
            </w:r>
            <w:r>
              <w:rPr>
                <w:rFonts w:hint="eastAsia"/>
                <w:b/>
                <w:color w:val="auto"/>
                <w:sz w:val="24"/>
              </w:rPr>
              <w:t>常规</w:t>
            </w:r>
            <w:r>
              <w:rPr>
                <w:b/>
                <w:color w:val="auto"/>
                <w:sz w:val="24"/>
              </w:rPr>
              <w:t>污染物</w:t>
            </w:r>
          </w:p>
          <w:p>
            <w:pPr>
              <w:spacing w:line="360" w:lineRule="auto"/>
              <w:ind w:left="239" w:leftChars="114" w:firstLine="240" w:firstLineChars="100"/>
              <w:rPr>
                <w:color w:val="auto"/>
                <w:sz w:val="24"/>
              </w:rPr>
            </w:pPr>
            <w:r>
              <w:rPr>
                <w:rFonts w:hint="eastAsia"/>
                <w:color w:val="auto"/>
                <w:sz w:val="24"/>
              </w:rPr>
              <w:t>本项目位于</w:t>
            </w:r>
            <w:r>
              <w:rPr>
                <w:color w:val="auto"/>
                <w:sz w:val="24"/>
              </w:rPr>
              <w:t>南京江宁经济技术开发区秣陵街道康平街2号</w:t>
            </w:r>
            <w:r>
              <w:rPr>
                <w:rFonts w:hint="eastAsia"/>
                <w:color w:val="auto"/>
                <w:sz w:val="24"/>
              </w:rPr>
              <w:t>，属于</w:t>
            </w:r>
            <w:r>
              <w:rPr>
                <w:color w:val="auto"/>
                <w:sz w:val="24"/>
              </w:rPr>
              <w:t>环境空气质量功能区</w:t>
            </w:r>
            <w:r>
              <w:rPr>
                <w:rFonts w:hint="eastAsia"/>
                <w:color w:val="auto"/>
                <w:sz w:val="24"/>
              </w:rPr>
              <w:t>2类区。</w:t>
            </w:r>
            <w:r>
              <w:rPr>
                <w:color w:val="auto"/>
                <w:sz w:val="24"/>
              </w:rPr>
              <w:t>根据《2021年南京市环境状况公报》实况数据统计，南京市环境空气质量达到二级标准的天数为300天，同比减少4天，达标率为82.2%，同比下降0.9个百分点。其中，达到一级标准天数为91天，同比减少6天；未达到二级标准的天数为65天（其中，轻度污染61天，中度污染4天），主要污染物为O</w:t>
            </w:r>
            <w:r>
              <w:rPr>
                <w:color w:val="auto"/>
                <w:sz w:val="24"/>
                <w:vertAlign w:val="subscript"/>
              </w:rPr>
              <w:t>3</w:t>
            </w:r>
            <w:r>
              <w:rPr>
                <w:color w:val="auto"/>
                <w:sz w:val="24"/>
              </w:rPr>
              <w:t>和PM</w:t>
            </w:r>
            <w:r>
              <w:rPr>
                <w:color w:val="auto"/>
                <w:sz w:val="24"/>
                <w:vertAlign w:val="subscript"/>
              </w:rPr>
              <w:t>2.5</w:t>
            </w:r>
            <w:r>
              <w:rPr>
                <w:color w:val="auto"/>
                <w:sz w:val="24"/>
              </w:rPr>
              <w:t>。各项污染物指标监测结果：PM</w:t>
            </w:r>
            <w:r>
              <w:rPr>
                <w:color w:val="auto"/>
                <w:sz w:val="24"/>
                <w:vertAlign w:val="subscript"/>
              </w:rPr>
              <w:t>2.5</w:t>
            </w:r>
            <w:r>
              <w:rPr>
                <w:color w:val="auto"/>
                <w:sz w:val="24"/>
              </w:rPr>
              <w:t>年均值为29μg/m</w:t>
            </w:r>
            <w:r>
              <w:rPr>
                <w:color w:val="auto"/>
                <w:sz w:val="24"/>
                <w:vertAlign w:val="superscript"/>
              </w:rPr>
              <w:t>3</w:t>
            </w:r>
            <w:r>
              <w:rPr>
                <w:color w:val="auto"/>
                <w:sz w:val="24"/>
              </w:rPr>
              <w:t>，达标，同比下降6.5%；PM</w:t>
            </w:r>
            <w:r>
              <w:rPr>
                <w:color w:val="auto"/>
                <w:sz w:val="24"/>
                <w:vertAlign w:val="subscript"/>
              </w:rPr>
              <w:t>10</w:t>
            </w:r>
            <w:r>
              <w:rPr>
                <w:color w:val="auto"/>
                <w:sz w:val="24"/>
              </w:rPr>
              <w:t>年均值为56μg/m</w:t>
            </w:r>
            <w:r>
              <w:rPr>
                <w:color w:val="auto"/>
                <w:sz w:val="24"/>
                <w:vertAlign w:val="superscript"/>
              </w:rPr>
              <w:t>3</w:t>
            </w:r>
            <w:r>
              <w:rPr>
                <w:color w:val="auto"/>
                <w:sz w:val="24"/>
              </w:rPr>
              <w:t>，达标，同比持平；NO</w:t>
            </w:r>
            <w:r>
              <w:rPr>
                <w:color w:val="auto"/>
                <w:sz w:val="24"/>
                <w:vertAlign w:val="subscript"/>
              </w:rPr>
              <w:t>2</w:t>
            </w:r>
            <w:r>
              <w:rPr>
                <w:color w:val="auto"/>
                <w:sz w:val="24"/>
              </w:rPr>
              <w:t>年均值为33μg/m</w:t>
            </w:r>
            <w:r>
              <w:rPr>
                <w:color w:val="auto"/>
                <w:sz w:val="24"/>
                <w:vertAlign w:val="superscript"/>
              </w:rPr>
              <w:t>3</w:t>
            </w:r>
            <w:r>
              <w:rPr>
                <w:color w:val="auto"/>
                <w:sz w:val="24"/>
              </w:rPr>
              <w:t>，达标，同比下降8.3%；SO</w:t>
            </w:r>
            <w:r>
              <w:rPr>
                <w:color w:val="auto"/>
                <w:sz w:val="24"/>
                <w:vertAlign w:val="subscript"/>
              </w:rPr>
              <w:t>2</w:t>
            </w:r>
            <w:r>
              <w:rPr>
                <w:color w:val="auto"/>
                <w:sz w:val="24"/>
              </w:rPr>
              <w:t>年均值为6μg/m³，达标，同比下降14.3%；CO日均浓度第95百分位数为1.0mg/m³，达标，同比下降9.1%；O</w:t>
            </w:r>
            <w:r>
              <w:rPr>
                <w:color w:val="auto"/>
                <w:sz w:val="24"/>
                <w:vertAlign w:val="subscript"/>
              </w:rPr>
              <w:t>3</w:t>
            </w:r>
            <w:r>
              <w:rPr>
                <w:color w:val="auto"/>
                <w:sz w:val="24"/>
              </w:rPr>
              <w:t>日最大8小时值超标天数为52天，超标率为14.2%，同比增加2.2个百分点。</w:t>
            </w:r>
          </w:p>
          <w:p>
            <w:pPr>
              <w:widowControl/>
              <w:spacing w:line="360" w:lineRule="auto"/>
              <w:jc w:val="center"/>
              <w:rPr>
                <w:b/>
                <w:bCs/>
                <w:color w:val="auto"/>
                <w:kern w:val="0"/>
                <w:sz w:val="24"/>
              </w:rPr>
            </w:pPr>
            <w:r>
              <w:rPr>
                <w:b/>
                <w:bCs/>
                <w:color w:val="auto"/>
                <w:kern w:val="0"/>
                <w:sz w:val="24"/>
              </w:rPr>
              <w:t xml:space="preserve">表3-1  </w:t>
            </w:r>
            <w:r>
              <w:rPr>
                <w:b/>
                <w:bCs/>
                <w:color w:val="auto"/>
                <w:sz w:val="24"/>
              </w:rPr>
              <w:t>达标判定一览表</w:t>
            </w:r>
          </w:p>
          <w:tbl>
            <w:tblPr>
              <w:tblStyle w:val="34"/>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2"/>
              <w:gridCol w:w="2981"/>
              <w:gridCol w:w="1287"/>
              <w:gridCol w:w="1210"/>
              <w:gridCol w:w="1058"/>
              <w:gridCol w:w="9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17" w:type="pct"/>
                  <w:vAlign w:val="center"/>
                </w:tcPr>
                <w:p>
                  <w:pPr>
                    <w:jc w:val="center"/>
                    <w:rPr>
                      <w:color w:val="auto"/>
                    </w:rPr>
                  </w:pPr>
                  <w:r>
                    <w:rPr>
                      <w:color w:val="auto"/>
                    </w:rPr>
                    <w:t>污染物</w:t>
                  </w:r>
                </w:p>
              </w:tc>
              <w:tc>
                <w:tcPr>
                  <w:tcW w:w="1747" w:type="pct"/>
                  <w:vAlign w:val="center"/>
                </w:tcPr>
                <w:p>
                  <w:pPr>
                    <w:jc w:val="center"/>
                    <w:rPr>
                      <w:color w:val="auto"/>
                    </w:rPr>
                  </w:pPr>
                  <w:r>
                    <w:rPr>
                      <w:color w:val="auto"/>
                    </w:rPr>
                    <w:t>评价指标</w:t>
                  </w:r>
                </w:p>
              </w:tc>
              <w:tc>
                <w:tcPr>
                  <w:tcW w:w="754" w:type="pct"/>
                  <w:vAlign w:val="center"/>
                </w:tcPr>
                <w:p>
                  <w:pPr>
                    <w:jc w:val="center"/>
                    <w:rPr>
                      <w:color w:val="auto"/>
                    </w:rPr>
                  </w:pPr>
                  <w:r>
                    <w:rPr>
                      <w:color w:val="auto"/>
                    </w:rPr>
                    <w:t>现状浓度</w:t>
                  </w:r>
                </w:p>
                <w:p>
                  <w:pPr>
                    <w:jc w:val="center"/>
                    <w:rPr>
                      <w:color w:val="auto"/>
                    </w:rPr>
                  </w:pPr>
                  <w:r>
                    <w:rPr>
                      <w:b/>
                      <w:bCs/>
                      <w:color w:val="auto"/>
                      <w:kern w:val="0"/>
                      <w:sz w:val="22"/>
                    </w:rPr>
                    <w:t>（</w:t>
                  </w:r>
                  <w:r>
                    <w:rPr>
                      <w:color w:val="auto"/>
                      <w:sz w:val="24"/>
                    </w:rPr>
                    <w:t>μg/m</w:t>
                  </w:r>
                  <w:r>
                    <w:rPr>
                      <w:color w:val="auto"/>
                      <w:sz w:val="24"/>
                      <w:vertAlign w:val="superscript"/>
                    </w:rPr>
                    <w:t>3</w:t>
                  </w:r>
                  <w:r>
                    <w:rPr>
                      <w:b/>
                      <w:bCs/>
                      <w:color w:val="auto"/>
                      <w:kern w:val="0"/>
                      <w:sz w:val="22"/>
                    </w:rPr>
                    <w:t>）</w:t>
                  </w:r>
                </w:p>
              </w:tc>
              <w:tc>
                <w:tcPr>
                  <w:tcW w:w="709" w:type="pct"/>
                  <w:vAlign w:val="center"/>
                </w:tcPr>
                <w:p>
                  <w:pPr>
                    <w:jc w:val="center"/>
                    <w:rPr>
                      <w:color w:val="auto"/>
                    </w:rPr>
                  </w:pPr>
                  <w:r>
                    <w:rPr>
                      <w:color w:val="auto"/>
                    </w:rPr>
                    <w:t>标准值</w:t>
                  </w:r>
                </w:p>
                <w:p>
                  <w:pPr>
                    <w:jc w:val="center"/>
                    <w:rPr>
                      <w:color w:val="auto"/>
                    </w:rPr>
                  </w:pPr>
                  <w:r>
                    <w:rPr>
                      <w:b/>
                      <w:bCs/>
                      <w:color w:val="auto"/>
                      <w:kern w:val="0"/>
                      <w:sz w:val="22"/>
                    </w:rPr>
                    <w:t>（</w:t>
                  </w:r>
                  <w:r>
                    <w:rPr>
                      <w:color w:val="auto"/>
                      <w:sz w:val="24"/>
                    </w:rPr>
                    <w:t>μg/m</w:t>
                  </w:r>
                  <w:r>
                    <w:rPr>
                      <w:color w:val="auto"/>
                      <w:sz w:val="24"/>
                      <w:vertAlign w:val="superscript"/>
                    </w:rPr>
                    <w:t>3</w:t>
                  </w:r>
                  <w:r>
                    <w:rPr>
                      <w:b/>
                      <w:bCs/>
                      <w:color w:val="auto"/>
                      <w:kern w:val="0"/>
                      <w:sz w:val="14"/>
                      <w:szCs w:val="14"/>
                      <w:vertAlign w:val="superscript"/>
                    </w:rPr>
                    <w:t>3</w:t>
                  </w:r>
                  <w:r>
                    <w:rPr>
                      <w:b/>
                      <w:bCs/>
                      <w:color w:val="auto"/>
                      <w:kern w:val="0"/>
                      <w:sz w:val="22"/>
                    </w:rPr>
                    <w:t>）</w:t>
                  </w:r>
                </w:p>
              </w:tc>
              <w:tc>
                <w:tcPr>
                  <w:tcW w:w="620" w:type="pct"/>
                  <w:vAlign w:val="center"/>
                </w:tcPr>
                <w:p>
                  <w:pPr>
                    <w:jc w:val="center"/>
                    <w:rPr>
                      <w:color w:val="auto"/>
                    </w:rPr>
                  </w:pPr>
                  <w:r>
                    <w:rPr>
                      <w:color w:val="auto"/>
                    </w:rPr>
                    <w:t>占标率</w:t>
                  </w:r>
                </w:p>
                <w:p>
                  <w:pPr>
                    <w:jc w:val="center"/>
                    <w:rPr>
                      <w:color w:val="auto"/>
                    </w:rPr>
                  </w:pPr>
                  <w:r>
                    <w:rPr>
                      <w:color w:val="auto"/>
                    </w:rPr>
                    <w:t>%</w:t>
                  </w:r>
                </w:p>
              </w:tc>
              <w:tc>
                <w:tcPr>
                  <w:tcW w:w="553" w:type="pct"/>
                  <w:vAlign w:val="center"/>
                </w:tcPr>
                <w:p>
                  <w:pPr>
                    <w:jc w:val="center"/>
                    <w:rPr>
                      <w:color w:val="auto"/>
                    </w:rPr>
                  </w:pPr>
                  <w:r>
                    <w:rPr>
                      <w:color w:val="auto"/>
                    </w:rPr>
                    <w:t>达标情况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17" w:type="pct"/>
                  <w:vAlign w:val="center"/>
                </w:tcPr>
                <w:p>
                  <w:pPr>
                    <w:jc w:val="center"/>
                    <w:rPr>
                      <w:color w:val="auto"/>
                    </w:rPr>
                  </w:pPr>
                  <w:r>
                    <w:rPr>
                      <w:color w:val="auto"/>
                    </w:rPr>
                    <w:t>SO</w:t>
                  </w:r>
                  <w:r>
                    <w:rPr>
                      <w:color w:val="auto"/>
                      <w:vertAlign w:val="subscript"/>
                    </w:rPr>
                    <w:t>2</w:t>
                  </w:r>
                </w:p>
              </w:tc>
              <w:tc>
                <w:tcPr>
                  <w:tcW w:w="1747" w:type="pct"/>
                  <w:vAlign w:val="center"/>
                </w:tcPr>
                <w:p>
                  <w:pPr>
                    <w:jc w:val="center"/>
                    <w:rPr>
                      <w:color w:val="auto"/>
                    </w:rPr>
                  </w:pPr>
                  <w:r>
                    <w:rPr>
                      <w:color w:val="auto"/>
                      <w:sz w:val="24"/>
                    </w:rPr>
                    <w:t>年平均质量浓度</w:t>
                  </w:r>
                </w:p>
              </w:tc>
              <w:tc>
                <w:tcPr>
                  <w:tcW w:w="754" w:type="pct"/>
                  <w:vAlign w:val="center"/>
                </w:tcPr>
                <w:p>
                  <w:pPr>
                    <w:jc w:val="center"/>
                    <w:rPr>
                      <w:color w:val="auto"/>
                    </w:rPr>
                  </w:pPr>
                  <w:r>
                    <w:rPr>
                      <w:color w:val="auto"/>
                    </w:rPr>
                    <w:t>6</w:t>
                  </w:r>
                </w:p>
              </w:tc>
              <w:tc>
                <w:tcPr>
                  <w:tcW w:w="709" w:type="pct"/>
                  <w:vAlign w:val="center"/>
                </w:tcPr>
                <w:p>
                  <w:pPr>
                    <w:jc w:val="center"/>
                    <w:rPr>
                      <w:color w:val="auto"/>
                    </w:rPr>
                  </w:pPr>
                  <w:r>
                    <w:rPr>
                      <w:color w:val="auto"/>
                    </w:rPr>
                    <w:t>60</w:t>
                  </w:r>
                </w:p>
              </w:tc>
              <w:tc>
                <w:tcPr>
                  <w:tcW w:w="620" w:type="pct"/>
                  <w:vAlign w:val="center"/>
                </w:tcPr>
                <w:p>
                  <w:pPr>
                    <w:jc w:val="center"/>
                    <w:rPr>
                      <w:color w:val="auto"/>
                    </w:rPr>
                  </w:pPr>
                  <w:r>
                    <w:rPr>
                      <w:color w:val="auto"/>
                    </w:rPr>
                    <w:t>10</w:t>
                  </w:r>
                </w:p>
              </w:tc>
              <w:tc>
                <w:tcPr>
                  <w:tcW w:w="553" w:type="pct"/>
                  <w:vAlign w:val="center"/>
                </w:tcPr>
                <w:p>
                  <w:pPr>
                    <w:jc w:val="center"/>
                    <w:rPr>
                      <w:color w:val="auto"/>
                    </w:rPr>
                  </w:pPr>
                  <w:r>
                    <w:rPr>
                      <w:color w:val="auto"/>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17" w:type="pct"/>
                  <w:vAlign w:val="center"/>
                </w:tcPr>
                <w:p>
                  <w:pPr>
                    <w:jc w:val="center"/>
                    <w:rPr>
                      <w:color w:val="auto"/>
                    </w:rPr>
                  </w:pPr>
                  <w:r>
                    <w:rPr>
                      <w:color w:val="auto"/>
                    </w:rPr>
                    <w:t>NO</w:t>
                  </w:r>
                  <w:r>
                    <w:rPr>
                      <w:color w:val="auto"/>
                      <w:vertAlign w:val="subscript"/>
                    </w:rPr>
                    <w:t>2</w:t>
                  </w:r>
                </w:p>
              </w:tc>
              <w:tc>
                <w:tcPr>
                  <w:tcW w:w="1747" w:type="pct"/>
                  <w:vAlign w:val="center"/>
                </w:tcPr>
                <w:p>
                  <w:pPr>
                    <w:jc w:val="center"/>
                    <w:rPr>
                      <w:color w:val="auto"/>
                    </w:rPr>
                  </w:pPr>
                  <w:r>
                    <w:rPr>
                      <w:color w:val="auto"/>
                      <w:sz w:val="24"/>
                    </w:rPr>
                    <w:t>年平均质量浓度</w:t>
                  </w:r>
                </w:p>
              </w:tc>
              <w:tc>
                <w:tcPr>
                  <w:tcW w:w="754" w:type="pct"/>
                  <w:vAlign w:val="center"/>
                </w:tcPr>
                <w:p>
                  <w:pPr>
                    <w:jc w:val="center"/>
                    <w:rPr>
                      <w:color w:val="auto"/>
                    </w:rPr>
                  </w:pPr>
                  <w:r>
                    <w:rPr>
                      <w:color w:val="auto"/>
                    </w:rPr>
                    <w:t>33</w:t>
                  </w:r>
                </w:p>
              </w:tc>
              <w:tc>
                <w:tcPr>
                  <w:tcW w:w="709" w:type="pct"/>
                  <w:vAlign w:val="center"/>
                </w:tcPr>
                <w:p>
                  <w:pPr>
                    <w:jc w:val="center"/>
                    <w:rPr>
                      <w:color w:val="auto"/>
                    </w:rPr>
                  </w:pPr>
                  <w:r>
                    <w:rPr>
                      <w:color w:val="auto"/>
                    </w:rPr>
                    <w:t>40</w:t>
                  </w:r>
                </w:p>
              </w:tc>
              <w:tc>
                <w:tcPr>
                  <w:tcW w:w="620" w:type="pct"/>
                  <w:vAlign w:val="center"/>
                </w:tcPr>
                <w:p>
                  <w:pPr>
                    <w:jc w:val="center"/>
                    <w:rPr>
                      <w:color w:val="auto"/>
                    </w:rPr>
                  </w:pPr>
                  <w:r>
                    <w:rPr>
                      <w:color w:val="auto"/>
                    </w:rPr>
                    <w:t>82.5</w:t>
                  </w:r>
                </w:p>
              </w:tc>
              <w:tc>
                <w:tcPr>
                  <w:tcW w:w="553" w:type="pct"/>
                  <w:vAlign w:val="center"/>
                </w:tcPr>
                <w:p>
                  <w:pPr>
                    <w:jc w:val="center"/>
                    <w:rPr>
                      <w:color w:val="auto"/>
                    </w:rPr>
                  </w:pPr>
                  <w:r>
                    <w:rPr>
                      <w:color w:val="auto"/>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17" w:type="pct"/>
                  <w:vAlign w:val="center"/>
                </w:tcPr>
                <w:p>
                  <w:pPr>
                    <w:jc w:val="center"/>
                    <w:rPr>
                      <w:color w:val="auto"/>
                    </w:rPr>
                  </w:pPr>
                  <w:r>
                    <w:rPr>
                      <w:color w:val="auto"/>
                    </w:rPr>
                    <w:t>PM</w:t>
                  </w:r>
                  <w:r>
                    <w:rPr>
                      <w:color w:val="auto"/>
                      <w:vertAlign w:val="subscript"/>
                    </w:rPr>
                    <w:t>10</w:t>
                  </w:r>
                </w:p>
              </w:tc>
              <w:tc>
                <w:tcPr>
                  <w:tcW w:w="1747" w:type="pct"/>
                  <w:vAlign w:val="center"/>
                </w:tcPr>
                <w:p>
                  <w:pPr>
                    <w:jc w:val="center"/>
                    <w:rPr>
                      <w:color w:val="auto"/>
                    </w:rPr>
                  </w:pPr>
                  <w:r>
                    <w:rPr>
                      <w:color w:val="auto"/>
                      <w:sz w:val="24"/>
                    </w:rPr>
                    <w:t>年平均质量浓度</w:t>
                  </w:r>
                </w:p>
              </w:tc>
              <w:tc>
                <w:tcPr>
                  <w:tcW w:w="754" w:type="pct"/>
                  <w:vAlign w:val="center"/>
                </w:tcPr>
                <w:p>
                  <w:pPr>
                    <w:jc w:val="center"/>
                    <w:rPr>
                      <w:color w:val="auto"/>
                    </w:rPr>
                  </w:pPr>
                  <w:r>
                    <w:rPr>
                      <w:color w:val="auto"/>
                    </w:rPr>
                    <w:t>56</w:t>
                  </w:r>
                </w:p>
              </w:tc>
              <w:tc>
                <w:tcPr>
                  <w:tcW w:w="709" w:type="pct"/>
                  <w:vAlign w:val="center"/>
                </w:tcPr>
                <w:p>
                  <w:pPr>
                    <w:jc w:val="center"/>
                    <w:rPr>
                      <w:color w:val="auto"/>
                    </w:rPr>
                  </w:pPr>
                  <w:r>
                    <w:rPr>
                      <w:color w:val="auto"/>
                    </w:rPr>
                    <w:t>70</w:t>
                  </w:r>
                </w:p>
              </w:tc>
              <w:tc>
                <w:tcPr>
                  <w:tcW w:w="620" w:type="pct"/>
                  <w:vAlign w:val="center"/>
                </w:tcPr>
                <w:p>
                  <w:pPr>
                    <w:jc w:val="center"/>
                    <w:rPr>
                      <w:color w:val="auto"/>
                    </w:rPr>
                  </w:pPr>
                  <w:r>
                    <w:rPr>
                      <w:color w:val="auto"/>
                    </w:rPr>
                    <w:t>80</w:t>
                  </w:r>
                </w:p>
              </w:tc>
              <w:tc>
                <w:tcPr>
                  <w:tcW w:w="553" w:type="pct"/>
                  <w:vAlign w:val="center"/>
                </w:tcPr>
                <w:p>
                  <w:pPr>
                    <w:jc w:val="center"/>
                    <w:rPr>
                      <w:color w:val="auto"/>
                    </w:rPr>
                  </w:pPr>
                  <w:r>
                    <w:rPr>
                      <w:color w:val="auto"/>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17" w:type="pct"/>
                  <w:vAlign w:val="center"/>
                </w:tcPr>
                <w:p>
                  <w:pPr>
                    <w:jc w:val="center"/>
                    <w:rPr>
                      <w:color w:val="auto"/>
                    </w:rPr>
                  </w:pPr>
                  <w:r>
                    <w:rPr>
                      <w:color w:val="auto"/>
                    </w:rPr>
                    <w:t>PM</w:t>
                  </w:r>
                  <w:r>
                    <w:rPr>
                      <w:color w:val="auto"/>
                      <w:vertAlign w:val="subscript"/>
                    </w:rPr>
                    <w:t>2.5</w:t>
                  </w:r>
                </w:p>
              </w:tc>
              <w:tc>
                <w:tcPr>
                  <w:tcW w:w="1747" w:type="pct"/>
                  <w:vAlign w:val="center"/>
                </w:tcPr>
                <w:p>
                  <w:pPr>
                    <w:jc w:val="center"/>
                    <w:rPr>
                      <w:color w:val="auto"/>
                    </w:rPr>
                  </w:pPr>
                  <w:r>
                    <w:rPr>
                      <w:color w:val="auto"/>
                      <w:sz w:val="24"/>
                    </w:rPr>
                    <w:t>年平均质量浓度</w:t>
                  </w:r>
                </w:p>
              </w:tc>
              <w:tc>
                <w:tcPr>
                  <w:tcW w:w="754" w:type="pct"/>
                  <w:vAlign w:val="center"/>
                </w:tcPr>
                <w:p>
                  <w:pPr>
                    <w:jc w:val="center"/>
                    <w:rPr>
                      <w:color w:val="auto"/>
                    </w:rPr>
                  </w:pPr>
                  <w:r>
                    <w:rPr>
                      <w:color w:val="auto"/>
                    </w:rPr>
                    <w:t>29</w:t>
                  </w:r>
                </w:p>
              </w:tc>
              <w:tc>
                <w:tcPr>
                  <w:tcW w:w="709" w:type="pct"/>
                  <w:vAlign w:val="center"/>
                </w:tcPr>
                <w:p>
                  <w:pPr>
                    <w:jc w:val="center"/>
                    <w:rPr>
                      <w:color w:val="auto"/>
                    </w:rPr>
                  </w:pPr>
                  <w:r>
                    <w:rPr>
                      <w:color w:val="auto"/>
                    </w:rPr>
                    <w:t>35</w:t>
                  </w:r>
                </w:p>
              </w:tc>
              <w:tc>
                <w:tcPr>
                  <w:tcW w:w="620" w:type="pct"/>
                  <w:vAlign w:val="center"/>
                </w:tcPr>
                <w:p>
                  <w:pPr>
                    <w:jc w:val="center"/>
                    <w:rPr>
                      <w:color w:val="auto"/>
                    </w:rPr>
                  </w:pPr>
                  <w:r>
                    <w:rPr>
                      <w:color w:val="auto"/>
                    </w:rPr>
                    <w:t>82.</w:t>
                  </w:r>
                  <w:r>
                    <w:rPr>
                      <w:rFonts w:hint="eastAsia"/>
                      <w:color w:val="auto"/>
                    </w:rPr>
                    <w:t>9</w:t>
                  </w:r>
                </w:p>
              </w:tc>
              <w:tc>
                <w:tcPr>
                  <w:tcW w:w="553" w:type="pct"/>
                  <w:vAlign w:val="center"/>
                </w:tcPr>
                <w:p>
                  <w:pPr>
                    <w:jc w:val="center"/>
                    <w:rPr>
                      <w:color w:val="auto"/>
                    </w:rPr>
                  </w:pPr>
                  <w:r>
                    <w:rPr>
                      <w:color w:val="auto"/>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17" w:type="pct"/>
                  <w:vAlign w:val="center"/>
                </w:tcPr>
                <w:p>
                  <w:pPr>
                    <w:jc w:val="center"/>
                    <w:rPr>
                      <w:color w:val="auto"/>
                    </w:rPr>
                  </w:pPr>
                  <w:r>
                    <w:rPr>
                      <w:color w:val="auto"/>
                    </w:rPr>
                    <w:t>CO</w:t>
                  </w:r>
                </w:p>
              </w:tc>
              <w:tc>
                <w:tcPr>
                  <w:tcW w:w="1747" w:type="pct"/>
                  <w:vAlign w:val="center"/>
                </w:tcPr>
                <w:p>
                  <w:pPr>
                    <w:jc w:val="center"/>
                    <w:rPr>
                      <w:color w:val="auto"/>
                    </w:rPr>
                  </w:pPr>
                  <w:r>
                    <w:rPr>
                      <w:color w:val="auto"/>
                      <w:sz w:val="24"/>
                    </w:rPr>
                    <w:t>日均浓度第95百分位数</w:t>
                  </w:r>
                </w:p>
              </w:tc>
              <w:tc>
                <w:tcPr>
                  <w:tcW w:w="754" w:type="pct"/>
                  <w:vAlign w:val="center"/>
                </w:tcPr>
                <w:p>
                  <w:pPr>
                    <w:jc w:val="center"/>
                    <w:rPr>
                      <w:color w:val="auto"/>
                    </w:rPr>
                  </w:pPr>
                  <w:r>
                    <w:rPr>
                      <w:color w:val="auto"/>
                    </w:rPr>
                    <w:t>1000</w:t>
                  </w:r>
                </w:p>
              </w:tc>
              <w:tc>
                <w:tcPr>
                  <w:tcW w:w="709" w:type="pct"/>
                  <w:vAlign w:val="center"/>
                </w:tcPr>
                <w:p>
                  <w:pPr>
                    <w:jc w:val="center"/>
                    <w:rPr>
                      <w:color w:val="auto"/>
                    </w:rPr>
                  </w:pPr>
                  <w:r>
                    <w:rPr>
                      <w:color w:val="auto"/>
                    </w:rPr>
                    <w:t>4000</w:t>
                  </w:r>
                </w:p>
              </w:tc>
              <w:tc>
                <w:tcPr>
                  <w:tcW w:w="620" w:type="pct"/>
                  <w:vAlign w:val="center"/>
                </w:tcPr>
                <w:p>
                  <w:pPr>
                    <w:jc w:val="center"/>
                    <w:rPr>
                      <w:color w:val="auto"/>
                    </w:rPr>
                  </w:pPr>
                  <w:r>
                    <w:rPr>
                      <w:color w:val="auto"/>
                    </w:rPr>
                    <w:t>25</w:t>
                  </w:r>
                </w:p>
              </w:tc>
              <w:tc>
                <w:tcPr>
                  <w:tcW w:w="553" w:type="pct"/>
                  <w:vAlign w:val="center"/>
                </w:tcPr>
                <w:p>
                  <w:pPr>
                    <w:jc w:val="center"/>
                    <w:rPr>
                      <w:color w:val="auto"/>
                    </w:rPr>
                  </w:pPr>
                  <w:r>
                    <w:rPr>
                      <w:color w:val="auto"/>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17" w:type="pct"/>
                  <w:vAlign w:val="center"/>
                </w:tcPr>
                <w:p>
                  <w:pPr>
                    <w:jc w:val="center"/>
                    <w:rPr>
                      <w:color w:val="auto"/>
                    </w:rPr>
                  </w:pPr>
                  <w:r>
                    <w:rPr>
                      <w:color w:val="auto"/>
                    </w:rPr>
                    <w:t>O</w:t>
                  </w:r>
                  <w:r>
                    <w:rPr>
                      <w:color w:val="auto"/>
                      <w:vertAlign w:val="subscript"/>
                    </w:rPr>
                    <w:t>3</w:t>
                  </w:r>
                </w:p>
              </w:tc>
              <w:tc>
                <w:tcPr>
                  <w:tcW w:w="1747" w:type="pct"/>
                  <w:vAlign w:val="center"/>
                </w:tcPr>
                <w:p>
                  <w:pPr>
                    <w:jc w:val="center"/>
                    <w:rPr>
                      <w:color w:val="auto"/>
                    </w:rPr>
                  </w:pPr>
                  <w:r>
                    <w:rPr>
                      <w:color w:val="auto"/>
                      <w:sz w:val="24"/>
                    </w:rPr>
                    <w:t>最大8小时值超标天数</w:t>
                  </w:r>
                </w:p>
              </w:tc>
              <w:tc>
                <w:tcPr>
                  <w:tcW w:w="2636" w:type="pct"/>
                  <w:gridSpan w:val="4"/>
                  <w:vAlign w:val="center"/>
                </w:tcPr>
                <w:p>
                  <w:pPr>
                    <w:jc w:val="center"/>
                    <w:rPr>
                      <w:color w:val="auto"/>
                    </w:rPr>
                  </w:pPr>
                  <w:r>
                    <w:rPr>
                      <w:color w:val="auto"/>
                    </w:rPr>
                    <w:t>O</w:t>
                  </w:r>
                  <w:r>
                    <w:rPr>
                      <w:color w:val="auto"/>
                      <w:vertAlign w:val="subscript"/>
                    </w:rPr>
                    <w:t>3</w:t>
                  </w:r>
                  <w:r>
                    <w:rPr>
                      <w:color w:val="auto"/>
                    </w:rPr>
                    <w:t>日最大8小时值超标天数52天</w:t>
                  </w:r>
                </w:p>
              </w:tc>
            </w:tr>
          </w:tbl>
          <w:p>
            <w:pPr>
              <w:spacing w:beforeLines="50" w:line="360" w:lineRule="auto"/>
              <w:ind w:firstLine="480" w:firstLineChars="200"/>
              <w:jc w:val="left"/>
              <w:rPr>
                <w:color w:val="auto"/>
                <w:sz w:val="24"/>
              </w:rPr>
            </w:pPr>
            <w:r>
              <w:rPr>
                <w:color w:val="auto"/>
                <w:sz w:val="24"/>
              </w:rPr>
              <w:t>根据《2021年南京市环境状况公报》统计结果，2021年项目所在区域六项污染物中O</w:t>
            </w:r>
            <w:r>
              <w:rPr>
                <w:color w:val="auto"/>
                <w:sz w:val="24"/>
                <w:vertAlign w:val="subscript"/>
              </w:rPr>
              <w:t>3</w:t>
            </w:r>
            <w:r>
              <w:rPr>
                <w:color w:val="auto"/>
                <w:sz w:val="24"/>
              </w:rPr>
              <w:t>不达标，项目所在区域为城市环境空气质量不达标区。</w:t>
            </w:r>
            <w:r>
              <w:rPr>
                <w:rFonts w:hint="eastAsia"/>
                <w:color w:val="auto"/>
                <w:sz w:val="24"/>
              </w:rPr>
              <w:t>江宁</w:t>
            </w:r>
            <w:r>
              <w:rPr>
                <w:rFonts w:ascii="宋体" w:hAnsi="宋体" w:cs="宋体"/>
                <w:color w:val="auto"/>
                <w:sz w:val="24"/>
              </w:rPr>
              <w:t>区将采取措施改善大气环境， 主要包括调整优化产业结构、加快调整能源结构、积极调整运输结构、优化调整用地结构、实施重大专项行动、有效应对重污染天气、完善环境经济政策和加强基础能力建设等，全面提升环境空气质量水平。</w:t>
            </w:r>
          </w:p>
          <w:p>
            <w:pPr>
              <w:widowControl/>
              <w:spacing w:line="360" w:lineRule="auto"/>
              <w:ind w:firstLine="480" w:firstLineChars="200"/>
              <w:rPr>
                <w:color w:val="auto"/>
                <w:kern w:val="0"/>
                <w:sz w:val="24"/>
              </w:rPr>
            </w:pPr>
            <w:r>
              <w:rPr>
                <w:color w:val="auto"/>
                <w:kern w:val="0"/>
                <w:sz w:val="24"/>
              </w:rPr>
              <w:t>为提高环境</w:t>
            </w:r>
            <w:r>
              <w:rPr>
                <w:rFonts w:ascii="宋体" w:hAnsi="宋体" w:cs="宋体"/>
                <w:color w:val="auto"/>
                <w:sz w:val="24"/>
              </w:rPr>
              <w:t>空气质量，需贯</w:t>
            </w:r>
            <w:r>
              <w:rPr>
                <w:color w:val="auto"/>
                <w:kern w:val="0"/>
                <w:sz w:val="24"/>
              </w:rPr>
              <w:t>彻落实《2022年南京市深入打好污染防治攻坚战目标任务》，推动能源节约和结构优化、构建绿色低碳产业体系、推进城乡建设绿色低碳发展、参与碳市场交易、全面实施碳达峰行动、开展低碳技术创新攻坚、提升生态碳汇能力、深入开展绿色系列创建。</w:t>
            </w:r>
          </w:p>
          <w:p>
            <w:pPr>
              <w:spacing w:line="360" w:lineRule="auto"/>
              <w:ind w:firstLine="482" w:firstLineChars="200"/>
              <w:rPr>
                <w:b/>
                <w:bCs/>
                <w:color w:val="auto"/>
                <w:sz w:val="24"/>
              </w:rPr>
            </w:pPr>
            <w:r>
              <w:rPr>
                <w:b/>
                <w:bCs/>
                <w:color w:val="auto"/>
                <w:sz w:val="24"/>
              </w:rPr>
              <w:t>（</w:t>
            </w:r>
            <w:r>
              <w:rPr>
                <w:rFonts w:hint="eastAsia"/>
                <w:b/>
                <w:bCs/>
                <w:color w:val="auto"/>
                <w:sz w:val="24"/>
              </w:rPr>
              <w:t>2</w:t>
            </w:r>
            <w:r>
              <w:rPr>
                <w:b/>
                <w:bCs/>
                <w:color w:val="auto"/>
                <w:sz w:val="24"/>
              </w:rPr>
              <w:t>）大气特征污染物补充监测调查</w:t>
            </w:r>
          </w:p>
          <w:p>
            <w:pPr>
              <w:spacing w:line="360" w:lineRule="auto"/>
              <w:ind w:firstLine="480" w:firstLineChars="200"/>
              <w:rPr>
                <w:color w:val="auto"/>
                <w:sz w:val="24"/>
              </w:rPr>
            </w:pPr>
            <w:r>
              <w:rPr>
                <w:rFonts w:hint="eastAsia" w:ascii="宋体" w:hAnsi="宋体" w:cs="宋体"/>
                <w:color w:val="auto"/>
                <w:sz w:val="24"/>
              </w:rPr>
              <w:t>①</w:t>
            </w:r>
            <w:r>
              <w:rPr>
                <w:color w:val="auto"/>
                <w:sz w:val="24"/>
              </w:rPr>
              <w:t>补充监测调查项目：非甲烷总烃、HCl委托江苏国恒检测有限公司对厂区下风向，西300米处进行了检测（报告编号：编号：JSGHEL2022489）。</w:t>
            </w:r>
          </w:p>
          <w:p>
            <w:pPr>
              <w:spacing w:line="360" w:lineRule="auto"/>
              <w:ind w:firstLine="480" w:firstLineChars="200"/>
              <w:rPr>
                <w:color w:val="auto"/>
                <w:sz w:val="24"/>
              </w:rPr>
            </w:pPr>
            <w:r>
              <w:rPr>
                <w:rFonts w:hint="eastAsia" w:ascii="宋体" w:hAnsi="宋体" w:cs="宋体"/>
                <w:color w:val="auto"/>
                <w:sz w:val="24"/>
              </w:rPr>
              <w:t>②</w:t>
            </w:r>
            <w:r>
              <w:rPr>
                <w:color w:val="auto"/>
                <w:sz w:val="24"/>
              </w:rPr>
              <w:t>监测时间及频次：监测时间为2022年6月23日~6月25日，连续监测3天。小时平均浓度每天监测4次，每次采样时间45分钟。</w:t>
            </w:r>
          </w:p>
          <w:p>
            <w:pPr>
              <w:spacing w:line="360" w:lineRule="auto"/>
              <w:ind w:firstLine="480" w:firstLineChars="200"/>
              <w:rPr>
                <w:color w:val="auto"/>
                <w:sz w:val="24"/>
              </w:rPr>
            </w:pPr>
            <w:r>
              <w:rPr>
                <w:rFonts w:hint="eastAsia" w:ascii="宋体" w:hAnsi="宋体" w:cs="宋体"/>
                <w:color w:val="auto"/>
                <w:sz w:val="24"/>
              </w:rPr>
              <w:t>③</w:t>
            </w:r>
            <w:r>
              <w:rPr>
                <w:color w:val="auto"/>
                <w:sz w:val="24"/>
              </w:rPr>
              <w:t>监测结果：根据表3-2，厂区下风向300米处监测点位的非甲烷总烃</w:t>
            </w:r>
            <w:r>
              <w:rPr>
                <w:rFonts w:hint="eastAsia"/>
                <w:color w:val="auto"/>
                <w:sz w:val="24"/>
              </w:rPr>
              <w:t>、</w:t>
            </w:r>
            <w:r>
              <w:rPr>
                <w:color w:val="auto"/>
                <w:sz w:val="24"/>
              </w:rPr>
              <w:t>HCl</w:t>
            </w:r>
          </w:p>
          <w:p>
            <w:pPr>
              <w:spacing w:line="360" w:lineRule="auto"/>
              <w:rPr>
                <w:color w:val="auto"/>
                <w:sz w:val="24"/>
              </w:rPr>
            </w:pPr>
            <w:r>
              <w:rPr>
                <w:color w:val="auto"/>
                <w:sz w:val="24"/>
              </w:rPr>
              <w:t>特征因子达标。</w:t>
            </w:r>
          </w:p>
          <w:p>
            <w:pPr>
              <w:spacing w:line="360" w:lineRule="auto"/>
              <w:jc w:val="center"/>
              <w:rPr>
                <w:b/>
                <w:bCs/>
                <w:color w:val="auto"/>
                <w:sz w:val="24"/>
              </w:rPr>
            </w:pPr>
            <w:r>
              <w:rPr>
                <w:b/>
                <w:bCs/>
                <w:color w:val="auto"/>
                <w:sz w:val="24"/>
              </w:rPr>
              <w:t>表3-2  区域大气环境质量现状 单位：mg/m</w:t>
            </w:r>
            <w:r>
              <w:rPr>
                <w:b/>
                <w:bCs/>
                <w:color w:val="auto"/>
                <w:sz w:val="24"/>
                <w:vertAlign w:val="superscript"/>
              </w:rPr>
              <w:t>3</w:t>
            </w:r>
            <w:r>
              <w:rPr>
                <w:b/>
                <w:bCs/>
                <w:color w:val="auto"/>
                <w:sz w:val="24"/>
              </w:rPr>
              <w:t>（在监测）</w:t>
            </w:r>
          </w:p>
          <w:tbl>
            <w:tblPr>
              <w:tblStyle w:val="3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6"/>
              <w:gridCol w:w="706"/>
              <w:gridCol w:w="1131"/>
              <w:gridCol w:w="1100"/>
              <w:gridCol w:w="1582"/>
              <w:gridCol w:w="1210"/>
              <w:gridCol w:w="945"/>
              <w:gridCol w:w="9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956" w:type="dxa"/>
                  <w:vMerge w:val="restart"/>
                  <w:vAlign w:val="center"/>
                </w:tcPr>
                <w:p>
                  <w:pPr>
                    <w:jc w:val="center"/>
                    <w:rPr>
                      <w:color w:val="auto"/>
                      <w:szCs w:val="21"/>
                    </w:rPr>
                  </w:pPr>
                  <w:r>
                    <w:rPr>
                      <w:color w:val="auto"/>
                      <w:szCs w:val="21"/>
                    </w:rPr>
                    <w:t>监测</w:t>
                  </w:r>
                </w:p>
                <w:p>
                  <w:pPr>
                    <w:jc w:val="center"/>
                    <w:rPr>
                      <w:color w:val="auto"/>
                      <w:szCs w:val="21"/>
                    </w:rPr>
                  </w:pPr>
                  <w:r>
                    <w:rPr>
                      <w:color w:val="auto"/>
                      <w:szCs w:val="21"/>
                    </w:rPr>
                    <w:t>点位</w:t>
                  </w:r>
                </w:p>
              </w:tc>
              <w:tc>
                <w:tcPr>
                  <w:tcW w:w="1837" w:type="dxa"/>
                  <w:gridSpan w:val="2"/>
                  <w:vAlign w:val="center"/>
                </w:tcPr>
                <w:p>
                  <w:pPr>
                    <w:jc w:val="center"/>
                    <w:rPr>
                      <w:color w:val="auto"/>
                      <w:szCs w:val="21"/>
                    </w:rPr>
                  </w:pPr>
                  <w:r>
                    <w:rPr>
                      <w:color w:val="auto"/>
                      <w:szCs w:val="21"/>
                    </w:rPr>
                    <w:t>距离本项目位置</w:t>
                  </w:r>
                </w:p>
              </w:tc>
              <w:tc>
                <w:tcPr>
                  <w:tcW w:w="1100" w:type="dxa"/>
                  <w:vMerge w:val="restart"/>
                  <w:vAlign w:val="center"/>
                </w:tcPr>
                <w:p>
                  <w:pPr>
                    <w:jc w:val="center"/>
                    <w:rPr>
                      <w:color w:val="auto"/>
                      <w:szCs w:val="21"/>
                    </w:rPr>
                  </w:pPr>
                  <w:r>
                    <w:rPr>
                      <w:color w:val="auto"/>
                      <w:szCs w:val="21"/>
                    </w:rPr>
                    <w:t>名称</w:t>
                  </w:r>
                </w:p>
              </w:tc>
              <w:tc>
                <w:tcPr>
                  <w:tcW w:w="1580" w:type="dxa"/>
                  <w:vMerge w:val="restart"/>
                  <w:vAlign w:val="center"/>
                </w:tcPr>
                <w:p>
                  <w:pPr>
                    <w:jc w:val="center"/>
                    <w:rPr>
                      <w:color w:val="auto"/>
                      <w:szCs w:val="21"/>
                    </w:rPr>
                  </w:pPr>
                  <w:r>
                    <w:rPr>
                      <w:color w:val="auto"/>
                      <w:szCs w:val="21"/>
                    </w:rPr>
                    <w:t>小时平均浓度范围</w:t>
                  </w:r>
                  <w:r>
                    <w:rPr>
                      <w:rFonts w:hint="eastAsia"/>
                      <w:color w:val="auto"/>
                      <w:szCs w:val="21"/>
                    </w:rPr>
                    <w:t>（mg/m</w:t>
                  </w:r>
                  <w:r>
                    <w:rPr>
                      <w:rFonts w:hint="eastAsia"/>
                      <w:color w:val="auto"/>
                      <w:szCs w:val="21"/>
                      <w:vertAlign w:val="superscript"/>
                    </w:rPr>
                    <w:t>3</w:t>
                  </w:r>
                  <w:r>
                    <w:rPr>
                      <w:rFonts w:hint="eastAsia"/>
                      <w:color w:val="auto"/>
                      <w:szCs w:val="21"/>
                    </w:rPr>
                    <w:t>）</w:t>
                  </w:r>
                </w:p>
              </w:tc>
              <w:tc>
                <w:tcPr>
                  <w:tcW w:w="1210" w:type="dxa"/>
                  <w:vMerge w:val="restart"/>
                  <w:vAlign w:val="center"/>
                </w:tcPr>
                <w:p>
                  <w:pPr>
                    <w:jc w:val="center"/>
                    <w:rPr>
                      <w:color w:val="auto"/>
                      <w:szCs w:val="21"/>
                    </w:rPr>
                  </w:pPr>
                  <w:r>
                    <w:rPr>
                      <w:rFonts w:hint="eastAsia"/>
                      <w:color w:val="auto"/>
                      <w:szCs w:val="21"/>
                    </w:rPr>
                    <w:t>标准值</w:t>
                  </w:r>
                </w:p>
                <w:p>
                  <w:pPr>
                    <w:jc w:val="center"/>
                    <w:rPr>
                      <w:color w:val="auto"/>
                      <w:szCs w:val="21"/>
                    </w:rPr>
                  </w:pPr>
                  <w:r>
                    <w:rPr>
                      <w:rFonts w:hint="eastAsia"/>
                      <w:color w:val="auto"/>
                      <w:szCs w:val="21"/>
                    </w:rPr>
                    <w:t>（mg/m</w:t>
                  </w:r>
                  <w:r>
                    <w:rPr>
                      <w:rFonts w:hint="eastAsia"/>
                      <w:color w:val="auto"/>
                      <w:szCs w:val="21"/>
                      <w:vertAlign w:val="superscript"/>
                    </w:rPr>
                    <w:t>3</w:t>
                  </w:r>
                  <w:r>
                    <w:rPr>
                      <w:rFonts w:hint="eastAsia"/>
                      <w:color w:val="auto"/>
                      <w:szCs w:val="21"/>
                    </w:rPr>
                    <w:t>）</w:t>
                  </w:r>
                </w:p>
              </w:tc>
              <w:tc>
                <w:tcPr>
                  <w:tcW w:w="945" w:type="dxa"/>
                  <w:vMerge w:val="restart"/>
                  <w:vAlign w:val="center"/>
                </w:tcPr>
                <w:p>
                  <w:pPr>
                    <w:jc w:val="center"/>
                    <w:rPr>
                      <w:color w:val="auto"/>
                      <w:szCs w:val="21"/>
                    </w:rPr>
                  </w:pPr>
                  <w:r>
                    <w:rPr>
                      <w:rFonts w:hint="eastAsia"/>
                      <w:color w:val="auto"/>
                      <w:szCs w:val="21"/>
                    </w:rPr>
                    <w:t>最大浓度占标率（%）</w:t>
                  </w:r>
                </w:p>
              </w:tc>
              <w:tc>
                <w:tcPr>
                  <w:tcW w:w="931" w:type="dxa"/>
                  <w:vMerge w:val="restart"/>
                  <w:vAlign w:val="center"/>
                </w:tcPr>
                <w:p>
                  <w:pPr>
                    <w:jc w:val="center"/>
                    <w:rPr>
                      <w:color w:val="auto"/>
                      <w:szCs w:val="21"/>
                    </w:rPr>
                  </w:pPr>
                  <w:r>
                    <w:rPr>
                      <w:rFonts w:hint="eastAsia"/>
                      <w:color w:val="auto"/>
                      <w:szCs w:val="21"/>
                    </w:rPr>
                    <w:t>达标</w:t>
                  </w:r>
                </w:p>
                <w:p>
                  <w:pPr>
                    <w:jc w:val="center"/>
                    <w:rPr>
                      <w:color w:val="auto"/>
                      <w:szCs w:val="21"/>
                    </w:rPr>
                  </w:pPr>
                  <w:r>
                    <w:rPr>
                      <w:rFonts w:hint="eastAsia"/>
                      <w:color w:val="auto"/>
                      <w:szCs w:val="21"/>
                    </w:rPr>
                    <w:t>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956" w:type="dxa"/>
                  <w:vMerge w:val="continue"/>
                  <w:vAlign w:val="center"/>
                </w:tcPr>
                <w:p>
                  <w:pPr>
                    <w:jc w:val="center"/>
                    <w:rPr>
                      <w:color w:val="auto"/>
                      <w:szCs w:val="21"/>
                    </w:rPr>
                  </w:pPr>
                </w:p>
              </w:tc>
              <w:tc>
                <w:tcPr>
                  <w:tcW w:w="706" w:type="dxa"/>
                  <w:vAlign w:val="center"/>
                </w:tcPr>
                <w:p>
                  <w:pPr>
                    <w:jc w:val="center"/>
                    <w:rPr>
                      <w:color w:val="auto"/>
                      <w:szCs w:val="21"/>
                    </w:rPr>
                  </w:pPr>
                  <w:r>
                    <w:rPr>
                      <w:color w:val="auto"/>
                      <w:szCs w:val="21"/>
                    </w:rPr>
                    <w:t>方位</w:t>
                  </w:r>
                </w:p>
              </w:tc>
              <w:tc>
                <w:tcPr>
                  <w:tcW w:w="1131" w:type="dxa"/>
                  <w:vAlign w:val="center"/>
                </w:tcPr>
                <w:p>
                  <w:pPr>
                    <w:jc w:val="center"/>
                    <w:rPr>
                      <w:color w:val="auto"/>
                      <w:szCs w:val="21"/>
                    </w:rPr>
                  </w:pPr>
                  <w:r>
                    <w:rPr>
                      <w:color w:val="auto"/>
                      <w:szCs w:val="21"/>
                    </w:rPr>
                    <w:t>距离（米）</w:t>
                  </w:r>
                </w:p>
              </w:tc>
              <w:tc>
                <w:tcPr>
                  <w:tcW w:w="1100" w:type="dxa"/>
                  <w:vMerge w:val="continue"/>
                  <w:vAlign w:val="center"/>
                </w:tcPr>
                <w:p>
                  <w:pPr>
                    <w:jc w:val="center"/>
                    <w:rPr>
                      <w:color w:val="auto"/>
                      <w:szCs w:val="21"/>
                    </w:rPr>
                  </w:pPr>
                </w:p>
              </w:tc>
              <w:tc>
                <w:tcPr>
                  <w:tcW w:w="1582" w:type="dxa"/>
                  <w:vMerge w:val="continue"/>
                  <w:vAlign w:val="center"/>
                </w:tcPr>
                <w:p>
                  <w:pPr>
                    <w:jc w:val="center"/>
                    <w:rPr>
                      <w:color w:val="auto"/>
                      <w:szCs w:val="21"/>
                    </w:rPr>
                  </w:pPr>
                </w:p>
              </w:tc>
              <w:tc>
                <w:tcPr>
                  <w:tcW w:w="1208" w:type="dxa"/>
                  <w:vMerge w:val="continue"/>
                  <w:vAlign w:val="center"/>
                </w:tcPr>
                <w:p>
                  <w:pPr>
                    <w:jc w:val="center"/>
                    <w:rPr>
                      <w:color w:val="auto"/>
                      <w:szCs w:val="21"/>
                    </w:rPr>
                  </w:pPr>
                </w:p>
              </w:tc>
              <w:tc>
                <w:tcPr>
                  <w:tcW w:w="945" w:type="dxa"/>
                  <w:vMerge w:val="continue"/>
                  <w:vAlign w:val="center"/>
                </w:tcPr>
                <w:p>
                  <w:pPr>
                    <w:jc w:val="center"/>
                    <w:rPr>
                      <w:color w:val="auto"/>
                      <w:szCs w:val="21"/>
                    </w:rPr>
                  </w:pPr>
                </w:p>
              </w:tc>
              <w:tc>
                <w:tcPr>
                  <w:tcW w:w="931" w:type="dxa"/>
                  <w:vMerge w:val="continue"/>
                  <w:vAlign w:val="center"/>
                </w:tcPr>
                <w:p>
                  <w:pPr>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956" w:type="dxa"/>
                  <w:vMerge w:val="restart"/>
                  <w:vAlign w:val="center"/>
                </w:tcPr>
                <w:p>
                  <w:pPr>
                    <w:jc w:val="center"/>
                    <w:rPr>
                      <w:color w:val="auto"/>
                      <w:szCs w:val="21"/>
                    </w:rPr>
                  </w:pPr>
                  <w:r>
                    <w:rPr>
                      <w:color w:val="auto"/>
                      <w:szCs w:val="21"/>
                    </w:rPr>
                    <w:t>厂区下风向（西北方向）</w:t>
                  </w:r>
                </w:p>
              </w:tc>
              <w:tc>
                <w:tcPr>
                  <w:tcW w:w="706" w:type="dxa"/>
                  <w:vMerge w:val="restart"/>
                  <w:vAlign w:val="center"/>
                </w:tcPr>
                <w:p>
                  <w:pPr>
                    <w:jc w:val="center"/>
                    <w:rPr>
                      <w:color w:val="auto"/>
                      <w:szCs w:val="21"/>
                    </w:rPr>
                  </w:pPr>
                  <w:r>
                    <w:rPr>
                      <w:color w:val="auto"/>
                      <w:szCs w:val="21"/>
                    </w:rPr>
                    <w:t>西北</w:t>
                  </w:r>
                </w:p>
              </w:tc>
              <w:tc>
                <w:tcPr>
                  <w:tcW w:w="1131" w:type="dxa"/>
                  <w:vMerge w:val="restart"/>
                  <w:vAlign w:val="center"/>
                </w:tcPr>
                <w:p>
                  <w:pPr>
                    <w:jc w:val="center"/>
                    <w:rPr>
                      <w:color w:val="auto"/>
                      <w:szCs w:val="21"/>
                    </w:rPr>
                  </w:pPr>
                  <w:r>
                    <w:rPr>
                      <w:color w:val="auto"/>
                      <w:szCs w:val="21"/>
                    </w:rPr>
                    <w:t>300</w:t>
                  </w:r>
                </w:p>
              </w:tc>
              <w:tc>
                <w:tcPr>
                  <w:tcW w:w="1100" w:type="dxa"/>
                  <w:vAlign w:val="center"/>
                </w:tcPr>
                <w:p>
                  <w:pPr>
                    <w:jc w:val="center"/>
                    <w:rPr>
                      <w:color w:val="auto"/>
                      <w:szCs w:val="21"/>
                    </w:rPr>
                  </w:pPr>
                  <w:r>
                    <w:rPr>
                      <w:color w:val="auto"/>
                      <w:szCs w:val="21"/>
                    </w:rPr>
                    <w:t>非甲烷</w:t>
                  </w:r>
                </w:p>
                <w:p>
                  <w:pPr>
                    <w:jc w:val="center"/>
                    <w:rPr>
                      <w:color w:val="auto"/>
                      <w:szCs w:val="21"/>
                    </w:rPr>
                  </w:pPr>
                  <w:r>
                    <w:rPr>
                      <w:color w:val="auto"/>
                      <w:szCs w:val="21"/>
                    </w:rPr>
                    <w:cr/>
                  </w:r>
                  <w:r>
                    <w:rPr>
                      <w:rStyle w:val="43"/>
                      <w:rFonts w:hint="eastAsia"/>
                      <w:color w:val="auto"/>
                      <w:kern w:val="0"/>
                      <w:szCs w:val="20"/>
                    </w:rPr>
                    <w:t>总</w:t>
                  </w:r>
                  <w:r>
                    <w:rPr>
                      <w:color w:val="auto"/>
                      <w:szCs w:val="21"/>
                    </w:rPr>
                    <w:t>烃</w:t>
                  </w:r>
                </w:p>
              </w:tc>
              <w:tc>
                <w:tcPr>
                  <w:tcW w:w="1582" w:type="dxa"/>
                  <w:vAlign w:val="center"/>
                </w:tcPr>
                <w:p>
                  <w:pPr>
                    <w:jc w:val="center"/>
                    <w:rPr>
                      <w:color w:val="auto"/>
                      <w:szCs w:val="21"/>
                    </w:rPr>
                  </w:pPr>
                  <w:r>
                    <w:rPr>
                      <w:color w:val="auto"/>
                      <w:szCs w:val="21"/>
                    </w:rPr>
                    <w:t>0.15~0.56</w:t>
                  </w:r>
                </w:p>
              </w:tc>
              <w:tc>
                <w:tcPr>
                  <w:tcW w:w="1208" w:type="dxa"/>
                  <w:vAlign w:val="center"/>
                </w:tcPr>
                <w:p>
                  <w:pPr>
                    <w:jc w:val="center"/>
                    <w:rPr>
                      <w:color w:val="auto"/>
                      <w:szCs w:val="21"/>
                    </w:rPr>
                  </w:pPr>
                  <w:r>
                    <w:rPr>
                      <w:rFonts w:hint="eastAsia"/>
                      <w:color w:val="auto"/>
                      <w:szCs w:val="21"/>
                    </w:rPr>
                    <w:t>2</w:t>
                  </w:r>
                </w:p>
              </w:tc>
              <w:tc>
                <w:tcPr>
                  <w:tcW w:w="945" w:type="dxa"/>
                  <w:vAlign w:val="center"/>
                </w:tcPr>
                <w:p>
                  <w:pPr>
                    <w:jc w:val="center"/>
                    <w:rPr>
                      <w:color w:val="auto"/>
                      <w:szCs w:val="21"/>
                    </w:rPr>
                  </w:pPr>
                  <w:r>
                    <w:rPr>
                      <w:rFonts w:hint="eastAsia"/>
                      <w:color w:val="auto"/>
                      <w:szCs w:val="21"/>
                    </w:rPr>
                    <w:t>28</w:t>
                  </w:r>
                </w:p>
              </w:tc>
              <w:tc>
                <w:tcPr>
                  <w:tcW w:w="931" w:type="dxa"/>
                  <w:vAlign w:val="center"/>
                </w:tcPr>
                <w:p>
                  <w:pPr>
                    <w:jc w:val="center"/>
                    <w:rPr>
                      <w:color w:val="auto"/>
                      <w:szCs w:val="21"/>
                    </w:rPr>
                  </w:pPr>
                  <w:r>
                    <w:rPr>
                      <w:rFonts w:hint="eastAsia"/>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956" w:type="dxa"/>
                  <w:vMerge w:val="continue"/>
                  <w:vAlign w:val="center"/>
                </w:tcPr>
                <w:p>
                  <w:pPr>
                    <w:jc w:val="center"/>
                    <w:rPr>
                      <w:color w:val="auto"/>
                      <w:szCs w:val="21"/>
                    </w:rPr>
                  </w:pPr>
                </w:p>
              </w:tc>
              <w:tc>
                <w:tcPr>
                  <w:tcW w:w="706" w:type="dxa"/>
                  <w:vMerge w:val="continue"/>
                  <w:vAlign w:val="center"/>
                </w:tcPr>
                <w:p>
                  <w:pPr>
                    <w:jc w:val="center"/>
                    <w:rPr>
                      <w:color w:val="auto"/>
                      <w:szCs w:val="21"/>
                    </w:rPr>
                  </w:pPr>
                </w:p>
              </w:tc>
              <w:tc>
                <w:tcPr>
                  <w:tcW w:w="1131" w:type="dxa"/>
                  <w:vMerge w:val="continue"/>
                  <w:vAlign w:val="center"/>
                </w:tcPr>
                <w:p>
                  <w:pPr>
                    <w:jc w:val="center"/>
                    <w:rPr>
                      <w:color w:val="auto"/>
                      <w:szCs w:val="21"/>
                    </w:rPr>
                  </w:pPr>
                </w:p>
              </w:tc>
              <w:tc>
                <w:tcPr>
                  <w:tcW w:w="1100" w:type="dxa"/>
                  <w:vAlign w:val="center"/>
                </w:tcPr>
                <w:p>
                  <w:pPr>
                    <w:jc w:val="center"/>
                    <w:rPr>
                      <w:color w:val="auto"/>
                      <w:szCs w:val="21"/>
                    </w:rPr>
                  </w:pPr>
                  <w:r>
                    <w:rPr>
                      <w:color w:val="auto"/>
                      <w:szCs w:val="21"/>
                    </w:rPr>
                    <w:t>HCl</w:t>
                  </w:r>
                </w:p>
              </w:tc>
              <w:tc>
                <w:tcPr>
                  <w:tcW w:w="1582" w:type="dxa"/>
                  <w:vAlign w:val="center"/>
                </w:tcPr>
                <w:p>
                  <w:pPr>
                    <w:jc w:val="center"/>
                    <w:rPr>
                      <w:color w:val="auto"/>
                      <w:szCs w:val="21"/>
                    </w:rPr>
                  </w:pPr>
                  <w:r>
                    <w:rPr>
                      <w:color w:val="auto"/>
                      <w:szCs w:val="21"/>
                    </w:rPr>
                    <w:t>未检出</w:t>
                  </w:r>
                </w:p>
              </w:tc>
              <w:tc>
                <w:tcPr>
                  <w:tcW w:w="1208" w:type="dxa"/>
                  <w:vAlign w:val="center"/>
                </w:tcPr>
                <w:p>
                  <w:pPr>
                    <w:jc w:val="center"/>
                    <w:rPr>
                      <w:color w:val="auto"/>
                      <w:szCs w:val="21"/>
                    </w:rPr>
                  </w:pPr>
                  <w:r>
                    <w:rPr>
                      <w:rFonts w:hint="eastAsia"/>
                      <w:color w:val="auto"/>
                      <w:szCs w:val="21"/>
                    </w:rPr>
                    <w:t>0.05</w:t>
                  </w:r>
                </w:p>
              </w:tc>
              <w:tc>
                <w:tcPr>
                  <w:tcW w:w="945" w:type="dxa"/>
                  <w:vAlign w:val="center"/>
                </w:tcPr>
                <w:p>
                  <w:pPr>
                    <w:jc w:val="center"/>
                    <w:rPr>
                      <w:color w:val="auto"/>
                      <w:szCs w:val="21"/>
                    </w:rPr>
                  </w:pPr>
                  <w:r>
                    <w:rPr>
                      <w:color w:val="auto"/>
                      <w:szCs w:val="21"/>
                    </w:rPr>
                    <w:t>--</w:t>
                  </w:r>
                </w:p>
              </w:tc>
              <w:tc>
                <w:tcPr>
                  <w:tcW w:w="931" w:type="dxa"/>
                  <w:vAlign w:val="center"/>
                </w:tcPr>
                <w:p>
                  <w:pPr>
                    <w:jc w:val="center"/>
                    <w:rPr>
                      <w:color w:val="auto"/>
                      <w:szCs w:val="21"/>
                    </w:rPr>
                  </w:pPr>
                  <w:r>
                    <w:rPr>
                      <w:rFonts w:hint="eastAsia"/>
                      <w:color w:val="auto"/>
                      <w:szCs w:val="21"/>
                    </w:rPr>
                    <w:t>达标</w:t>
                  </w:r>
                </w:p>
              </w:tc>
            </w:tr>
          </w:tbl>
          <w:p>
            <w:pPr>
              <w:spacing w:beforeLines="50" w:line="360" w:lineRule="auto"/>
              <w:ind w:firstLine="480" w:firstLineChars="200"/>
              <w:rPr>
                <w:color w:val="auto"/>
                <w:sz w:val="24"/>
              </w:rPr>
            </w:pPr>
            <w:r>
              <w:rPr>
                <w:color w:val="auto"/>
                <w:sz w:val="24"/>
              </w:rPr>
              <w:t>依据监测结果，项目所在地非甲烷总烃满足《大气污染物综合排放标准详解》标准限值，氯化氢满足《环境影响评价技术导则大气环境》（HJ2.2-2018）附录D标准限值。</w:t>
            </w:r>
          </w:p>
          <w:p>
            <w:pPr>
              <w:numPr>
                <w:ilvl w:val="0"/>
                <w:numId w:val="8"/>
              </w:numPr>
              <w:adjustRightInd w:val="0"/>
              <w:snapToGrid w:val="0"/>
              <w:spacing w:line="360" w:lineRule="auto"/>
              <w:jc w:val="left"/>
              <w:rPr>
                <w:b/>
                <w:bCs/>
                <w:color w:val="auto"/>
                <w:sz w:val="24"/>
              </w:rPr>
            </w:pPr>
            <w:r>
              <w:rPr>
                <w:b/>
                <w:bCs/>
                <w:color w:val="auto"/>
                <w:sz w:val="24"/>
              </w:rPr>
              <w:t>地表水环境</w:t>
            </w:r>
          </w:p>
          <w:p>
            <w:pPr>
              <w:spacing w:beforeLines="50" w:line="360" w:lineRule="auto"/>
              <w:ind w:firstLine="480" w:firstLineChars="200"/>
              <w:rPr>
                <w:color w:val="auto"/>
                <w:sz w:val="24"/>
              </w:rPr>
            </w:pPr>
            <w:r>
              <w:rPr>
                <w:color w:val="auto"/>
                <w:sz w:val="24"/>
              </w:rPr>
              <w:t>根据《2021年南京市环境状况公报》，全市水环境质量持续优良。纳入江苏省“十四五”水环境考核目标的42个地表水断面水质全部达标，水质优良（《地表水环境质量标准》</w:t>
            </w:r>
            <w:r>
              <w:rPr>
                <w:rFonts w:hint="eastAsia" w:ascii="宋体" w:hAnsi="宋体" w:cs="宋体"/>
                <w:color w:val="auto"/>
                <w:sz w:val="24"/>
              </w:rPr>
              <w:t>Ⅲ</w:t>
            </w:r>
            <w:r>
              <w:rPr>
                <w:color w:val="auto"/>
                <w:sz w:val="24"/>
              </w:rPr>
              <w:t>类及以上）比例为100%，无丧失使用功能（《地表水环境质量标准》劣</w:t>
            </w:r>
            <w:r>
              <w:rPr>
                <w:rFonts w:hint="eastAsia" w:ascii="宋体" w:hAnsi="宋体" w:cs="宋体"/>
                <w:color w:val="auto"/>
                <w:sz w:val="24"/>
              </w:rPr>
              <w:t>Ⅴ</w:t>
            </w:r>
            <w:r>
              <w:rPr>
                <w:color w:val="auto"/>
                <w:sz w:val="24"/>
              </w:rPr>
              <w:t>类）断面。</w:t>
            </w:r>
          </w:p>
          <w:p>
            <w:pPr>
              <w:numPr>
                <w:ilvl w:val="0"/>
                <w:numId w:val="8"/>
              </w:numPr>
              <w:adjustRightInd w:val="0"/>
              <w:snapToGrid w:val="0"/>
              <w:spacing w:line="360" w:lineRule="auto"/>
              <w:jc w:val="left"/>
              <w:rPr>
                <w:b/>
                <w:bCs/>
                <w:color w:val="auto"/>
                <w:sz w:val="24"/>
              </w:rPr>
            </w:pPr>
            <w:r>
              <w:rPr>
                <w:b/>
                <w:bCs/>
                <w:color w:val="auto"/>
                <w:sz w:val="24"/>
              </w:rPr>
              <w:t>声环境</w:t>
            </w:r>
          </w:p>
          <w:p>
            <w:pPr>
              <w:pStyle w:val="12"/>
              <w:spacing w:line="360" w:lineRule="auto"/>
              <w:ind w:firstLine="480" w:firstLineChars="200"/>
              <w:rPr>
                <w:color w:val="auto"/>
              </w:rPr>
            </w:pPr>
            <w:r>
              <w:rPr>
                <w:color w:val="auto"/>
              </w:rPr>
              <w:t>根据《江宁经济技术开发区总体发展规划（2020-2035）》环评，项目所在区域为2类区域</w:t>
            </w:r>
            <w:r>
              <w:rPr>
                <w:rFonts w:hint="eastAsia"/>
                <w:color w:val="auto"/>
              </w:rPr>
              <w:t>，</w:t>
            </w:r>
            <w:r>
              <w:rPr>
                <w:color w:val="auto"/>
              </w:rPr>
              <w:t>区域声环境质量执行《声环境质量标准》（GB3096-2008）2类区标准。</w:t>
            </w:r>
          </w:p>
          <w:p>
            <w:pPr>
              <w:pStyle w:val="12"/>
              <w:spacing w:line="360" w:lineRule="auto"/>
              <w:ind w:firstLine="480" w:firstLineChars="200"/>
              <w:rPr>
                <w:color w:val="auto"/>
                <w:szCs w:val="24"/>
              </w:rPr>
            </w:pPr>
            <w:r>
              <w:rPr>
                <w:color w:val="auto"/>
                <w:szCs w:val="24"/>
              </w:rPr>
              <w:t>根据《2021年南京市环境状况公报》，全市区域噪声监测点位534个。2021年，城区区域环境噪声均值为53.9dB，与上年同期持平；郊区区域环境噪声均值为52.2dB，同比下降0.6dB。</w:t>
            </w:r>
          </w:p>
          <w:p>
            <w:pPr>
              <w:pStyle w:val="12"/>
              <w:spacing w:line="360" w:lineRule="auto"/>
              <w:ind w:firstLine="480" w:firstLineChars="200"/>
              <w:rPr>
                <w:color w:val="auto"/>
                <w:szCs w:val="24"/>
              </w:rPr>
            </w:pPr>
            <w:r>
              <w:rPr>
                <w:color w:val="auto"/>
                <w:szCs w:val="24"/>
              </w:rPr>
              <w:t>全市功能区噪声监测点位28个。2021年，昼间噪声达标率为97.3%，同比下降1.8个百分点；夜间噪声达标率为93.8%，同比持平。</w:t>
            </w:r>
          </w:p>
          <w:p>
            <w:pPr>
              <w:pStyle w:val="12"/>
              <w:spacing w:line="360" w:lineRule="auto"/>
              <w:ind w:firstLine="480" w:firstLineChars="200"/>
              <w:rPr>
                <w:color w:val="auto"/>
                <w:szCs w:val="24"/>
              </w:rPr>
            </w:pPr>
            <w:r>
              <w:rPr>
                <w:color w:val="auto"/>
                <w:szCs w:val="24"/>
              </w:rPr>
              <w:t>项目厂界外50m范围内无声环境保护目标，无需进行声环境质量现状监测。</w:t>
            </w:r>
          </w:p>
          <w:p>
            <w:pPr>
              <w:numPr>
                <w:ilvl w:val="0"/>
                <w:numId w:val="8"/>
              </w:numPr>
              <w:adjustRightInd w:val="0"/>
              <w:snapToGrid w:val="0"/>
              <w:spacing w:line="360" w:lineRule="auto"/>
              <w:jc w:val="left"/>
              <w:rPr>
                <w:b/>
                <w:bCs/>
                <w:color w:val="auto"/>
                <w:sz w:val="24"/>
              </w:rPr>
            </w:pPr>
            <w:r>
              <w:rPr>
                <w:b/>
                <w:bCs/>
                <w:color w:val="auto"/>
                <w:sz w:val="24"/>
              </w:rPr>
              <w:t>生态环境</w:t>
            </w:r>
          </w:p>
          <w:p>
            <w:pPr>
              <w:pStyle w:val="75"/>
              <w:spacing w:line="360" w:lineRule="auto"/>
              <w:ind w:firstLine="480" w:firstLineChars="200"/>
              <w:jc w:val="left"/>
              <w:rPr>
                <w:rFonts w:ascii="Times New Roman" w:hAnsi="Times New Roman" w:eastAsia="宋体"/>
                <w:color w:val="auto"/>
                <w:szCs w:val="24"/>
              </w:rPr>
            </w:pPr>
            <w:r>
              <w:rPr>
                <w:rFonts w:ascii="Times New Roman" w:hAnsi="Times New Roman" w:eastAsia="宋体"/>
                <w:color w:val="auto"/>
                <w:szCs w:val="24"/>
              </w:rPr>
              <w:t>本项目位于南京江宁经济技术开发区秣陵街道康平街2号北方夜视技术股份有限公</w:t>
            </w:r>
            <w:r>
              <w:rPr>
                <w:rFonts w:hint="eastAsia" w:ascii="Times New Roman" w:hAnsi="Times New Roman" w:eastAsia="宋体"/>
                <w:color w:val="auto"/>
                <w:szCs w:val="24"/>
              </w:rPr>
              <w:t>司</w:t>
            </w:r>
            <w:r>
              <w:rPr>
                <w:rFonts w:ascii="Times New Roman" w:hAnsi="Times New Roman" w:eastAsia="宋体"/>
                <w:color w:val="auto"/>
                <w:szCs w:val="24"/>
              </w:rPr>
              <w:t>现有厂房内建设，不新增用地，因此本项目不进行生态环境现状调查。</w:t>
            </w:r>
          </w:p>
          <w:p>
            <w:pPr>
              <w:pStyle w:val="2"/>
              <w:numPr>
                <w:ilvl w:val="0"/>
                <w:numId w:val="8"/>
              </w:numPr>
              <w:spacing w:line="360" w:lineRule="auto"/>
              <w:rPr>
                <w:b/>
                <w:bCs/>
                <w:color w:val="auto"/>
                <w:sz w:val="24"/>
                <w:szCs w:val="24"/>
              </w:rPr>
            </w:pPr>
            <w:r>
              <w:rPr>
                <w:b/>
                <w:bCs/>
                <w:color w:val="auto"/>
                <w:sz w:val="24"/>
                <w:szCs w:val="24"/>
              </w:rPr>
              <w:t>电磁辐射</w:t>
            </w:r>
          </w:p>
          <w:p>
            <w:pPr>
              <w:pStyle w:val="75"/>
              <w:spacing w:line="360" w:lineRule="auto"/>
              <w:ind w:firstLine="480" w:firstLineChars="200"/>
              <w:jc w:val="left"/>
              <w:rPr>
                <w:rFonts w:ascii="Times New Roman" w:hAnsi="Times New Roman" w:eastAsia="宋体"/>
                <w:color w:val="auto"/>
                <w:szCs w:val="24"/>
              </w:rPr>
            </w:pPr>
            <w:r>
              <w:rPr>
                <w:rFonts w:ascii="Times New Roman" w:hAnsi="Times New Roman" w:eastAsia="宋体"/>
                <w:color w:val="auto"/>
                <w:szCs w:val="24"/>
              </w:rPr>
              <w:t>本项目不涉及电磁辐射，故本项目不进行电磁辐射现状监测与评价。</w:t>
            </w:r>
          </w:p>
          <w:p>
            <w:pPr>
              <w:numPr>
                <w:ilvl w:val="0"/>
                <w:numId w:val="8"/>
              </w:numPr>
              <w:adjustRightInd w:val="0"/>
              <w:snapToGrid w:val="0"/>
              <w:spacing w:line="360" w:lineRule="auto"/>
              <w:jc w:val="left"/>
              <w:rPr>
                <w:b/>
                <w:bCs/>
                <w:color w:val="auto"/>
                <w:sz w:val="24"/>
              </w:rPr>
            </w:pPr>
            <w:r>
              <w:rPr>
                <w:b/>
                <w:bCs/>
                <w:color w:val="auto"/>
                <w:sz w:val="24"/>
              </w:rPr>
              <w:t>地下水和土壤</w:t>
            </w:r>
          </w:p>
          <w:p>
            <w:pPr>
              <w:pStyle w:val="3"/>
              <w:spacing w:line="360" w:lineRule="auto"/>
              <w:ind w:firstLine="480" w:firstLineChars="200"/>
              <w:jc w:val="left"/>
              <w:rPr>
                <w:color w:val="auto"/>
                <w:sz w:val="24"/>
                <w:szCs w:val="24"/>
              </w:rPr>
            </w:pPr>
            <w:r>
              <w:rPr>
                <w:color w:val="auto"/>
                <w:sz w:val="24"/>
                <w:szCs w:val="24"/>
              </w:rPr>
              <w:t>本项目厂区内部已做好地面硬化、防渗等措施，不存在土壤、地下水环境污染途径，无需进行地下水、土壤现状调查。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60" w:hRule="atLeast"/>
        </w:trPr>
        <w:tc>
          <w:tcPr>
            <w:tcW w:w="294" w:type="pct"/>
            <w:vAlign w:val="center"/>
          </w:tcPr>
          <w:p>
            <w:pPr>
              <w:adjustRightInd w:val="0"/>
              <w:snapToGrid w:val="0"/>
              <w:jc w:val="center"/>
              <w:rPr>
                <w:color w:val="auto"/>
                <w:kern w:val="0"/>
                <w:sz w:val="24"/>
              </w:rPr>
            </w:pPr>
            <w:r>
              <w:rPr>
                <w:color w:val="auto"/>
                <w:kern w:val="0"/>
                <w:sz w:val="24"/>
              </w:rPr>
              <w:t>环境保护目标</w:t>
            </w:r>
          </w:p>
        </w:tc>
        <w:tc>
          <w:tcPr>
            <w:tcW w:w="4705" w:type="pct"/>
            <w:vAlign w:val="center"/>
          </w:tcPr>
          <w:p>
            <w:pPr>
              <w:numPr>
                <w:ilvl w:val="0"/>
                <w:numId w:val="9"/>
              </w:numPr>
              <w:adjustRightInd w:val="0"/>
              <w:snapToGrid w:val="0"/>
              <w:spacing w:beforeLines="50" w:line="360" w:lineRule="auto"/>
              <w:rPr>
                <w:b/>
                <w:bCs/>
                <w:color w:val="auto"/>
                <w:sz w:val="24"/>
              </w:rPr>
            </w:pPr>
            <w:r>
              <w:rPr>
                <w:b/>
                <w:bCs/>
                <w:color w:val="auto"/>
                <w:sz w:val="24"/>
              </w:rPr>
              <w:t>大气环境</w:t>
            </w:r>
          </w:p>
          <w:p>
            <w:pPr>
              <w:spacing w:line="360" w:lineRule="auto"/>
              <w:ind w:firstLine="480" w:firstLineChars="200"/>
              <w:rPr>
                <w:color w:val="auto"/>
                <w:kern w:val="21"/>
                <w:sz w:val="24"/>
              </w:rPr>
            </w:pPr>
            <w:r>
              <w:rPr>
                <w:color w:val="auto"/>
                <w:sz w:val="24"/>
              </w:rPr>
              <w:t>建设项目</w:t>
            </w:r>
            <w:r>
              <w:rPr>
                <w:color w:val="auto"/>
                <w:kern w:val="0"/>
                <w:sz w:val="24"/>
              </w:rPr>
              <w:t>位于</w:t>
            </w:r>
            <w:r>
              <w:rPr>
                <w:color w:val="auto"/>
                <w:sz w:val="24"/>
              </w:rPr>
              <w:t>南京江宁经济技术开发区秣陵街道康平街2号北方夜视技术股份有限公司现有8号厂房内</w:t>
            </w:r>
            <w:r>
              <w:rPr>
                <w:color w:val="auto"/>
                <w:kern w:val="0"/>
                <w:sz w:val="24"/>
              </w:rPr>
              <w:t>。项目500m范围内有居民区</w:t>
            </w:r>
            <w:r>
              <w:rPr>
                <w:color w:val="auto"/>
                <w:kern w:val="21"/>
                <w:sz w:val="24"/>
              </w:rPr>
              <w:t>科嘉花园</w:t>
            </w:r>
            <w:r>
              <w:rPr>
                <w:color w:val="auto"/>
                <w:kern w:val="0"/>
                <w:sz w:val="24"/>
              </w:rPr>
              <w:t>。</w:t>
            </w:r>
          </w:p>
          <w:p>
            <w:pPr>
              <w:spacing w:line="360" w:lineRule="auto"/>
              <w:jc w:val="center"/>
              <w:rPr>
                <w:color w:val="auto"/>
                <w:kern w:val="0"/>
                <w:sz w:val="24"/>
              </w:rPr>
            </w:pPr>
            <w:r>
              <w:rPr>
                <w:b/>
                <w:bCs/>
                <w:color w:val="auto"/>
                <w:kern w:val="0"/>
                <w:sz w:val="24"/>
              </w:rPr>
              <w:t>表3-3大气环境</w:t>
            </w:r>
            <w:r>
              <w:rPr>
                <w:rFonts w:hint="eastAsia"/>
                <w:b/>
                <w:bCs/>
                <w:color w:val="auto"/>
                <w:kern w:val="0"/>
                <w:sz w:val="24"/>
              </w:rPr>
              <w:t>保护</w:t>
            </w:r>
            <w:r>
              <w:rPr>
                <w:b/>
                <w:bCs/>
                <w:color w:val="auto"/>
                <w:kern w:val="0"/>
                <w:sz w:val="24"/>
              </w:rPr>
              <w:t>目标</w:t>
            </w:r>
          </w:p>
          <w:tbl>
            <w:tblPr>
              <w:tblStyle w:val="34"/>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9"/>
              <w:gridCol w:w="1286"/>
              <w:gridCol w:w="536"/>
              <w:gridCol w:w="944"/>
              <w:gridCol w:w="884"/>
              <w:gridCol w:w="742"/>
              <w:gridCol w:w="889"/>
              <w:gridCol w:w="21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40" w:hRule="atLeast"/>
                <w:jc w:val="center"/>
              </w:trPr>
              <w:tc>
                <w:tcPr>
                  <w:tcW w:w="625" w:type="pct"/>
                  <w:vAlign w:val="center"/>
                </w:tcPr>
                <w:p>
                  <w:pPr>
                    <w:jc w:val="center"/>
                    <w:rPr>
                      <w:color w:val="auto"/>
                    </w:rPr>
                  </w:pPr>
                  <w:r>
                    <w:rPr>
                      <w:rFonts w:hint="eastAsia"/>
                      <w:color w:val="auto"/>
                    </w:rPr>
                    <w:t>类别</w:t>
                  </w:r>
                </w:p>
              </w:tc>
              <w:tc>
                <w:tcPr>
                  <w:tcW w:w="753" w:type="pct"/>
                  <w:vAlign w:val="center"/>
                </w:tcPr>
                <w:p>
                  <w:pPr>
                    <w:jc w:val="center"/>
                    <w:rPr>
                      <w:color w:val="auto"/>
                    </w:rPr>
                  </w:pPr>
                  <w:r>
                    <w:rPr>
                      <w:color w:val="auto"/>
                    </w:rPr>
                    <w:t>坐标*</w:t>
                  </w:r>
                </w:p>
              </w:tc>
              <w:tc>
                <w:tcPr>
                  <w:tcW w:w="314" w:type="pct"/>
                  <w:vAlign w:val="center"/>
                </w:tcPr>
                <w:p>
                  <w:pPr>
                    <w:jc w:val="center"/>
                    <w:rPr>
                      <w:color w:val="auto"/>
                    </w:rPr>
                  </w:pPr>
                  <w:r>
                    <w:rPr>
                      <w:color w:val="auto"/>
                    </w:rPr>
                    <w:t>方位</w:t>
                  </w:r>
                </w:p>
              </w:tc>
              <w:tc>
                <w:tcPr>
                  <w:tcW w:w="553" w:type="pct"/>
                  <w:vAlign w:val="center"/>
                </w:tcPr>
                <w:p>
                  <w:pPr>
                    <w:jc w:val="center"/>
                    <w:rPr>
                      <w:color w:val="auto"/>
                    </w:rPr>
                  </w:pPr>
                  <w:r>
                    <w:rPr>
                      <w:color w:val="auto"/>
                    </w:rPr>
                    <w:t>相对厂界距离距离（m）*</w:t>
                  </w:r>
                </w:p>
              </w:tc>
              <w:tc>
                <w:tcPr>
                  <w:tcW w:w="518" w:type="pct"/>
                  <w:vAlign w:val="center"/>
                </w:tcPr>
                <w:p>
                  <w:pPr>
                    <w:jc w:val="center"/>
                    <w:rPr>
                      <w:color w:val="auto"/>
                    </w:rPr>
                  </w:pPr>
                  <w:r>
                    <w:rPr>
                      <w:color w:val="auto"/>
                    </w:rPr>
                    <w:t>保护</w:t>
                  </w:r>
                </w:p>
                <w:p>
                  <w:pPr>
                    <w:jc w:val="center"/>
                    <w:rPr>
                      <w:color w:val="auto"/>
                    </w:rPr>
                  </w:pPr>
                  <w:r>
                    <w:rPr>
                      <w:color w:val="auto"/>
                    </w:rPr>
                    <w:t>对象</w:t>
                  </w:r>
                </w:p>
              </w:tc>
              <w:tc>
                <w:tcPr>
                  <w:tcW w:w="435" w:type="pct"/>
                  <w:vAlign w:val="center"/>
                </w:tcPr>
                <w:p>
                  <w:pPr>
                    <w:jc w:val="center"/>
                    <w:rPr>
                      <w:color w:val="auto"/>
                    </w:rPr>
                  </w:pPr>
                  <w:r>
                    <w:rPr>
                      <w:color w:val="auto"/>
                    </w:rPr>
                    <w:t>保护内容</w:t>
                  </w:r>
                </w:p>
              </w:tc>
              <w:tc>
                <w:tcPr>
                  <w:tcW w:w="521" w:type="pct"/>
                  <w:vAlign w:val="center"/>
                </w:tcPr>
                <w:p>
                  <w:pPr>
                    <w:jc w:val="center"/>
                    <w:rPr>
                      <w:color w:val="auto"/>
                    </w:rPr>
                  </w:pPr>
                  <w:r>
                    <w:rPr>
                      <w:color w:val="auto"/>
                    </w:rPr>
                    <w:t>规模</w:t>
                  </w:r>
                </w:p>
              </w:tc>
              <w:tc>
                <w:tcPr>
                  <w:tcW w:w="1277" w:type="pct"/>
                  <w:vAlign w:val="center"/>
                </w:tcPr>
                <w:p>
                  <w:pPr>
                    <w:jc w:val="center"/>
                    <w:rPr>
                      <w:color w:val="auto"/>
                    </w:rPr>
                  </w:pPr>
                  <w:r>
                    <w:rPr>
                      <w:color w:val="auto"/>
                    </w:rPr>
                    <w:t>执行标准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1" w:hRule="atLeast"/>
                <w:jc w:val="center"/>
              </w:trPr>
              <w:tc>
                <w:tcPr>
                  <w:tcW w:w="625" w:type="pct"/>
                  <w:tcMar>
                    <w:left w:w="0" w:type="dxa"/>
                    <w:right w:w="0" w:type="dxa"/>
                  </w:tcMar>
                  <w:vAlign w:val="center"/>
                </w:tcPr>
                <w:p>
                  <w:pPr>
                    <w:jc w:val="center"/>
                    <w:rPr>
                      <w:color w:val="auto"/>
                      <w:kern w:val="21"/>
                    </w:rPr>
                  </w:pPr>
                  <w:r>
                    <w:rPr>
                      <w:rFonts w:hint="eastAsia"/>
                      <w:color w:val="auto"/>
                      <w:kern w:val="21"/>
                    </w:rPr>
                    <w:t>大气环境</w:t>
                  </w:r>
                </w:p>
              </w:tc>
              <w:tc>
                <w:tcPr>
                  <w:tcW w:w="753" w:type="pct"/>
                  <w:vAlign w:val="center"/>
                </w:tcPr>
                <w:p>
                  <w:pPr>
                    <w:jc w:val="center"/>
                    <w:rPr>
                      <w:color w:val="auto"/>
                    </w:rPr>
                  </w:pPr>
                  <w:r>
                    <w:rPr>
                      <w:color w:val="auto"/>
                    </w:rPr>
                    <w:t>东经118.782573</w:t>
                  </w:r>
                </w:p>
                <w:p>
                  <w:pPr>
                    <w:jc w:val="center"/>
                    <w:rPr>
                      <w:color w:val="auto"/>
                    </w:rPr>
                  </w:pPr>
                  <w:r>
                    <w:rPr>
                      <w:color w:val="auto"/>
                    </w:rPr>
                    <w:t>北纬31.903337</w:t>
                  </w:r>
                </w:p>
              </w:tc>
              <w:tc>
                <w:tcPr>
                  <w:tcW w:w="314" w:type="pct"/>
                  <w:vAlign w:val="center"/>
                </w:tcPr>
                <w:p>
                  <w:pPr>
                    <w:jc w:val="center"/>
                    <w:rPr>
                      <w:color w:val="auto"/>
                      <w:kern w:val="21"/>
                    </w:rPr>
                  </w:pPr>
                  <w:r>
                    <w:rPr>
                      <w:color w:val="auto"/>
                      <w:kern w:val="21"/>
                    </w:rPr>
                    <w:t>N</w:t>
                  </w:r>
                </w:p>
              </w:tc>
              <w:tc>
                <w:tcPr>
                  <w:tcW w:w="553" w:type="pct"/>
                  <w:vAlign w:val="center"/>
                </w:tcPr>
                <w:p>
                  <w:pPr>
                    <w:jc w:val="center"/>
                    <w:rPr>
                      <w:color w:val="auto"/>
                      <w:kern w:val="21"/>
                    </w:rPr>
                  </w:pPr>
                  <w:r>
                    <w:rPr>
                      <w:color w:val="auto"/>
                      <w:kern w:val="21"/>
                    </w:rPr>
                    <w:t>270</w:t>
                  </w:r>
                </w:p>
              </w:tc>
              <w:tc>
                <w:tcPr>
                  <w:tcW w:w="518" w:type="pct"/>
                  <w:vAlign w:val="center"/>
                </w:tcPr>
                <w:p>
                  <w:pPr>
                    <w:jc w:val="center"/>
                    <w:rPr>
                      <w:color w:val="auto"/>
                    </w:rPr>
                  </w:pPr>
                  <w:r>
                    <w:rPr>
                      <w:color w:val="auto"/>
                    </w:rPr>
                    <w:t>科嘉</w:t>
                  </w:r>
                </w:p>
                <w:p>
                  <w:pPr>
                    <w:jc w:val="center"/>
                    <w:rPr>
                      <w:color w:val="auto"/>
                    </w:rPr>
                  </w:pPr>
                  <w:r>
                    <w:rPr>
                      <w:color w:val="auto"/>
                    </w:rPr>
                    <w:t>花园</w:t>
                  </w:r>
                </w:p>
              </w:tc>
              <w:tc>
                <w:tcPr>
                  <w:tcW w:w="435" w:type="pct"/>
                  <w:vAlign w:val="center"/>
                </w:tcPr>
                <w:p>
                  <w:pPr>
                    <w:jc w:val="center"/>
                    <w:rPr>
                      <w:color w:val="auto"/>
                    </w:rPr>
                  </w:pPr>
                  <w:r>
                    <w:rPr>
                      <w:color w:val="auto"/>
                    </w:rPr>
                    <w:t>居民</w:t>
                  </w:r>
                </w:p>
              </w:tc>
              <w:tc>
                <w:tcPr>
                  <w:tcW w:w="521" w:type="pct"/>
                  <w:vAlign w:val="center"/>
                </w:tcPr>
                <w:p>
                  <w:pPr>
                    <w:jc w:val="center"/>
                    <w:rPr>
                      <w:color w:val="auto"/>
                      <w:kern w:val="21"/>
                    </w:rPr>
                  </w:pPr>
                  <w:r>
                    <w:rPr>
                      <w:color w:val="auto"/>
                      <w:kern w:val="21"/>
                    </w:rPr>
                    <w:t>1500人</w:t>
                  </w:r>
                </w:p>
              </w:tc>
              <w:tc>
                <w:tcPr>
                  <w:tcW w:w="1277" w:type="pct"/>
                  <w:vAlign w:val="center"/>
                </w:tcPr>
                <w:p>
                  <w:pPr>
                    <w:jc w:val="center"/>
                    <w:rPr>
                      <w:color w:val="auto"/>
                    </w:rPr>
                  </w:pPr>
                  <w:r>
                    <w:rPr>
                      <w:color w:val="auto"/>
                    </w:rPr>
                    <w:t>《环境空气质量标准》（GB3095-2012）中二级标准</w:t>
                  </w:r>
                </w:p>
              </w:tc>
            </w:tr>
          </w:tbl>
          <w:p>
            <w:pPr>
              <w:rPr>
                <w:color w:val="auto"/>
              </w:rPr>
            </w:pPr>
            <w:r>
              <w:rPr>
                <w:color w:val="auto"/>
              </w:rPr>
              <w:t>*距离厂界最近点</w:t>
            </w:r>
            <w:r>
              <w:rPr>
                <w:rFonts w:hint="eastAsia"/>
                <w:color w:val="auto"/>
              </w:rPr>
              <w:t>距离</w:t>
            </w:r>
            <w:r>
              <w:rPr>
                <w:color w:val="auto"/>
              </w:rPr>
              <w:t>。</w:t>
            </w:r>
          </w:p>
          <w:p>
            <w:pPr>
              <w:numPr>
                <w:ilvl w:val="0"/>
                <w:numId w:val="9"/>
              </w:numPr>
              <w:adjustRightInd w:val="0"/>
              <w:snapToGrid w:val="0"/>
              <w:spacing w:beforeLines="50" w:line="360" w:lineRule="auto"/>
              <w:rPr>
                <w:b/>
                <w:bCs/>
                <w:color w:val="auto"/>
                <w:sz w:val="24"/>
              </w:rPr>
            </w:pPr>
            <w:r>
              <w:rPr>
                <w:b/>
                <w:bCs/>
                <w:color w:val="auto"/>
                <w:sz w:val="24"/>
              </w:rPr>
              <w:t>地表水环境</w:t>
            </w:r>
          </w:p>
          <w:p>
            <w:pPr>
              <w:spacing w:line="360" w:lineRule="auto"/>
              <w:ind w:firstLine="480" w:firstLineChars="200"/>
              <w:rPr>
                <w:b/>
                <w:bCs/>
                <w:color w:val="auto"/>
                <w:sz w:val="24"/>
              </w:rPr>
            </w:pPr>
            <w:r>
              <w:rPr>
                <w:color w:val="auto"/>
                <w:sz w:val="24"/>
              </w:rPr>
              <w:t>建设项目</w:t>
            </w:r>
            <w:r>
              <w:rPr>
                <w:color w:val="auto"/>
                <w:kern w:val="0"/>
                <w:sz w:val="24"/>
              </w:rPr>
              <w:t>位于</w:t>
            </w:r>
            <w:r>
              <w:rPr>
                <w:color w:val="auto"/>
                <w:sz w:val="24"/>
              </w:rPr>
              <w:t>南京江宁经济技术开发区秣陵街道康平街2号北方夜视技术股份有限公司现有8号厂房内</w:t>
            </w:r>
            <w:r>
              <w:rPr>
                <w:color w:val="auto"/>
                <w:kern w:val="0"/>
                <w:sz w:val="24"/>
              </w:rPr>
              <w:t>。</w:t>
            </w:r>
            <w:r>
              <w:rPr>
                <w:color w:val="auto"/>
                <w:sz w:val="24"/>
              </w:rPr>
              <w:t>秦淮新河位于</w:t>
            </w:r>
            <w:r>
              <w:rPr>
                <w:color w:val="auto"/>
                <w:kern w:val="0"/>
                <w:sz w:val="24"/>
              </w:rPr>
              <w:t>项目北6300m，牛首山河位于项目东南120m。</w:t>
            </w:r>
          </w:p>
          <w:p>
            <w:pPr>
              <w:spacing w:line="360" w:lineRule="auto"/>
              <w:jc w:val="center"/>
              <w:rPr>
                <w:color w:val="auto"/>
                <w:kern w:val="0"/>
                <w:sz w:val="24"/>
              </w:rPr>
            </w:pPr>
            <w:r>
              <w:rPr>
                <w:b/>
                <w:bCs/>
                <w:color w:val="auto"/>
                <w:kern w:val="0"/>
                <w:sz w:val="24"/>
              </w:rPr>
              <w:t>表3-4  地表水环境</w:t>
            </w:r>
            <w:r>
              <w:rPr>
                <w:rFonts w:hint="eastAsia"/>
                <w:b/>
                <w:bCs/>
                <w:color w:val="auto"/>
                <w:kern w:val="0"/>
                <w:sz w:val="24"/>
              </w:rPr>
              <w:t>保护</w:t>
            </w:r>
            <w:r>
              <w:rPr>
                <w:b/>
                <w:bCs/>
                <w:color w:val="auto"/>
                <w:kern w:val="0"/>
                <w:sz w:val="24"/>
              </w:rPr>
              <w:t>目标</w:t>
            </w:r>
          </w:p>
          <w:tbl>
            <w:tblPr>
              <w:tblStyle w:val="3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38"/>
              <w:gridCol w:w="959"/>
              <w:gridCol w:w="1703"/>
              <w:gridCol w:w="39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60" w:hRule="atLeast"/>
                <w:jc w:val="center"/>
              </w:trPr>
              <w:tc>
                <w:tcPr>
                  <w:tcW w:w="1135" w:type="pct"/>
                  <w:vAlign w:val="center"/>
                </w:tcPr>
                <w:p>
                  <w:pPr>
                    <w:jc w:val="center"/>
                    <w:rPr>
                      <w:color w:val="auto"/>
                    </w:rPr>
                  </w:pPr>
                  <w:r>
                    <w:rPr>
                      <w:color w:val="auto"/>
                    </w:rPr>
                    <w:t>敏感</w:t>
                  </w:r>
                </w:p>
                <w:p>
                  <w:pPr>
                    <w:jc w:val="center"/>
                    <w:rPr>
                      <w:color w:val="auto"/>
                    </w:rPr>
                  </w:pPr>
                  <w:r>
                    <w:rPr>
                      <w:color w:val="auto"/>
                    </w:rPr>
                    <w:t>目标</w:t>
                  </w:r>
                </w:p>
              </w:tc>
              <w:tc>
                <w:tcPr>
                  <w:tcW w:w="562" w:type="pct"/>
                  <w:vAlign w:val="center"/>
                </w:tcPr>
                <w:p>
                  <w:pPr>
                    <w:jc w:val="center"/>
                    <w:rPr>
                      <w:color w:val="auto"/>
                    </w:rPr>
                  </w:pPr>
                  <w:r>
                    <w:rPr>
                      <w:color w:val="auto"/>
                    </w:rPr>
                    <w:t>方位</w:t>
                  </w:r>
                </w:p>
              </w:tc>
              <w:tc>
                <w:tcPr>
                  <w:tcW w:w="998" w:type="pct"/>
                  <w:vAlign w:val="center"/>
                </w:tcPr>
                <w:p>
                  <w:pPr>
                    <w:jc w:val="center"/>
                    <w:rPr>
                      <w:color w:val="auto"/>
                    </w:rPr>
                  </w:pPr>
                  <w:r>
                    <w:rPr>
                      <w:color w:val="auto"/>
                    </w:rPr>
                    <w:t>相对厂界距离距离（m）</w:t>
                  </w:r>
                </w:p>
              </w:tc>
              <w:tc>
                <w:tcPr>
                  <w:tcW w:w="2305" w:type="pct"/>
                  <w:vAlign w:val="center"/>
                </w:tcPr>
                <w:p>
                  <w:pPr>
                    <w:jc w:val="center"/>
                    <w:rPr>
                      <w:color w:val="auto"/>
                    </w:rPr>
                  </w:pPr>
                  <w:r>
                    <w:rPr>
                      <w:color w:val="auto"/>
                    </w:rPr>
                    <w:t>执行标准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2" w:hRule="atLeast"/>
                <w:jc w:val="center"/>
              </w:trPr>
              <w:tc>
                <w:tcPr>
                  <w:tcW w:w="1135" w:type="pct"/>
                  <w:vAlign w:val="center"/>
                </w:tcPr>
                <w:p>
                  <w:pPr>
                    <w:jc w:val="center"/>
                    <w:rPr>
                      <w:color w:val="auto"/>
                    </w:rPr>
                  </w:pPr>
                  <w:r>
                    <w:rPr>
                      <w:color w:val="auto"/>
                    </w:rPr>
                    <w:t>秦淮新河</w:t>
                  </w:r>
                </w:p>
              </w:tc>
              <w:tc>
                <w:tcPr>
                  <w:tcW w:w="562" w:type="pct"/>
                  <w:vAlign w:val="center"/>
                </w:tcPr>
                <w:p>
                  <w:pPr>
                    <w:jc w:val="center"/>
                    <w:rPr>
                      <w:color w:val="auto"/>
                    </w:rPr>
                  </w:pPr>
                  <w:r>
                    <w:rPr>
                      <w:color w:val="auto"/>
                    </w:rPr>
                    <w:t>N</w:t>
                  </w:r>
                </w:p>
              </w:tc>
              <w:tc>
                <w:tcPr>
                  <w:tcW w:w="998" w:type="pct"/>
                  <w:vAlign w:val="center"/>
                </w:tcPr>
                <w:p>
                  <w:pPr>
                    <w:jc w:val="center"/>
                    <w:rPr>
                      <w:color w:val="auto"/>
                    </w:rPr>
                  </w:pPr>
                  <w:r>
                    <w:rPr>
                      <w:color w:val="auto"/>
                    </w:rPr>
                    <w:t>6300</w:t>
                  </w:r>
                </w:p>
              </w:tc>
              <w:tc>
                <w:tcPr>
                  <w:tcW w:w="2305" w:type="pct"/>
                  <w:vAlign w:val="center"/>
                </w:tcPr>
                <w:p>
                  <w:pPr>
                    <w:jc w:val="center"/>
                    <w:rPr>
                      <w:color w:val="auto"/>
                    </w:rPr>
                  </w:pPr>
                  <w:r>
                    <w:rPr>
                      <w:color w:val="auto"/>
                    </w:rPr>
                    <w:t>《地表水环境质量标准》（GB3838-2002）</w:t>
                  </w:r>
                  <w:r>
                    <w:rPr>
                      <w:rFonts w:hint="eastAsia" w:ascii="宋体" w:hAnsi="宋体" w:cs="宋体"/>
                      <w:color w:val="auto"/>
                    </w:rPr>
                    <w:t>Ⅳ</w:t>
                  </w:r>
                  <w:r>
                    <w:rPr>
                      <w:color w:val="auto"/>
                    </w:rPr>
                    <w:t>类标准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40" w:hRule="atLeast"/>
                <w:jc w:val="center"/>
              </w:trPr>
              <w:tc>
                <w:tcPr>
                  <w:tcW w:w="1135" w:type="pct"/>
                  <w:tcMar>
                    <w:left w:w="0" w:type="dxa"/>
                    <w:right w:w="0" w:type="dxa"/>
                  </w:tcMar>
                  <w:vAlign w:val="center"/>
                </w:tcPr>
                <w:p>
                  <w:pPr>
                    <w:jc w:val="center"/>
                    <w:rPr>
                      <w:color w:val="auto"/>
                    </w:rPr>
                  </w:pPr>
                  <w:r>
                    <w:rPr>
                      <w:color w:val="auto"/>
                    </w:rPr>
                    <w:t>牛首山河</w:t>
                  </w:r>
                </w:p>
              </w:tc>
              <w:tc>
                <w:tcPr>
                  <w:tcW w:w="562" w:type="pct"/>
                  <w:vAlign w:val="center"/>
                </w:tcPr>
                <w:p>
                  <w:pPr>
                    <w:jc w:val="center"/>
                    <w:rPr>
                      <w:color w:val="auto"/>
                    </w:rPr>
                  </w:pPr>
                  <w:r>
                    <w:rPr>
                      <w:color w:val="auto"/>
                    </w:rPr>
                    <w:t>SE</w:t>
                  </w:r>
                </w:p>
              </w:tc>
              <w:tc>
                <w:tcPr>
                  <w:tcW w:w="998" w:type="pct"/>
                  <w:vAlign w:val="center"/>
                </w:tcPr>
                <w:p>
                  <w:pPr>
                    <w:jc w:val="center"/>
                    <w:rPr>
                      <w:color w:val="auto"/>
                    </w:rPr>
                  </w:pPr>
                  <w:r>
                    <w:rPr>
                      <w:color w:val="auto"/>
                    </w:rPr>
                    <w:t>120</w:t>
                  </w:r>
                </w:p>
              </w:tc>
              <w:tc>
                <w:tcPr>
                  <w:tcW w:w="2305" w:type="pct"/>
                  <w:vAlign w:val="center"/>
                </w:tcPr>
                <w:p>
                  <w:pPr>
                    <w:jc w:val="center"/>
                    <w:rPr>
                      <w:color w:val="auto"/>
                    </w:rPr>
                  </w:pPr>
                  <w:r>
                    <w:rPr>
                      <w:color w:val="auto"/>
                    </w:rPr>
                    <w:t>《地表水环境质量标准》（GB3838-2002）</w:t>
                  </w:r>
                  <w:r>
                    <w:rPr>
                      <w:rFonts w:hint="eastAsia" w:ascii="宋体" w:hAnsi="宋体" w:cs="宋体"/>
                      <w:color w:val="auto"/>
                    </w:rPr>
                    <w:t>Ⅳ</w:t>
                  </w:r>
                  <w:r>
                    <w:rPr>
                      <w:color w:val="auto"/>
                    </w:rPr>
                    <w:t>类标准</w:t>
                  </w:r>
                </w:p>
              </w:tc>
            </w:tr>
          </w:tbl>
          <w:p>
            <w:pPr>
              <w:widowControl/>
              <w:spacing w:beforeLines="50" w:line="360" w:lineRule="auto"/>
              <w:jc w:val="left"/>
              <w:rPr>
                <w:color w:val="auto"/>
                <w:sz w:val="24"/>
              </w:rPr>
            </w:pPr>
            <w:r>
              <w:rPr>
                <w:b/>
                <w:bCs/>
                <w:color w:val="auto"/>
                <w:kern w:val="0"/>
                <w:sz w:val="24"/>
              </w:rPr>
              <w:t>3、地下水环境</w:t>
            </w:r>
          </w:p>
          <w:p>
            <w:pPr>
              <w:widowControl/>
              <w:spacing w:line="360" w:lineRule="auto"/>
              <w:ind w:firstLine="480" w:firstLineChars="200"/>
              <w:jc w:val="left"/>
              <w:rPr>
                <w:color w:val="auto"/>
                <w:kern w:val="0"/>
                <w:sz w:val="24"/>
              </w:rPr>
            </w:pPr>
            <w:r>
              <w:rPr>
                <w:color w:val="auto"/>
                <w:kern w:val="0"/>
                <w:sz w:val="24"/>
              </w:rPr>
              <w:t>本项目厂界外500米范围内无地下水集中式饮用水水源和热水、矿泉水、温泉等特殊地下水资源。</w:t>
            </w:r>
          </w:p>
          <w:p>
            <w:pPr>
              <w:widowControl/>
              <w:spacing w:line="360" w:lineRule="auto"/>
              <w:jc w:val="left"/>
              <w:rPr>
                <w:color w:val="auto"/>
                <w:sz w:val="24"/>
              </w:rPr>
            </w:pPr>
            <w:r>
              <w:rPr>
                <w:b/>
                <w:bCs/>
                <w:color w:val="auto"/>
                <w:kern w:val="0"/>
                <w:sz w:val="24"/>
              </w:rPr>
              <w:t>2、声环境</w:t>
            </w:r>
          </w:p>
          <w:p>
            <w:pPr>
              <w:widowControl/>
              <w:spacing w:line="360" w:lineRule="auto"/>
              <w:ind w:firstLine="480" w:firstLineChars="200"/>
              <w:jc w:val="left"/>
              <w:rPr>
                <w:color w:val="auto"/>
                <w:kern w:val="0"/>
                <w:sz w:val="24"/>
              </w:rPr>
            </w:pPr>
            <w:r>
              <w:rPr>
                <w:color w:val="auto"/>
                <w:kern w:val="0"/>
                <w:sz w:val="24"/>
              </w:rPr>
              <w:t>本项目厂界周边50米范围内无声环境</w:t>
            </w:r>
            <w:r>
              <w:rPr>
                <w:rFonts w:hint="eastAsia"/>
                <w:color w:val="auto"/>
                <w:kern w:val="0"/>
                <w:sz w:val="24"/>
              </w:rPr>
              <w:t>保护</w:t>
            </w:r>
            <w:r>
              <w:rPr>
                <w:color w:val="auto"/>
                <w:kern w:val="0"/>
                <w:sz w:val="24"/>
              </w:rPr>
              <w:t>目标。</w:t>
            </w:r>
          </w:p>
          <w:p>
            <w:pPr>
              <w:widowControl/>
              <w:spacing w:line="360" w:lineRule="auto"/>
              <w:jc w:val="left"/>
              <w:rPr>
                <w:color w:val="auto"/>
                <w:sz w:val="24"/>
              </w:rPr>
            </w:pPr>
            <w:r>
              <w:rPr>
                <w:b/>
                <w:bCs/>
                <w:color w:val="auto"/>
                <w:kern w:val="0"/>
                <w:sz w:val="24"/>
              </w:rPr>
              <w:t>4、生态环境</w:t>
            </w:r>
          </w:p>
          <w:p>
            <w:pPr>
              <w:widowControl/>
              <w:spacing w:line="360" w:lineRule="auto"/>
              <w:ind w:firstLine="480" w:firstLineChars="200"/>
              <w:jc w:val="left"/>
              <w:rPr>
                <w:color w:val="auto"/>
                <w:sz w:val="24"/>
              </w:rPr>
            </w:pPr>
            <w:r>
              <w:rPr>
                <w:color w:val="auto"/>
                <w:sz w:val="24"/>
              </w:rPr>
              <w:t>建设项目</w:t>
            </w:r>
            <w:r>
              <w:rPr>
                <w:color w:val="auto"/>
                <w:kern w:val="0"/>
                <w:sz w:val="24"/>
              </w:rPr>
              <w:t>位于</w:t>
            </w:r>
            <w:r>
              <w:rPr>
                <w:color w:val="auto"/>
                <w:sz w:val="24"/>
              </w:rPr>
              <w:t>南京江宁经济技术开发区秣陵街道康平街2号北方夜视技术股份有限公司</w:t>
            </w:r>
            <w:r>
              <w:rPr>
                <w:rFonts w:hint="eastAsia"/>
                <w:color w:val="auto"/>
                <w:sz w:val="24"/>
              </w:rPr>
              <w:t>现有厂房内</w:t>
            </w:r>
            <w:r>
              <w:rPr>
                <w:color w:val="auto"/>
                <w:kern w:val="0"/>
                <w:sz w:val="24"/>
              </w:rPr>
              <w:t>，不新增用地，项目周边无生态环境保护目标。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58" w:hRule="atLeast"/>
        </w:trPr>
        <w:tc>
          <w:tcPr>
            <w:tcW w:w="294" w:type="pct"/>
            <w:tcMar>
              <w:left w:w="28" w:type="dxa"/>
              <w:right w:w="28" w:type="dxa"/>
            </w:tcMar>
            <w:vAlign w:val="center"/>
          </w:tcPr>
          <w:p>
            <w:pPr>
              <w:adjustRightInd w:val="0"/>
              <w:snapToGrid w:val="0"/>
              <w:jc w:val="center"/>
              <w:rPr>
                <w:color w:val="auto"/>
                <w:kern w:val="0"/>
                <w:sz w:val="24"/>
              </w:rPr>
            </w:pPr>
            <w:r>
              <w:rPr>
                <w:color w:val="auto"/>
                <w:kern w:val="0"/>
                <w:sz w:val="24"/>
              </w:rPr>
              <w:t>污染物排放控</w:t>
            </w:r>
          </w:p>
          <w:p>
            <w:pPr>
              <w:adjustRightInd w:val="0"/>
              <w:snapToGrid w:val="0"/>
              <w:jc w:val="center"/>
              <w:rPr>
                <w:color w:val="auto"/>
                <w:kern w:val="0"/>
                <w:szCs w:val="21"/>
              </w:rPr>
            </w:pPr>
            <w:r>
              <w:rPr>
                <w:color w:val="auto"/>
                <w:kern w:val="0"/>
                <w:sz w:val="24"/>
              </w:rPr>
              <w:t>制标准</w:t>
            </w:r>
          </w:p>
        </w:tc>
        <w:tc>
          <w:tcPr>
            <w:tcW w:w="4705" w:type="pct"/>
            <w:vAlign w:val="center"/>
          </w:tcPr>
          <w:p>
            <w:pPr>
              <w:numPr>
                <w:ilvl w:val="0"/>
                <w:numId w:val="10"/>
              </w:numPr>
              <w:spacing w:beforeLines="50" w:line="360" w:lineRule="auto"/>
              <w:rPr>
                <w:b/>
                <w:bCs/>
                <w:color w:val="auto"/>
                <w:sz w:val="24"/>
                <w:shd w:val="clear" w:color="auto" w:fill="FFFFFF"/>
              </w:rPr>
            </w:pPr>
            <w:r>
              <w:rPr>
                <w:b/>
                <w:bCs/>
                <w:color w:val="auto"/>
                <w:sz w:val="24"/>
                <w:shd w:val="clear" w:color="auto" w:fill="FFFFFF"/>
              </w:rPr>
              <w:t>废气污染物排放标准</w:t>
            </w:r>
          </w:p>
          <w:p>
            <w:pPr>
              <w:spacing w:line="360" w:lineRule="auto"/>
              <w:ind w:firstLine="480" w:firstLineChars="200"/>
              <w:rPr>
                <w:color w:val="auto"/>
                <w:sz w:val="24"/>
              </w:rPr>
            </w:pPr>
            <w:r>
              <w:rPr>
                <w:bCs/>
                <w:color w:val="auto"/>
                <w:sz w:val="24"/>
                <w:shd w:val="clear" w:color="auto" w:fill="FFFFFF"/>
              </w:rPr>
              <w:t>本</w:t>
            </w:r>
            <w:r>
              <w:rPr>
                <w:color w:val="auto"/>
                <w:sz w:val="24"/>
                <w:shd w:val="clear" w:color="auto" w:fill="FFFFFF"/>
              </w:rPr>
              <w:t>项目</w:t>
            </w:r>
            <w:r>
              <w:rPr>
                <w:color w:val="auto"/>
                <w:sz w:val="24"/>
              </w:rPr>
              <w:t>废气</w:t>
            </w:r>
            <w:r>
              <w:rPr>
                <w:color w:val="auto"/>
                <w:sz w:val="24"/>
                <w:shd w:val="clear" w:color="auto" w:fill="FFFFFF"/>
              </w:rPr>
              <w:t>执行</w:t>
            </w:r>
            <w:r>
              <w:rPr>
                <w:color w:val="auto"/>
                <w:kern w:val="0"/>
                <w:sz w:val="24"/>
              </w:rPr>
              <w:t>江苏省《大气污染物综合排放标准》</w:t>
            </w:r>
            <w:r>
              <w:rPr>
                <w:color w:val="auto"/>
                <w:sz w:val="24"/>
              </w:rPr>
              <w:t>（DB32/4041-2021）表1、表2和表3</w:t>
            </w:r>
            <w:r>
              <w:rPr>
                <w:color w:val="auto"/>
                <w:sz w:val="24"/>
                <w:shd w:val="clear" w:color="auto" w:fill="FFFFFF"/>
              </w:rPr>
              <w:t>标准，</w:t>
            </w:r>
            <w:r>
              <w:rPr>
                <w:color w:val="auto"/>
                <w:sz w:val="24"/>
              </w:rPr>
              <w:t>具体见下表3-</w:t>
            </w:r>
            <w:r>
              <w:rPr>
                <w:rFonts w:hint="eastAsia"/>
                <w:color w:val="auto"/>
                <w:sz w:val="24"/>
              </w:rPr>
              <w:t>5</w:t>
            </w:r>
            <w:r>
              <w:rPr>
                <w:color w:val="auto"/>
                <w:sz w:val="24"/>
              </w:rPr>
              <w:t>。</w:t>
            </w:r>
          </w:p>
          <w:p>
            <w:pPr>
              <w:spacing w:line="360" w:lineRule="auto"/>
              <w:jc w:val="center"/>
              <w:rPr>
                <w:b/>
                <w:bCs/>
                <w:color w:val="auto"/>
                <w:sz w:val="24"/>
              </w:rPr>
            </w:pPr>
            <w:r>
              <w:rPr>
                <w:b/>
                <w:bCs/>
                <w:color w:val="auto"/>
                <w:sz w:val="24"/>
              </w:rPr>
              <w:t>表3-</w:t>
            </w:r>
            <w:r>
              <w:rPr>
                <w:rFonts w:hint="eastAsia"/>
                <w:b/>
                <w:bCs/>
                <w:color w:val="auto"/>
                <w:sz w:val="24"/>
              </w:rPr>
              <w:t>5</w:t>
            </w:r>
            <w:r>
              <w:rPr>
                <w:b/>
                <w:bCs/>
                <w:color w:val="auto"/>
                <w:sz w:val="24"/>
              </w:rPr>
              <w:t xml:space="preserve">  废气污染物排放标准</w:t>
            </w:r>
          </w:p>
          <w:tbl>
            <w:tblPr>
              <w:tblStyle w:val="3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8"/>
              <w:gridCol w:w="902"/>
              <w:gridCol w:w="922"/>
              <w:gridCol w:w="888"/>
              <w:gridCol w:w="827"/>
              <w:gridCol w:w="1726"/>
              <w:gridCol w:w="1099"/>
              <w:gridCol w:w="15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356" w:type="pct"/>
                  <w:vMerge w:val="restart"/>
                  <w:vAlign w:val="center"/>
                </w:tcPr>
                <w:p>
                  <w:pPr>
                    <w:adjustRightInd w:val="0"/>
                    <w:snapToGrid w:val="0"/>
                    <w:jc w:val="center"/>
                    <w:rPr>
                      <w:color w:val="auto"/>
                      <w:szCs w:val="21"/>
                    </w:rPr>
                  </w:pPr>
                  <w:r>
                    <w:rPr>
                      <w:color w:val="auto"/>
                      <w:szCs w:val="21"/>
                    </w:rPr>
                    <w:t>污染源</w:t>
                  </w:r>
                </w:p>
              </w:tc>
              <w:tc>
                <w:tcPr>
                  <w:tcW w:w="528" w:type="pct"/>
                  <w:vMerge w:val="restart"/>
                  <w:vAlign w:val="center"/>
                </w:tcPr>
                <w:p>
                  <w:pPr>
                    <w:adjustRightInd w:val="0"/>
                    <w:snapToGrid w:val="0"/>
                    <w:jc w:val="center"/>
                    <w:rPr>
                      <w:color w:val="auto"/>
                      <w:szCs w:val="21"/>
                    </w:rPr>
                  </w:pPr>
                  <w:r>
                    <w:rPr>
                      <w:color w:val="auto"/>
                      <w:szCs w:val="21"/>
                    </w:rPr>
                    <w:t>污染物</w:t>
                  </w:r>
                </w:p>
                <w:p>
                  <w:pPr>
                    <w:adjustRightInd w:val="0"/>
                    <w:snapToGrid w:val="0"/>
                    <w:jc w:val="center"/>
                    <w:rPr>
                      <w:color w:val="auto"/>
                      <w:szCs w:val="21"/>
                    </w:rPr>
                  </w:pPr>
                  <w:r>
                    <w:rPr>
                      <w:color w:val="auto"/>
                      <w:szCs w:val="21"/>
                    </w:rPr>
                    <w:t>名称</w:t>
                  </w:r>
                </w:p>
              </w:tc>
              <w:tc>
                <w:tcPr>
                  <w:tcW w:w="1060" w:type="pct"/>
                  <w:gridSpan w:val="2"/>
                  <w:vAlign w:val="center"/>
                </w:tcPr>
                <w:p>
                  <w:pPr>
                    <w:adjustRightInd w:val="0"/>
                    <w:snapToGrid w:val="0"/>
                    <w:jc w:val="center"/>
                    <w:rPr>
                      <w:color w:val="auto"/>
                      <w:szCs w:val="21"/>
                    </w:rPr>
                  </w:pPr>
                  <w:r>
                    <w:rPr>
                      <w:color w:val="auto"/>
                      <w:szCs w:val="21"/>
                    </w:rPr>
                    <w:t>有组织排放</w:t>
                  </w:r>
                </w:p>
              </w:tc>
              <w:tc>
                <w:tcPr>
                  <w:tcW w:w="484" w:type="pct"/>
                  <w:vAlign w:val="center"/>
                </w:tcPr>
                <w:p>
                  <w:pPr>
                    <w:adjustRightInd w:val="0"/>
                    <w:snapToGrid w:val="0"/>
                    <w:jc w:val="center"/>
                    <w:rPr>
                      <w:color w:val="auto"/>
                      <w:szCs w:val="21"/>
                    </w:rPr>
                  </w:pPr>
                </w:p>
              </w:tc>
              <w:tc>
                <w:tcPr>
                  <w:tcW w:w="1655" w:type="pct"/>
                  <w:gridSpan w:val="2"/>
                  <w:vAlign w:val="center"/>
                </w:tcPr>
                <w:p>
                  <w:pPr>
                    <w:adjustRightInd w:val="0"/>
                    <w:snapToGrid w:val="0"/>
                    <w:jc w:val="center"/>
                    <w:rPr>
                      <w:color w:val="auto"/>
                      <w:szCs w:val="21"/>
                    </w:rPr>
                  </w:pPr>
                  <w:r>
                    <w:rPr>
                      <w:color w:val="auto"/>
                      <w:szCs w:val="21"/>
                    </w:rPr>
                    <w:t>无组织排放</w:t>
                  </w:r>
                </w:p>
              </w:tc>
              <w:tc>
                <w:tcPr>
                  <w:tcW w:w="916" w:type="pct"/>
                  <w:vMerge w:val="restart"/>
                  <w:vAlign w:val="center"/>
                </w:tcPr>
                <w:p>
                  <w:pPr>
                    <w:adjustRightInd w:val="0"/>
                    <w:snapToGrid w:val="0"/>
                    <w:jc w:val="center"/>
                    <w:rPr>
                      <w:color w:val="auto"/>
                      <w:szCs w:val="21"/>
                    </w:rPr>
                  </w:pPr>
                  <w:r>
                    <w:rPr>
                      <w:color w:val="auto"/>
                      <w:szCs w:val="21"/>
                    </w:rPr>
                    <w:t>标准来源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56" w:type="pct"/>
                  <w:vMerge w:val="continue"/>
                  <w:vAlign w:val="center"/>
                </w:tcPr>
                <w:p>
                  <w:pPr>
                    <w:adjustRightInd w:val="0"/>
                    <w:snapToGrid w:val="0"/>
                    <w:jc w:val="center"/>
                    <w:rPr>
                      <w:color w:val="auto"/>
                      <w:szCs w:val="21"/>
                    </w:rPr>
                  </w:pPr>
                </w:p>
              </w:tc>
              <w:tc>
                <w:tcPr>
                  <w:tcW w:w="528" w:type="pct"/>
                  <w:vMerge w:val="continue"/>
                  <w:vAlign w:val="center"/>
                </w:tcPr>
                <w:p>
                  <w:pPr>
                    <w:adjustRightInd w:val="0"/>
                    <w:snapToGrid w:val="0"/>
                    <w:jc w:val="center"/>
                    <w:rPr>
                      <w:color w:val="auto"/>
                      <w:szCs w:val="21"/>
                    </w:rPr>
                  </w:pPr>
                </w:p>
              </w:tc>
              <w:tc>
                <w:tcPr>
                  <w:tcW w:w="540" w:type="pct"/>
                  <w:vAlign w:val="center"/>
                </w:tcPr>
                <w:p>
                  <w:pPr>
                    <w:adjustRightInd w:val="0"/>
                    <w:snapToGrid w:val="0"/>
                    <w:jc w:val="center"/>
                    <w:rPr>
                      <w:color w:val="auto"/>
                      <w:szCs w:val="21"/>
                    </w:rPr>
                  </w:pPr>
                  <w:r>
                    <w:rPr>
                      <w:color w:val="auto"/>
                      <w:szCs w:val="21"/>
                    </w:rPr>
                    <w:t>最高允许排放浓度(mg/m</w:t>
                  </w:r>
                  <w:r>
                    <w:rPr>
                      <w:color w:val="auto"/>
                      <w:szCs w:val="21"/>
                      <w:vertAlign w:val="superscript"/>
                    </w:rPr>
                    <w:t>3</w:t>
                  </w:r>
                  <w:r>
                    <w:rPr>
                      <w:color w:val="auto"/>
                      <w:szCs w:val="21"/>
                    </w:rPr>
                    <w:t>)</w:t>
                  </w:r>
                </w:p>
              </w:tc>
              <w:tc>
                <w:tcPr>
                  <w:tcW w:w="520" w:type="pct"/>
                  <w:vAlign w:val="center"/>
                </w:tcPr>
                <w:p>
                  <w:pPr>
                    <w:adjustRightInd w:val="0"/>
                    <w:snapToGrid w:val="0"/>
                    <w:jc w:val="center"/>
                    <w:rPr>
                      <w:color w:val="auto"/>
                      <w:szCs w:val="21"/>
                    </w:rPr>
                  </w:pPr>
                  <w:r>
                    <w:rPr>
                      <w:color w:val="auto"/>
                      <w:szCs w:val="21"/>
                    </w:rPr>
                    <w:t>最高允许排放速率(kg/h)</w:t>
                  </w:r>
                </w:p>
              </w:tc>
              <w:tc>
                <w:tcPr>
                  <w:tcW w:w="484" w:type="pct"/>
                  <w:vAlign w:val="center"/>
                </w:tcPr>
                <w:p>
                  <w:pPr>
                    <w:adjustRightInd w:val="0"/>
                    <w:snapToGrid w:val="0"/>
                    <w:jc w:val="center"/>
                    <w:rPr>
                      <w:color w:val="auto"/>
                      <w:szCs w:val="21"/>
                    </w:rPr>
                  </w:pPr>
                  <w:r>
                    <w:rPr>
                      <w:color w:val="auto"/>
                      <w:szCs w:val="21"/>
                    </w:rPr>
                    <w:t>排气筒</w:t>
                  </w:r>
                </w:p>
                <w:p>
                  <w:pPr>
                    <w:adjustRightInd w:val="0"/>
                    <w:snapToGrid w:val="0"/>
                    <w:jc w:val="center"/>
                    <w:rPr>
                      <w:color w:val="auto"/>
                      <w:szCs w:val="21"/>
                    </w:rPr>
                  </w:pPr>
                  <w:r>
                    <w:rPr>
                      <w:color w:val="auto"/>
                      <w:szCs w:val="21"/>
                    </w:rPr>
                    <w:t>（m）</w:t>
                  </w:r>
                </w:p>
              </w:tc>
              <w:tc>
                <w:tcPr>
                  <w:tcW w:w="1011" w:type="pct"/>
                  <w:vAlign w:val="center"/>
                </w:tcPr>
                <w:p>
                  <w:pPr>
                    <w:adjustRightInd w:val="0"/>
                    <w:snapToGrid w:val="0"/>
                    <w:jc w:val="center"/>
                    <w:rPr>
                      <w:color w:val="auto"/>
                      <w:szCs w:val="21"/>
                    </w:rPr>
                  </w:pPr>
                  <w:r>
                    <w:rPr>
                      <w:color w:val="auto"/>
                      <w:szCs w:val="21"/>
                    </w:rPr>
                    <w:t>监控点</w:t>
                  </w:r>
                </w:p>
              </w:tc>
              <w:tc>
                <w:tcPr>
                  <w:tcW w:w="643" w:type="pct"/>
                  <w:vAlign w:val="center"/>
                </w:tcPr>
                <w:p>
                  <w:pPr>
                    <w:adjustRightInd w:val="0"/>
                    <w:snapToGrid w:val="0"/>
                    <w:jc w:val="center"/>
                    <w:rPr>
                      <w:color w:val="auto"/>
                      <w:szCs w:val="21"/>
                    </w:rPr>
                  </w:pPr>
                  <w:r>
                    <w:rPr>
                      <w:color w:val="auto"/>
                      <w:szCs w:val="21"/>
                    </w:rPr>
                    <w:t>浓度(mg/m</w:t>
                  </w:r>
                  <w:r>
                    <w:rPr>
                      <w:color w:val="auto"/>
                      <w:szCs w:val="21"/>
                      <w:vertAlign w:val="superscript"/>
                    </w:rPr>
                    <w:t>3</w:t>
                  </w:r>
                  <w:r>
                    <w:rPr>
                      <w:color w:val="auto"/>
                      <w:szCs w:val="21"/>
                    </w:rPr>
                    <w:t>)</w:t>
                  </w:r>
                </w:p>
              </w:tc>
              <w:tc>
                <w:tcPr>
                  <w:tcW w:w="916" w:type="pct"/>
                  <w:vMerge w:val="continue"/>
                  <w:vAlign w:val="center"/>
                </w:tcPr>
                <w:p>
                  <w:pPr>
                    <w:adjustRightInd w:val="0"/>
                    <w:snapToGrid w:val="0"/>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356" w:type="pct"/>
                  <w:vAlign w:val="center"/>
                </w:tcPr>
                <w:p>
                  <w:pPr>
                    <w:adjustRightInd w:val="0"/>
                    <w:snapToGrid w:val="0"/>
                    <w:jc w:val="center"/>
                    <w:rPr>
                      <w:color w:val="auto"/>
                      <w:szCs w:val="21"/>
                    </w:rPr>
                  </w:pPr>
                  <w:r>
                    <w:rPr>
                      <w:color w:val="auto"/>
                      <w:szCs w:val="21"/>
                    </w:rPr>
                    <w:t>P2</w:t>
                  </w:r>
                </w:p>
                <w:p>
                  <w:pPr>
                    <w:adjustRightInd w:val="0"/>
                    <w:snapToGrid w:val="0"/>
                    <w:jc w:val="center"/>
                    <w:rPr>
                      <w:color w:val="auto"/>
                      <w:szCs w:val="21"/>
                    </w:rPr>
                  </w:pPr>
                  <w:r>
                    <w:rPr>
                      <w:rFonts w:hint="eastAsia"/>
                      <w:color w:val="auto"/>
                      <w:szCs w:val="21"/>
                    </w:rPr>
                    <w:t>P3</w:t>
                  </w:r>
                </w:p>
              </w:tc>
              <w:tc>
                <w:tcPr>
                  <w:tcW w:w="528" w:type="pct"/>
                  <w:vAlign w:val="center"/>
                </w:tcPr>
                <w:p>
                  <w:pPr>
                    <w:adjustRightInd w:val="0"/>
                    <w:snapToGrid w:val="0"/>
                    <w:jc w:val="center"/>
                    <w:rPr>
                      <w:color w:val="auto"/>
                      <w:szCs w:val="21"/>
                    </w:rPr>
                  </w:pPr>
                  <w:r>
                    <w:rPr>
                      <w:color w:val="auto"/>
                      <w:szCs w:val="21"/>
                    </w:rPr>
                    <w:t>非甲烷总烃</w:t>
                  </w:r>
                </w:p>
              </w:tc>
              <w:tc>
                <w:tcPr>
                  <w:tcW w:w="540" w:type="pct"/>
                  <w:vAlign w:val="center"/>
                </w:tcPr>
                <w:p>
                  <w:pPr>
                    <w:adjustRightInd w:val="0"/>
                    <w:snapToGrid w:val="0"/>
                    <w:jc w:val="center"/>
                    <w:rPr>
                      <w:color w:val="auto"/>
                      <w:szCs w:val="21"/>
                    </w:rPr>
                  </w:pPr>
                  <w:r>
                    <w:rPr>
                      <w:color w:val="auto"/>
                      <w:szCs w:val="21"/>
                    </w:rPr>
                    <w:t>60</w:t>
                  </w:r>
                </w:p>
              </w:tc>
              <w:tc>
                <w:tcPr>
                  <w:tcW w:w="520" w:type="pct"/>
                  <w:vAlign w:val="center"/>
                </w:tcPr>
                <w:p>
                  <w:pPr>
                    <w:adjustRightInd w:val="0"/>
                    <w:snapToGrid w:val="0"/>
                    <w:jc w:val="center"/>
                    <w:rPr>
                      <w:color w:val="auto"/>
                      <w:szCs w:val="21"/>
                    </w:rPr>
                  </w:pPr>
                  <w:r>
                    <w:rPr>
                      <w:color w:val="auto"/>
                      <w:szCs w:val="21"/>
                    </w:rPr>
                    <w:t>3</w:t>
                  </w:r>
                </w:p>
              </w:tc>
              <w:tc>
                <w:tcPr>
                  <w:tcW w:w="484" w:type="pct"/>
                  <w:vMerge w:val="restart"/>
                  <w:vAlign w:val="center"/>
                </w:tcPr>
                <w:p>
                  <w:pPr>
                    <w:adjustRightInd w:val="0"/>
                    <w:snapToGrid w:val="0"/>
                    <w:jc w:val="center"/>
                    <w:rPr>
                      <w:color w:val="auto"/>
                      <w:szCs w:val="21"/>
                    </w:rPr>
                  </w:pPr>
                  <w:r>
                    <w:rPr>
                      <w:color w:val="auto"/>
                      <w:szCs w:val="21"/>
                    </w:rPr>
                    <w:t>15</w:t>
                  </w:r>
                </w:p>
              </w:tc>
              <w:tc>
                <w:tcPr>
                  <w:tcW w:w="1011" w:type="pct"/>
                  <w:vMerge w:val="restart"/>
                  <w:vAlign w:val="center"/>
                </w:tcPr>
                <w:p>
                  <w:pPr>
                    <w:adjustRightInd w:val="0"/>
                    <w:snapToGrid w:val="0"/>
                    <w:jc w:val="center"/>
                    <w:rPr>
                      <w:color w:val="auto"/>
                      <w:szCs w:val="21"/>
                    </w:rPr>
                  </w:pPr>
                  <w:r>
                    <w:rPr>
                      <w:color w:val="auto"/>
                      <w:szCs w:val="21"/>
                    </w:rPr>
                    <w:t>边界外浓度最高点</w:t>
                  </w:r>
                </w:p>
              </w:tc>
              <w:tc>
                <w:tcPr>
                  <w:tcW w:w="643" w:type="pct"/>
                  <w:vAlign w:val="center"/>
                </w:tcPr>
                <w:p>
                  <w:pPr>
                    <w:adjustRightInd w:val="0"/>
                    <w:snapToGrid w:val="0"/>
                    <w:jc w:val="center"/>
                    <w:rPr>
                      <w:color w:val="auto"/>
                      <w:szCs w:val="21"/>
                    </w:rPr>
                  </w:pPr>
                  <w:r>
                    <w:rPr>
                      <w:color w:val="auto"/>
                      <w:szCs w:val="21"/>
                    </w:rPr>
                    <w:t>4</w:t>
                  </w:r>
                </w:p>
              </w:tc>
              <w:tc>
                <w:tcPr>
                  <w:tcW w:w="916" w:type="pct"/>
                  <w:vMerge w:val="restart"/>
                  <w:vAlign w:val="center"/>
                </w:tcPr>
                <w:p>
                  <w:pPr>
                    <w:adjustRightInd w:val="0"/>
                    <w:snapToGrid w:val="0"/>
                    <w:jc w:val="center"/>
                    <w:rPr>
                      <w:color w:val="auto"/>
                      <w:szCs w:val="21"/>
                    </w:rPr>
                  </w:pPr>
                  <w:r>
                    <w:rPr>
                      <w:color w:val="auto"/>
                      <w:szCs w:val="21"/>
                    </w:rPr>
                    <w:t>《大气污染物综合排放标准》(DB32/4041—2021)表1</w:t>
                  </w:r>
                  <w:r>
                    <w:rPr>
                      <w:rFonts w:hint="eastAsia"/>
                      <w:color w:val="auto"/>
                      <w:szCs w:val="21"/>
                    </w:rPr>
                    <w:t>、</w:t>
                  </w:r>
                  <w:r>
                    <w:rPr>
                      <w:color w:val="auto"/>
                      <w:szCs w:val="21"/>
                    </w:rPr>
                    <w:t>表3</w:t>
                  </w:r>
                  <w:r>
                    <w:rPr>
                      <w:rFonts w:hint="eastAsia"/>
                      <w:color w:val="auto"/>
                      <w:szCs w:val="21"/>
                    </w:rPr>
                    <w:t>、</w:t>
                  </w:r>
                  <w:r>
                    <w:rPr>
                      <w:color w:val="auto"/>
                      <w:szCs w:val="21"/>
                    </w:rPr>
                    <w:t>表2。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356" w:type="pct"/>
                  <w:vMerge w:val="restart"/>
                  <w:vAlign w:val="center"/>
                </w:tcPr>
                <w:p>
                  <w:pPr>
                    <w:adjustRightInd w:val="0"/>
                    <w:snapToGrid w:val="0"/>
                    <w:jc w:val="center"/>
                    <w:rPr>
                      <w:color w:val="auto"/>
                      <w:szCs w:val="21"/>
                    </w:rPr>
                  </w:pPr>
                  <w:r>
                    <w:rPr>
                      <w:color w:val="auto"/>
                      <w:szCs w:val="21"/>
                    </w:rPr>
                    <w:t>P2</w:t>
                  </w:r>
                </w:p>
              </w:tc>
              <w:tc>
                <w:tcPr>
                  <w:tcW w:w="528" w:type="pct"/>
                  <w:vAlign w:val="center"/>
                </w:tcPr>
                <w:p>
                  <w:pPr>
                    <w:adjustRightInd w:val="0"/>
                    <w:snapToGrid w:val="0"/>
                    <w:jc w:val="center"/>
                    <w:rPr>
                      <w:color w:val="auto"/>
                      <w:szCs w:val="21"/>
                    </w:rPr>
                  </w:pPr>
                  <w:r>
                    <w:rPr>
                      <w:color w:val="auto"/>
                      <w:szCs w:val="21"/>
                    </w:rPr>
                    <w:t>HCl</w:t>
                  </w:r>
                </w:p>
              </w:tc>
              <w:tc>
                <w:tcPr>
                  <w:tcW w:w="540" w:type="pct"/>
                  <w:vAlign w:val="center"/>
                </w:tcPr>
                <w:p>
                  <w:pPr>
                    <w:adjustRightInd w:val="0"/>
                    <w:snapToGrid w:val="0"/>
                    <w:jc w:val="center"/>
                    <w:rPr>
                      <w:color w:val="auto"/>
                      <w:szCs w:val="21"/>
                    </w:rPr>
                  </w:pPr>
                  <w:r>
                    <w:rPr>
                      <w:color w:val="auto"/>
                      <w:szCs w:val="21"/>
                    </w:rPr>
                    <w:t>10</w:t>
                  </w:r>
                </w:p>
              </w:tc>
              <w:tc>
                <w:tcPr>
                  <w:tcW w:w="520" w:type="pct"/>
                  <w:vAlign w:val="center"/>
                </w:tcPr>
                <w:p>
                  <w:pPr>
                    <w:adjustRightInd w:val="0"/>
                    <w:snapToGrid w:val="0"/>
                    <w:jc w:val="center"/>
                    <w:rPr>
                      <w:color w:val="auto"/>
                      <w:szCs w:val="21"/>
                    </w:rPr>
                  </w:pPr>
                  <w:r>
                    <w:rPr>
                      <w:color w:val="auto"/>
                      <w:szCs w:val="21"/>
                    </w:rPr>
                    <w:t>0.18</w:t>
                  </w:r>
                </w:p>
              </w:tc>
              <w:tc>
                <w:tcPr>
                  <w:tcW w:w="484" w:type="pct"/>
                  <w:vMerge w:val="continue"/>
                  <w:vAlign w:val="center"/>
                </w:tcPr>
                <w:p>
                  <w:pPr>
                    <w:adjustRightInd w:val="0"/>
                    <w:snapToGrid w:val="0"/>
                    <w:jc w:val="center"/>
                    <w:rPr>
                      <w:color w:val="auto"/>
                      <w:szCs w:val="21"/>
                    </w:rPr>
                  </w:pPr>
                </w:p>
              </w:tc>
              <w:tc>
                <w:tcPr>
                  <w:tcW w:w="1011" w:type="pct"/>
                  <w:vMerge w:val="continue"/>
                  <w:vAlign w:val="center"/>
                </w:tcPr>
                <w:p>
                  <w:pPr>
                    <w:adjustRightInd w:val="0"/>
                    <w:snapToGrid w:val="0"/>
                    <w:jc w:val="center"/>
                    <w:rPr>
                      <w:color w:val="auto"/>
                      <w:szCs w:val="21"/>
                    </w:rPr>
                  </w:pPr>
                </w:p>
              </w:tc>
              <w:tc>
                <w:tcPr>
                  <w:tcW w:w="643" w:type="pct"/>
                  <w:vAlign w:val="center"/>
                </w:tcPr>
                <w:p>
                  <w:pPr>
                    <w:adjustRightInd w:val="0"/>
                    <w:snapToGrid w:val="0"/>
                    <w:jc w:val="center"/>
                    <w:rPr>
                      <w:color w:val="auto"/>
                      <w:szCs w:val="21"/>
                    </w:rPr>
                  </w:pPr>
                  <w:r>
                    <w:rPr>
                      <w:color w:val="auto"/>
                      <w:szCs w:val="21"/>
                    </w:rPr>
                    <w:t>0.05</w:t>
                  </w:r>
                </w:p>
              </w:tc>
              <w:tc>
                <w:tcPr>
                  <w:tcW w:w="916" w:type="pct"/>
                  <w:vMerge w:val="continue"/>
                  <w:vAlign w:val="center"/>
                </w:tcPr>
                <w:p>
                  <w:pPr>
                    <w:adjustRightInd w:val="0"/>
                    <w:snapToGrid w:val="0"/>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356" w:type="pct"/>
                  <w:vMerge w:val="continue"/>
                  <w:vAlign w:val="center"/>
                </w:tcPr>
                <w:p>
                  <w:pPr>
                    <w:adjustRightInd w:val="0"/>
                    <w:snapToGrid w:val="0"/>
                    <w:jc w:val="center"/>
                    <w:rPr>
                      <w:color w:val="auto"/>
                      <w:szCs w:val="21"/>
                    </w:rPr>
                  </w:pPr>
                </w:p>
              </w:tc>
              <w:tc>
                <w:tcPr>
                  <w:tcW w:w="528" w:type="pct"/>
                  <w:vAlign w:val="center"/>
                </w:tcPr>
                <w:p>
                  <w:pPr>
                    <w:adjustRightInd w:val="0"/>
                    <w:snapToGrid w:val="0"/>
                    <w:jc w:val="center"/>
                    <w:rPr>
                      <w:color w:val="auto"/>
                      <w:szCs w:val="21"/>
                    </w:rPr>
                  </w:pPr>
                  <w:r>
                    <w:rPr>
                      <w:color w:val="auto"/>
                      <w:szCs w:val="21"/>
                    </w:rPr>
                    <w:t>SO</w:t>
                  </w:r>
                  <w:r>
                    <w:rPr>
                      <w:color w:val="auto"/>
                      <w:szCs w:val="21"/>
                      <w:vertAlign w:val="subscript"/>
                    </w:rPr>
                    <w:t>2</w:t>
                  </w:r>
                </w:p>
              </w:tc>
              <w:tc>
                <w:tcPr>
                  <w:tcW w:w="540" w:type="pct"/>
                  <w:vAlign w:val="center"/>
                </w:tcPr>
                <w:p>
                  <w:pPr>
                    <w:adjustRightInd w:val="0"/>
                    <w:snapToGrid w:val="0"/>
                    <w:jc w:val="center"/>
                    <w:rPr>
                      <w:color w:val="auto"/>
                      <w:szCs w:val="21"/>
                    </w:rPr>
                  </w:pPr>
                  <w:r>
                    <w:rPr>
                      <w:color w:val="auto"/>
                      <w:szCs w:val="21"/>
                    </w:rPr>
                    <w:t>200</w:t>
                  </w:r>
                </w:p>
              </w:tc>
              <w:tc>
                <w:tcPr>
                  <w:tcW w:w="520" w:type="pct"/>
                  <w:vAlign w:val="center"/>
                </w:tcPr>
                <w:p>
                  <w:pPr>
                    <w:adjustRightInd w:val="0"/>
                    <w:snapToGrid w:val="0"/>
                    <w:jc w:val="center"/>
                    <w:rPr>
                      <w:color w:val="auto"/>
                      <w:szCs w:val="21"/>
                    </w:rPr>
                  </w:pPr>
                  <w:r>
                    <w:rPr>
                      <w:color w:val="auto"/>
                      <w:szCs w:val="21"/>
                    </w:rPr>
                    <w:t>--</w:t>
                  </w:r>
                </w:p>
              </w:tc>
              <w:tc>
                <w:tcPr>
                  <w:tcW w:w="484" w:type="pct"/>
                  <w:vMerge w:val="continue"/>
                  <w:vAlign w:val="center"/>
                </w:tcPr>
                <w:p>
                  <w:pPr>
                    <w:adjustRightInd w:val="0"/>
                    <w:snapToGrid w:val="0"/>
                    <w:jc w:val="center"/>
                    <w:rPr>
                      <w:color w:val="auto"/>
                      <w:szCs w:val="21"/>
                    </w:rPr>
                  </w:pPr>
                </w:p>
              </w:tc>
              <w:tc>
                <w:tcPr>
                  <w:tcW w:w="1011" w:type="pct"/>
                  <w:vMerge w:val="continue"/>
                  <w:vAlign w:val="center"/>
                </w:tcPr>
                <w:p>
                  <w:pPr>
                    <w:adjustRightInd w:val="0"/>
                    <w:snapToGrid w:val="0"/>
                    <w:jc w:val="center"/>
                    <w:rPr>
                      <w:color w:val="auto"/>
                      <w:szCs w:val="21"/>
                    </w:rPr>
                  </w:pPr>
                </w:p>
              </w:tc>
              <w:tc>
                <w:tcPr>
                  <w:tcW w:w="643" w:type="pct"/>
                  <w:vAlign w:val="center"/>
                </w:tcPr>
                <w:p>
                  <w:pPr>
                    <w:adjustRightInd w:val="0"/>
                    <w:snapToGrid w:val="0"/>
                    <w:jc w:val="center"/>
                    <w:rPr>
                      <w:color w:val="auto"/>
                      <w:szCs w:val="21"/>
                    </w:rPr>
                  </w:pPr>
                  <w:r>
                    <w:rPr>
                      <w:color w:val="auto"/>
                      <w:szCs w:val="21"/>
                    </w:rPr>
                    <w:t>0.4</w:t>
                  </w:r>
                </w:p>
              </w:tc>
              <w:tc>
                <w:tcPr>
                  <w:tcW w:w="916" w:type="pct"/>
                  <w:vMerge w:val="continue"/>
                  <w:vAlign w:val="center"/>
                </w:tcPr>
                <w:p>
                  <w:pPr>
                    <w:adjustRightInd w:val="0"/>
                    <w:snapToGrid w:val="0"/>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356" w:type="pct"/>
                  <w:vMerge w:val="continue"/>
                  <w:vAlign w:val="center"/>
                </w:tcPr>
                <w:p>
                  <w:pPr>
                    <w:adjustRightInd w:val="0"/>
                    <w:snapToGrid w:val="0"/>
                    <w:jc w:val="center"/>
                    <w:rPr>
                      <w:color w:val="auto"/>
                      <w:szCs w:val="21"/>
                    </w:rPr>
                  </w:pPr>
                </w:p>
              </w:tc>
              <w:tc>
                <w:tcPr>
                  <w:tcW w:w="528" w:type="pct"/>
                  <w:vAlign w:val="center"/>
                </w:tcPr>
                <w:p>
                  <w:pPr>
                    <w:adjustRightInd w:val="0"/>
                    <w:snapToGrid w:val="0"/>
                    <w:jc w:val="center"/>
                    <w:rPr>
                      <w:color w:val="auto"/>
                      <w:szCs w:val="21"/>
                    </w:rPr>
                  </w:pPr>
                  <w:r>
                    <w:rPr>
                      <w:color w:val="auto"/>
                      <w:szCs w:val="21"/>
                    </w:rPr>
                    <w:t>NOx</w:t>
                  </w:r>
                </w:p>
              </w:tc>
              <w:tc>
                <w:tcPr>
                  <w:tcW w:w="540" w:type="pct"/>
                  <w:vAlign w:val="center"/>
                </w:tcPr>
                <w:p>
                  <w:pPr>
                    <w:adjustRightInd w:val="0"/>
                    <w:snapToGrid w:val="0"/>
                    <w:jc w:val="center"/>
                    <w:rPr>
                      <w:color w:val="auto"/>
                      <w:szCs w:val="21"/>
                    </w:rPr>
                  </w:pPr>
                  <w:r>
                    <w:rPr>
                      <w:color w:val="auto"/>
                      <w:szCs w:val="21"/>
                    </w:rPr>
                    <w:t>200</w:t>
                  </w:r>
                </w:p>
              </w:tc>
              <w:tc>
                <w:tcPr>
                  <w:tcW w:w="520" w:type="pct"/>
                  <w:vAlign w:val="center"/>
                </w:tcPr>
                <w:p>
                  <w:pPr>
                    <w:adjustRightInd w:val="0"/>
                    <w:snapToGrid w:val="0"/>
                    <w:jc w:val="center"/>
                    <w:rPr>
                      <w:color w:val="auto"/>
                      <w:szCs w:val="21"/>
                    </w:rPr>
                  </w:pPr>
                  <w:r>
                    <w:rPr>
                      <w:color w:val="auto"/>
                      <w:szCs w:val="21"/>
                    </w:rPr>
                    <w:t>--</w:t>
                  </w:r>
                </w:p>
              </w:tc>
              <w:tc>
                <w:tcPr>
                  <w:tcW w:w="484" w:type="pct"/>
                  <w:vMerge w:val="continue"/>
                  <w:vAlign w:val="center"/>
                </w:tcPr>
                <w:p>
                  <w:pPr>
                    <w:adjustRightInd w:val="0"/>
                    <w:snapToGrid w:val="0"/>
                    <w:jc w:val="center"/>
                    <w:rPr>
                      <w:color w:val="auto"/>
                      <w:szCs w:val="21"/>
                    </w:rPr>
                  </w:pPr>
                </w:p>
              </w:tc>
              <w:tc>
                <w:tcPr>
                  <w:tcW w:w="1011" w:type="pct"/>
                  <w:vMerge w:val="continue"/>
                  <w:vAlign w:val="center"/>
                </w:tcPr>
                <w:p>
                  <w:pPr>
                    <w:adjustRightInd w:val="0"/>
                    <w:snapToGrid w:val="0"/>
                    <w:jc w:val="center"/>
                    <w:rPr>
                      <w:color w:val="auto"/>
                      <w:szCs w:val="21"/>
                    </w:rPr>
                  </w:pPr>
                </w:p>
              </w:tc>
              <w:tc>
                <w:tcPr>
                  <w:tcW w:w="643" w:type="pct"/>
                  <w:vAlign w:val="center"/>
                </w:tcPr>
                <w:p>
                  <w:pPr>
                    <w:adjustRightInd w:val="0"/>
                    <w:snapToGrid w:val="0"/>
                    <w:jc w:val="center"/>
                    <w:rPr>
                      <w:color w:val="auto"/>
                      <w:szCs w:val="21"/>
                    </w:rPr>
                  </w:pPr>
                  <w:r>
                    <w:rPr>
                      <w:color w:val="auto"/>
                      <w:szCs w:val="21"/>
                    </w:rPr>
                    <w:t>0.12</w:t>
                  </w:r>
                </w:p>
              </w:tc>
              <w:tc>
                <w:tcPr>
                  <w:tcW w:w="916" w:type="pct"/>
                  <w:vMerge w:val="continue"/>
                  <w:vAlign w:val="center"/>
                </w:tcPr>
                <w:p>
                  <w:pPr>
                    <w:adjustRightInd w:val="0"/>
                    <w:snapToGrid w:val="0"/>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356" w:type="pct"/>
                  <w:vMerge w:val="continue"/>
                  <w:vAlign w:val="center"/>
                </w:tcPr>
                <w:p>
                  <w:pPr>
                    <w:adjustRightInd w:val="0"/>
                    <w:snapToGrid w:val="0"/>
                    <w:jc w:val="center"/>
                    <w:rPr>
                      <w:color w:val="auto"/>
                      <w:szCs w:val="21"/>
                    </w:rPr>
                  </w:pPr>
                </w:p>
              </w:tc>
              <w:tc>
                <w:tcPr>
                  <w:tcW w:w="528" w:type="pct"/>
                  <w:vAlign w:val="center"/>
                </w:tcPr>
                <w:p>
                  <w:pPr>
                    <w:adjustRightInd w:val="0"/>
                    <w:snapToGrid w:val="0"/>
                    <w:jc w:val="center"/>
                    <w:rPr>
                      <w:color w:val="auto"/>
                      <w:szCs w:val="21"/>
                    </w:rPr>
                  </w:pPr>
                  <w:r>
                    <w:rPr>
                      <w:color w:val="auto"/>
                      <w:szCs w:val="21"/>
                    </w:rPr>
                    <w:t>颗粒物</w:t>
                  </w:r>
                </w:p>
              </w:tc>
              <w:tc>
                <w:tcPr>
                  <w:tcW w:w="540" w:type="pct"/>
                  <w:vAlign w:val="center"/>
                </w:tcPr>
                <w:p>
                  <w:pPr>
                    <w:adjustRightInd w:val="0"/>
                    <w:snapToGrid w:val="0"/>
                    <w:jc w:val="center"/>
                    <w:rPr>
                      <w:color w:val="auto"/>
                      <w:szCs w:val="21"/>
                    </w:rPr>
                  </w:pPr>
                  <w:r>
                    <w:rPr>
                      <w:color w:val="auto"/>
                      <w:szCs w:val="21"/>
                    </w:rPr>
                    <w:t>20</w:t>
                  </w:r>
                </w:p>
              </w:tc>
              <w:tc>
                <w:tcPr>
                  <w:tcW w:w="520" w:type="pct"/>
                  <w:vAlign w:val="center"/>
                </w:tcPr>
                <w:p>
                  <w:pPr>
                    <w:adjustRightInd w:val="0"/>
                    <w:snapToGrid w:val="0"/>
                    <w:jc w:val="center"/>
                    <w:rPr>
                      <w:color w:val="auto"/>
                      <w:szCs w:val="21"/>
                    </w:rPr>
                  </w:pPr>
                  <w:r>
                    <w:rPr>
                      <w:color w:val="auto"/>
                      <w:szCs w:val="21"/>
                    </w:rPr>
                    <w:t>1</w:t>
                  </w:r>
                </w:p>
              </w:tc>
              <w:tc>
                <w:tcPr>
                  <w:tcW w:w="484" w:type="pct"/>
                  <w:vMerge w:val="continue"/>
                  <w:vAlign w:val="center"/>
                </w:tcPr>
                <w:p>
                  <w:pPr>
                    <w:adjustRightInd w:val="0"/>
                    <w:snapToGrid w:val="0"/>
                    <w:jc w:val="center"/>
                    <w:rPr>
                      <w:color w:val="auto"/>
                      <w:szCs w:val="21"/>
                    </w:rPr>
                  </w:pPr>
                </w:p>
              </w:tc>
              <w:tc>
                <w:tcPr>
                  <w:tcW w:w="1011" w:type="pct"/>
                  <w:vMerge w:val="continue"/>
                  <w:vAlign w:val="center"/>
                </w:tcPr>
                <w:p>
                  <w:pPr>
                    <w:adjustRightInd w:val="0"/>
                    <w:snapToGrid w:val="0"/>
                    <w:jc w:val="center"/>
                    <w:rPr>
                      <w:color w:val="auto"/>
                      <w:szCs w:val="21"/>
                    </w:rPr>
                  </w:pPr>
                </w:p>
              </w:tc>
              <w:tc>
                <w:tcPr>
                  <w:tcW w:w="643" w:type="pct"/>
                  <w:vAlign w:val="center"/>
                </w:tcPr>
                <w:p>
                  <w:pPr>
                    <w:adjustRightInd w:val="0"/>
                    <w:snapToGrid w:val="0"/>
                    <w:jc w:val="center"/>
                    <w:rPr>
                      <w:color w:val="auto"/>
                      <w:szCs w:val="21"/>
                    </w:rPr>
                  </w:pPr>
                  <w:r>
                    <w:rPr>
                      <w:color w:val="auto"/>
                      <w:szCs w:val="21"/>
                    </w:rPr>
                    <w:t>0.5</w:t>
                  </w:r>
                </w:p>
              </w:tc>
              <w:tc>
                <w:tcPr>
                  <w:tcW w:w="916" w:type="pct"/>
                  <w:vMerge w:val="continue"/>
                  <w:vAlign w:val="center"/>
                </w:tcPr>
                <w:p>
                  <w:pPr>
                    <w:adjustRightInd w:val="0"/>
                    <w:snapToGrid w:val="0"/>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356" w:type="pct"/>
                  <w:vMerge w:val="restart"/>
                  <w:vAlign w:val="center"/>
                </w:tcPr>
                <w:p>
                  <w:pPr>
                    <w:adjustRightInd w:val="0"/>
                    <w:snapToGrid w:val="0"/>
                    <w:jc w:val="center"/>
                    <w:rPr>
                      <w:color w:val="auto"/>
                      <w:szCs w:val="21"/>
                    </w:rPr>
                  </w:pPr>
                  <w:r>
                    <w:rPr>
                      <w:color w:val="auto"/>
                      <w:szCs w:val="21"/>
                    </w:rPr>
                    <w:t>厂区</w:t>
                  </w:r>
                </w:p>
              </w:tc>
              <w:tc>
                <w:tcPr>
                  <w:tcW w:w="528" w:type="pct"/>
                  <w:vMerge w:val="restart"/>
                  <w:vAlign w:val="center"/>
                </w:tcPr>
                <w:p>
                  <w:pPr>
                    <w:adjustRightInd w:val="0"/>
                    <w:snapToGrid w:val="0"/>
                    <w:jc w:val="center"/>
                    <w:rPr>
                      <w:color w:val="auto"/>
                      <w:szCs w:val="21"/>
                    </w:rPr>
                  </w:pPr>
                  <w:r>
                    <w:rPr>
                      <w:color w:val="auto"/>
                      <w:szCs w:val="21"/>
                    </w:rPr>
                    <w:t>VOCs（以非甲烷总烃计）</w:t>
                  </w:r>
                </w:p>
              </w:tc>
              <w:tc>
                <w:tcPr>
                  <w:tcW w:w="540" w:type="pct"/>
                  <w:vMerge w:val="restart"/>
                  <w:vAlign w:val="center"/>
                </w:tcPr>
                <w:p>
                  <w:pPr>
                    <w:adjustRightInd w:val="0"/>
                    <w:snapToGrid w:val="0"/>
                    <w:jc w:val="center"/>
                    <w:rPr>
                      <w:color w:val="auto"/>
                      <w:szCs w:val="21"/>
                    </w:rPr>
                  </w:pPr>
                  <w:r>
                    <w:rPr>
                      <w:color w:val="auto"/>
                      <w:szCs w:val="21"/>
                    </w:rPr>
                    <w:t>--</w:t>
                  </w:r>
                </w:p>
              </w:tc>
              <w:tc>
                <w:tcPr>
                  <w:tcW w:w="520" w:type="pct"/>
                  <w:vMerge w:val="restart"/>
                  <w:vAlign w:val="center"/>
                </w:tcPr>
                <w:p>
                  <w:pPr>
                    <w:adjustRightInd w:val="0"/>
                    <w:snapToGrid w:val="0"/>
                    <w:jc w:val="center"/>
                    <w:rPr>
                      <w:color w:val="auto"/>
                      <w:szCs w:val="21"/>
                    </w:rPr>
                  </w:pPr>
                  <w:r>
                    <w:rPr>
                      <w:color w:val="auto"/>
                      <w:szCs w:val="21"/>
                    </w:rPr>
                    <w:t>--</w:t>
                  </w:r>
                </w:p>
              </w:tc>
              <w:tc>
                <w:tcPr>
                  <w:tcW w:w="484" w:type="pct"/>
                  <w:vMerge w:val="restart"/>
                  <w:vAlign w:val="center"/>
                </w:tcPr>
                <w:p>
                  <w:pPr>
                    <w:adjustRightInd w:val="0"/>
                    <w:snapToGrid w:val="0"/>
                    <w:jc w:val="center"/>
                    <w:rPr>
                      <w:color w:val="auto"/>
                      <w:szCs w:val="21"/>
                    </w:rPr>
                  </w:pPr>
                  <w:r>
                    <w:rPr>
                      <w:color w:val="auto"/>
                      <w:szCs w:val="21"/>
                    </w:rPr>
                    <w:t>--</w:t>
                  </w:r>
                </w:p>
              </w:tc>
              <w:tc>
                <w:tcPr>
                  <w:tcW w:w="1011" w:type="pct"/>
                  <w:vAlign w:val="center"/>
                </w:tcPr>
                <w:p>
                  <w:pPr>
                    <w:adjustRightInd w:val="0"/>
                    <w:snapToGrid w:val="0"/>
                    <w:jc w:val="center"/>
                    <w:rPr>
                      <w:color w:val="auto"/>
                      <w:szCs w:val="21"/>
                    </w:rPr>
                  </w:pPr>
                  <w:r>
                    <w:rPr>
                      <w:color w:val="auto"/>
                      <w:szCs w:val="21"/>
                    </w:rPr>
                    <w:t>厂房外监控点处1h平均浓度值</w:t>
                  </w:r>
                </w:p>
              </w:tc>
              <w:tc>
                <w:tcPr>
                  <w:tcW w:w="643" w:type="pct"/>
                  <w:vAlign w:val="center"/>
                </w:tcPr>
                <w:p>
                  <w:pPr>
                    <w:adjustRightInd w:val="0"/>
                    <w:snapToGrid w:val="0"/>
                    <w:jc w:val="center"/>
                    <w:rPr>
                      <w:color w:val="auto"/>
                      <w:szCs w:val="21"/>
                    </w:rPr>
                  </w:pPr>
                  <w:r>
                    <w:rPr>
                      <w:color w:val="auto"/>
                      <w:szCs w:val="21"/>
                    </w:rPr>
                    <w:t>6</w:t>
                  </w:r>
                </w:p>
              </w:tc>
              <w:tc>
                <w:tcPr>
                  <w:tcW w:w="916" w:type="pct"/>
                  <w:vMerge w:val="continue"/>
                  <w:vAlign w:val="center"/>
                </w:tcPr>
                <w:p>
                  <w:pPr>
                    <w:adjustRightInd w:val="0"/>
                    <w:snapToGrid w:val="0"/>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356" w:type="pct"/>
                  <w:vMerge w:val="continue"/>
                  <w:vAlign w:val="center"/>
                </w:tcPr>
                <w:p>
                  <w:pPr>
                    <w:adjustRightInd w:val="0"/>
                    <w:snapToGrid w:val="0"/>
                    <w:jc w:val="center"/>
                    <w:rPr>
                      <w:color w:val="auto"/>
                      <w:szCs w:val="21"/>
                    </w:rPr>
                  </w:pPr>
                </w:p>
              </w:tc>
              <w:tc>
                <w:tcPr>
                  <w:tcW w:w="528" w:type="pct"/>
                  <w:vMerge w:val="continue"/>
                  <w:vAlign w:val="center"/>
                </w:tcPr>
                <w:p>
                  <w:pPr>
                    <w:adjustRightInd w:val="0"/>
                    <w:snapToGrid w:val="0"/>
                    <w:jc w:val="center"/>
                    <w:rPr>
                      <w:color w:val="auto"/>
                      <w:szCs w:val="21"/>
                    </w:rPr>
                  </w:pPr>
                </w:p>
              </w:tc>
              <w:tc>
                <w:tcPr>
                  <w:tcW w:w="540" w:type="pct"/>
                  <w:vMerge w:val="continue"/>
                  <w:vAlign w:val="center"/>
                </w:tcPr>
                <w:p>
                  <w:pPr>
                    <w:adjustRightInd w:val="0"/>
                    <w:snapToGrid w:val="0"/>
                    <w:jc w:val="center"/>
                    <w:rPr>
                      <w:color w:val="auto"/>
                      <w:szCs w:val="21"/>
                    </w:rPr>
                  </w:pPr>
                </w:p>
              </w:tc>
              <w:tc>
                <w:tcPr>
                  <w:tcW w:w="520" w:type="pct"/>
                  <w:vMerge w:val="continue"/>
                  <w:vAlign w:val="center"/>
                </w:tcPr>
                <w:p>
                  <w:pPr>
                    <w:adjustRightInd w:val="0"/>
                    <w:snapToGrid w:val="0"/>
                    <w:jc w:val="center"/>
                    <w:rPr>
                      <w:color w:val="auto"/>
                      <w:szCs w:val="21"/>
                    </w:rPr>
                  </w:pPr>
                </w:p>
              </w:tc>
              <w:tc>
                <w:tcPr>
                  <w:tcW w:w="484" w:type="pct"/>
                  <w:vMerge w:val="continue"/>
                  <w:vAlign w:val="center"/>
                </w:tcPr>
                <w:p>
                  <w:pPr>
                    <w:adjustRightInd w:val="0"/>
                    <w:snapToGrid w:val="0"/>
                    <w:jc w:val="center"/>
                    <w:rPr>
                      <w:color w:val="auto"/>
                      <w:szCs w:val="21"/>
                    </w:rPr>
                  </w:pPr>
                </w:p>
              </w:tc>
              <w:tc>
                <w:tcPr>
                  <w:tcW w:w="1011" w:type="pct"/>
                  <w:vAlign w:val="center"/>
                </w:tcPr>
                <w:p>
                  <w:pPr>
                    <w:adjustRightInd w:val="0"/>
                    <w:snapToGrid w:val="0"/>
                    <w:jc w:val="center"/>
                    <w:rPr>
                      <w:color w:val="auto"/>
                      <w:szCs w:val="21"/>
                    </w:rPr>
                  </w:pPr>
                  <w:r>
                    <w:rPr>
                      <w:color w:val="auto"/>
                      <w:szCs w:val="21"/>
                    </w:rPr>
                    <w:t>厂房外监控点处任意一次浓度值</w:t>
                  </w:r>
                </w:p>
              </w:tc>
              <w:tc>
                <w:tcPr>
                  <w:tcW w:w="643" w:type="pct"/>
                  <w:vAlign w:val="center"/>
                </w:tcPr>
                <w:p>
                  <w:pPr>
                    <w:adjustRightInd w:val="0"/>
                    <w:snapToGrid w:val="0"/>
                    <w:jc w:val="center"/>
                    <w:rPr>
                      <w:color w:val="auto"/>
                      <w:szCs w:val="21"/>
                    </w:rPr>
                  </w:pPr>
                  <w:r>
                    <w:rPr>
                      <w:color w:val="auto"/>
                      <w:szCs w:val="21"/>
                    </w:rPr>
                    <w:t>20</w:t>
                  </w:r>
                </w:p>
              </w:tc>
              <w:tc>
                <w:tcPr>
                  <w:tcW w:w="916" w:type="pct"/>
                  <w:vMerge w:val="continue"/>
                  <w:vAlign w:val="center"/>
                </w:tcPr>
                <w:p>
                  <w:pPr>
                    <w:adjustRightInd w:val="0"/>
                    <w:snapToGrid w:val="0"/>
                    <w:jc w:val="center"/>
                    <w:rPr>
                      <w:color w:val="auto"/>
                      <w:szCs w:val="21"/>
                    </w:rPr>
                  </w:pPr>
                </w:p>
              </w:tc>
            </w:tr>
          </w:tbl>
          <w:p>
            <w:pPr>
              <w:numPr>
                <w:ilvl w:val="0"/>
                <w:numId w:val="10"/>
              </w:numPr>
              <w:spacing w:beforeLines="50" w:line="360" w:lineRule="auto"/>
              <w:rPr>
                <w:b/>
                <w:bCs/>
                <w:color w:val="auto"/>
                <w:sz w:val="24"/>
                <w:shd w:val="clear" w:color="auto" w:fill="FFFFFF"/>
              </w:rPr>
            </w:pPr>
            <w:r>
              <w:rPr>
                <w:b/>
                <w:bCs/>
                <w:color w:val="auto"/>
                <w:sz w:val="24"/>
                <w:shd w:val="clear" w:color="auto" w:fill="FFFFFF"/>
              </w:rPr>
              <w:t>水污染物排放标准</w:t>
            </w:r>
          </w:p>
          <w:p>
            <w:pPr>
              <w:adjustRightInd w:val="0"/>
              <w:snapToGrid w:val="0"/>
              <w:spacing w:line="360" w:lineRule="auto"/>
              <w:ind w:firstLine="480" w:firstLineChars="200"/>
              <w:rPr>
                <w:color w:val="auto"/>
                <w:sz w:val="24"/>
                <w:szCs w:val="22"/>
              </w:rPr>
            </w:pPr>
            <w:r>
              <w:rPr>
                <w:color w:val="auto"/>
                <w:sz w:val="24"/>
                <w:szCs w:val="22"/>
              </w:rPr>
              <w:t>本项目厂区排水实行雨污分流制，清洗废水</w:t>
            </w:r>
            <w:r>
              <w:rPr>
                <w:rFonts w:hint="eastAsia"/>
                <w:color w:val="auto"/>
                <w:sz w:val="24"/>
                <w:szCs w:val="22"/>
              </w:rPr>
              <w:t>和喷淋废水</w:t>
            </w:r>
            <w:r>
              <w:rPr>
                <w:color w:val="auto"/>
                <w:sz w:val="24"/>
                <w:szCs w:val="22"/>
              </w:rPr>
              <w:t>经处理后与</w:t>
            </w:r>
            <w:r>
              <w:rPr>
                <w:rFonts w:hint="eastAsia"/>
                <w:color w:val="auto"/>
                <w:sz w:val="24"/>
                <w:szCs w:val="22"/>
              </w:rPr>
              <w:t>冲洗废水、</w:t>
            </w:r>
            <w:r>
              <w:rPr>
                <w:color w:val="auto"/>
                <w:sz w:val="24"/>
                <w:szCs w:val="22"/>
              </w:rPr>
              <w:t>纯水制备浓水，循环水排水排入</w:t>
            </w:r>
            <w:r>
              <w:rPr>
                <w:color w:val="auto"/>
                <w:sz w:val="24"/>
              </w:rPr>
              <w:t>江宁经济技术</w:t>
            </w:r>
            <w:r>
              <w:rPr>
                <w:color w:val="auto"/>
                <w:sz w:val="24"/>
                <w:szCs w:val="22"/>
              </w:rPr>
              <w:t>开发区污水处理厂集中处理，尾水排至秦淮新河。水污染物排放标准详见下表。</w:t>
            </w:r>
          </w:p>
          <w:p>
            <w:pPr>
              <w:numPr>
                <w:ilvl w:val="0"/>
                <w:numId w:val="11"/>
              </w:numPr>
              <w:adjustRightInd w:val="0"/>
              <w:snapToGrid w:val="0"/>
              <w:spacing w:line="360" w:lineRule="auto"/>
              <w:rPr>
                <w:b/>
                <w:bCs/>
                <w:color w:val="auto"/>
                <w:sz w:val="24"/>
                <w:szCs w:val="28"/>
              </w:rPr>
            </w:pPr>
            <w:r>
              <w:rPr>
                <w:b/>
                <w:bCs/>
                <w:color w:val="auto"/>
                <w:sz w:val="24"/>
              </w:rPr>
              <w:t>江宁经济技术</w:t>
            </w:r>
            <w:r>
              <w:rPr>
                <w:b/>
                <w:bCs/>
                <w:color w:val="auto"/>
                <w:sz w:val="24"/>
                <w:szCs w:val="28"/>
              </w:rPr>
              <w:t>开发区污水处理厂污水接管标准</w:t>
            </w:r>
          </w:p>
          <w:p>
            <w:pPr>
              <w:keepNext/>
              <w:adjustRightInd w:val="0"/>
              <w:snapToGrid w:val="0"/>
              <w:spacing w:line="360" w:lineRule="auto"/>
              <w:jc w:val="center"/>
              <w:rPr>
                <w:b/>
                <w:color w:val="auto"/>
                <w:sz w:val="24"/>
                <w:szCs w:val="21"/>
              </w:rPr>
            </w:pPr>
            <w:r>
              <w:rPr>
                <w:b/>
                <w:color w:val="auto"/>
                <w:sz w:val="24"/>
                <w:szCs w:val="21"/>
              </w:rPr>
              <w:t>表3-</w:t>
            </w:r>
            <w:r>
              <w:rPr>
                <w:rFonts w:hint="eastAsia"/>
                <w:b/>
                <w:color w:val="auto"/>
                <w:sz w:val="24"/>
                <w:szCs w:val="21"/>
              </w:rPr>
              <w:t>6</w:t>
            </w:r>
            <w:r>
              <w:rPr>
                <w:b/>
                <w:color w:val="auto"/>
                <w:sz w:val="24"/>
                <w:szCs w:val="21"/>
              </w:rPr>
              <w:t xml:space="preserve">  污染因子接管标准</w:t>
            </w:r>
          </w:p>
          <w:tbl>
            <w:tblPr>
              <w:tblStyle w:val="3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4"/>
              <w:gridCol w:w="1285"/>
              <w:gridCol w:w="2139"/>
              <w:gridCol w:w="39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693" w:type="pct"/>
                  <w:vAlign w:val="center"/>
                </w:tcPr>
                <w:p>
                  <w:pPr>
                    <w:adjustRightInd w:val="0"/>
                    <w:snapToGrid w:val="0"/>
                    <w:jc w:val="center"/>
                    <w:rPr>
                      <w:b/>
                      <w:color w:val="auto"/>
                      <w:szCs w:val="21"/>
                    </w:rPr>
                  </w:pPr>
                  <w:r>
                    <w:rPr>
                      <w:b/>
                      <w:color w:val="auto"/>
                      <w:szCs w:val="21"/>
                    </w:rPr>
                    <w:t>序号</w:t>
                  </w:r>
                </w:p>
              </w:tc>
              <w:tc>
                <w:tcPr>
                  <w:tcW w:w="753" w:type="pct"/>
                  <w:vAlign w:val="center"/>
                </w:tcPr>
                <w:p>
                  <w:pPr>
                    <w:adjustRightInd w:val="0"/>
                    <w:snapToGrid w:val="0"/>
                    <w:jc w:val="center"/>
                    <w:rPr>
                      <w:b/>
                      <w:color w:val="auto"/>
                      <w:szCs w:val="21"/>
                    </w:rPr>
                  </w:pPr>
                  <w:r>
                    <w:rPr>
                      <w:b/>
                      <w:color w:val="auto"/>
                      <w:szCs w:val="21"/>
                    </w:rPr>
                    <w:t>项目</w:t>
                  </w:r>
                </w:p>
              </w:tc>
              <w:tc>
                <w:tcPr>
                  <w:tcW w:w="1253" w:type="pct"/>
                  <w:vAlign w:val="center"/>
                </w:tcPr>
                <w:p>
                  <w:pPr>
                    <w:adjustRightInd w:val="0"/>
                    <w:snapToGrid w:val="0"/>
                    <w:jc w:val="center"/>
                    <w:rPr>
                      <w:b/>
                      <w:color w:val="auto"/>
                      <w:szCs w:val="21"/>
                    </w:rPr>
                  </w:pPr>
                  <w:r>
                    <w:rPr>
                      <w:b/>
                      <w:color w:val="auto"/>
                      <w:szCs w:val="21"/>
                    </w:rPr>
                    <w:t>接管标准</w:t>
                  </w:r>
                  <w:r>
                    <w:rPr>
                      <w:color w:val="auto"/>
                      <w:szCs w:val="21"/>
                    </w:rPr>
                    <w:t>(</w:t>
                  </w:r>
                  <w:r>
                    <w:rPr>
                      <w:b/>
                      <w:color w:val="auto"/>
                      <w:szCs w:val="21"/>
                    </w:rPr>
                    <w:t>mg/L</w:t>
                  </w:r>
                  <w:r>
                    <w:rPr>
                      <w:color w:val="auto"/>
                      <w:szCs w:val="21"/>
                    </w:rPr>
                    <w:t>)</w:t>
                  </w:r>
                </w:p>
              </w:tc>
              <w:tc>
                <w:tcPr>
                  <w:tcW w:w="2301" w:type="pct"/>
                  <w:vAlign w:val="center"/>
                </w:tcPr>
                <w:p>
                  <w:pPr>
                    <w:adjustRightInd w:val="0"/>
                    <w:snapToGrid w:val="0"/>
                    <w:jc w:val="center"/>
                    <w:rPr>
                      <w:b/>
                      <w:color w:val="auto"/>
                      <w:szCs w:val="21"/>
                    </w:rPr>
                  </w:pPr>
                  <w:r>
                    <w:rPr>
                      <w:b/>
                      <w:color w:val="auto"/>
                      <w:szCs w:val="21"/>
                    </w:rPr>
                    <w:t>标准来源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93" w:type="pct"/>
                  <w:vAlign w:val="center"/>
                </w:tcPr>
                <w:p>
                  <w:pPr>
                    <w:adjustRightInd w:val="0"/>
                    <w:snapToGrid w:val="0"/>
                    <w:jc w:val="center"/>
                    <w:rPr>
                      <w:color w:val="auto"/>
                      <w:szCs w:val="21"/>
                    </w:rPr>
                  </w:pPr>
                  <w:r>
                    <w:rPr>
                      <w:color w:val="auto"/>
                      <w:szCs w:val="21"/>
                    </w:rPr>
                    <w:t>1</w:t>
                  </w:r>
                </w:p>
              </w:tc>
              <w:tc>
                <w:tcPr>
                  <w:tcW w:w="753" w:type="pct"/>
                  <w:vAlign w:val="center"/>
                </w:tcPr>
                <w:p>
                  <w:pPr>
                    <w:adjustRightInd w:val="0"/>
                    <w:snapToGrid w:val="0"/>
                    <w:jc w:val="center"/>
                    <w:rPr>
                      <w:color w:val="auto"/>
                      <w:szCs w:val="21"/>
                    </w:rPr>
                  </w:pPr>
                  <w:r>
                    <w:rPr>
                      <w:color w:val="auto"/>
                      <w:szCs w:val="21"/>
                    </w:rPr>
                    <w:t>pH</w:t>
                  </w:r>
                </w:p>
              </w:tc>
              <w:tc>
                <w:tcPr>
                  <w:tcW w:w="1253" w:type="pct"/>
                  <w:vAlign w:val="center"/>
                </w:tcPr>
                <w:p>
                  <w:pPr>
                    <w:adjustRightInd w:val="0"/>
                    <w:snapToGrid w:val="0"/>
                    <w:jc w:val="center"/>
                    <w:rPr>
                      <w:color w:val="auto"/>
                      <w:szCs w:val="21"/>
                    </w:rPr>
                  </w:pPr>
                  <w:r>
                    <w:rPr>
                      <w:color w:val="auto"/>
                      <w:szCs w:val="21"/>
                    </w:rPr>
                    <w:t>6~9</w:t>
                  </w:r>
                </w:p>
              </w:tc>
              <w:tc>
                <w:tcPr>
                  <w:tcW w:w="2301" w:type="pct"/>
                  <w:vMerge w:val="restart"/>
                  <w:vAlign w:val="center"/>
                </w:tcPr>
                <w:p>
                  <w:pPr>
                    <w:adjustRightInd w:val="0"/>
                    <w:snapToGrid w:val="0"/>
                    <w:jc w:val="center"/>
                    <w:rPr>
                      <w:color w:val="auto"/>
                      <w:szCs w:val="21"/>
                    </w:rPr>
                  </w:pPr>
                  <w:r>
                    <w:rPr>
                      <w:rFonts w:hint="eastAsia"/>
                      <w:color w:val="auto"/>
                      <w:szCs w:val="21"/>
                    </w:rPr>
                    <w:t>《</w:t>
                  </w:r>
                  <w:r>
                    <w:rPr>
                      <w:color w:val="auto"/>
                      <w:szCs w:val="21"/>
                    </w:rPr>
                    <w:t>污水综合排放标准》（GB8978-1996）三级标准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693" w:type="pct"/>
                  <w:vAlign w:val="center"/>
                </w:tcPr>
                <w:p>
                  <w:pPr>
                    <w:adjustRightInd w:val="0"/>
                    <w:snapToGrid w:val="0"/>
                    <w:jc w:val="center"/>
                    <w:rPr>
                      <w:color w:val="auto"/>
                      <w:szCs w:val="21"/>
                    </w:rPr>
                  </w:pPr>
                  <w:r>
                    <w:rPr>
                      <w:color w:val="auto"/>
                      <w:szCs w:val="21"/>
                    </w:rPr>
                    <w:t>2</w:t>
                  </w:r>
                </w:p>
              </w:tc>
              <w:tc>
                <w:tcPr>
                  <w:tcW w:w="753" w:type="pct"/>
                  <w:vAlign w:val="center"/>
                </w:tcPr>
                <w:p>
                  <w:pPr>
                    <w:adjustRightInd w:val="0"/>
                    <w:snapToGrid w:val="0"/>
                    <w:jc w:val="center"/>
                    <w:rPr>
                      <w:color w:val="auto"/>
                      <w:szCs w:val="21"/>
                    </w:rPr>
                  </w:pPr>
                  <w:r>
                    <w:rPr>
                      <w:color w:val="auto"/>
                      <w:szCs w:val="21"/>
                    </w:rPr>
                    <w:t>SS</w:t>
                  </w:r>
                </w:p>
              </w:tc>
              <w:tc>
                <w:tcPr>
                  <w:tcW w:w="1253" w:type="pct"/>
                  <w:vAlign w:val="center"/>
                </w:tcPr>
                <w:p>
                  <w:pPr>
                    <w:adjustRightInd w:val="0"/>
                    <w:snapToGrid w:val="0"/>
                    <w:jc w:val="center"/>
                    <w:rPr>
                      <w:color w:val="auto"/>
                      <w:szCs w:val="21"/>
                    </w:rPr>
                  </w:pPr>
                  <w:r>
                    <w:rPr>
                      <w:color w:val="auto"/>
                      <w:szCs w:val="21"/>
                    </w:rPr>
                    <w:t>400</w:t>
                  </w:r>
                </w:p>
              </w:tc>
              <w:tc>
                <w:tcPr>
                  <w:tcW w:w="2301" w:type="pct"/>
                  <w:vMerge w:val="continue"/>
                  <w:vAlign w:val="center"/>
                </w:tcPr>
                <w:p>
                  <w:pPr>
                    <w:adjustRightInd w:val="0"/>
                    <w:snapToGrid w:val="0"/>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693" w:type="pct"/>
                  <w:vAlign w:val="center"/>
                </w:tcPr>
                <w:p>
                  <w:pPr>
                    <w:adjustRightInd w:val="0"/>
                    <w:snapToGrid w:val="0"/>
                    <w:jc w:val="center"/>
                    <w:rPr>
                      <w:color w:val="auto"/>
                      <w:szCs w:val="21"/>
                    </w:rPr>
                  </w:pPr>
                  <w:r>
                    <w:rPr>
                      <w:color w:val="auto"/>
                      <w:szCs w:val="21"/>
                    </w:rPr>
                    <w:t>3</w:t>
                  </w:r>
                </w:p>
              </w:tc>
              <w:tc>
                <w:tcPr>
                  <w:tcW w:w="753" w:type="pct"/>
                  <w:vAlign w:val="center"/>
                </w:tcPr>
                <w:p>
                  <w:pPr>
                    <w:adjustRightInd w:val="0"/>
                    <w:snapToGrid w:val="0"/>
                    <w:jc w:val="center"/>
                    <w:rPr>
                      <w:color w:val="auto"/>
                      <w:szCs w:val="21"/>
                    </w:rPr>
                  </w:pPr>
                  <w:r>
                    <w:rPr>
                      <w:color w:val="auto"/>
                      <w:szCs w:val="21"/>
                    </w:rPr>
                    <w:t>COD</w:t>
                  </w:r>
                </w:p>
              </w:tc>
              <w:tc>
                <w:tcPr>
                  <w:tcW w:w="1253" w:type="pct"/>
                  <w:vAlign w:val="center"/>
                </w:tcPr>
                <w:p>
                  <w:pPr>
                    <w:adjustRightInd w:val="0"/>
                    <w:snapToGrid w:val="0"/>
                    <w:jc w:val="center"/>
                    <w:rPr>
                      <w:color w:val="auto"/>
                      <w:szCs w:val="21"/>
                    </w:rPr>
                  </w:pPr>
                  <w:r>
                    <w:rPr>
                      <w:color w:val="auto"/>
                      <w:szCs w:val="21"/>
                    </w:rPr>
                    <w:t>500</w:t>
                  </w:r>
                </w:p>
              </w:tc>
              <w:tc>
                <w:tcPr>
                  <w:tcW w:w="2301" w:type="pct"/>
                  <w:vMerge w:val="continue"/>
                  <w:vAlign w:val="center"/>
                </w:tcPr>
                <w:p>
                  <w:pPr>
                    <w:adjustRightInd w:val="0"/>
                    <w:snapToGrid w:val="0"/>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693" w:type="pct"/>
                  <w:vAlign w:val="center"/>
                </w:tcPr>
                <w:p>
                  <w:pPr>
                    <w:adjustRightInd w:val="0"/>
                    <w:snapToGrid w:val="0"/>
                    <w:jc w:val="center"/>
                    <w:rPr>
                      <w:color w:val="auto"/>
                      <w:szCs w:val="21"/>
                    </w:rPr>
                  </w:pPr>
                  <w:r>
                    <w:rPr>
                      <w:rFonts w:hint="eastAsia"/>
                      <w:color w:val="auto"/>
                      <w:szCs w:val="21"/>
                    </w:rPr>
                    <w:t>4</w:t>
                  </w:r>
                </w:p>
              </w:tc>
              <w:tc>
                <w:tcPr>
                  <w:tcW w:w="753" w:type="pct"/>
                  <w:vAlign w:val="center"/>
                </w:tcPr>
                <w:p>
                  <w:pPr>
                    <w:adjustRightInd w:val="0"/>
                    <w:snapToGrid w:val="0"/>
                    <w:jc w:val="center"/>
                    <w:rPr>
                      <w:color w:val="auto"/>
                      <w:szCs w:val="21"/>
                    </w:rPr>
                  </w:pPr>
                  <w:r>
                    <w:rPr>
                      <w:color w:val="auto"/>
                      <w:szCs w:val="21"/>
                    </w:rPr>
                    <w:t>氨氮</w:t>
                  </w:r>
                </w:p>
              </w:tc>
              <w:tc>
                <w:tcPr>
                  <w:tcW w:w="1253" w:type="pct"/>
                  <w:vAlign w:val="center"/>
                </w:tcPr>
                <w:p>
                  <w:pPr>
                    <w:adjustRightInd w:val="0"/>
                    <w:snapToGrid w:val="0"/>
                    <w:jc w:val="center"/>
                    <w:rPr>
                      <w:color w:val="auto"/>
                      <w:szCs w:val="21"/>
                    </w:rPr>
                  </w:pPr>
                  <w:r>
                    <w:rPr>
                      <w:color w:val="auto"/>
                      <w:szCs w:val="21"/>
                    </w:rPr>
                    <w:t>45</w:t>
                  </w:r>
                </w:p>
              </w:tc>
              <w:tc>
                <w:tcPr>
                  <w:tcW w:w="2301" w:type="pct"/>
                  <w:vMerge w:val="restart"/>
                  <w:vAlign w:val="center"/>
                </w:tcPr>
                <w:p>
                  <w:pPr>
                    <w:adjustRightInd w:val="0"/>
                    <w:snapToGrid w:val="0"/>
                    <w:jc w:val="center"/>
                    <w:rPr>
                      <w:color w:val="auto"/>
                      <w:szCs w:val="21"/>
                    </w:rPr>
                  </w:pPr>
                  <w:r>
                    <w:rPr>
                      <w:color w:val="auto"/>
                      <w:szCs w:val="21"/>
                    </w:rPr>
                    <w:t>《污水排入城镇下水道水质标准》（GB/T31962-2015）表1中B等级标准。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693" w:type="pct"/>
                  <w:vAlign w:val="center"/>
                </w:tcPr>
                <w:p>
                  <w:pPr>
                    <w:adjustRightInd w:val="0"/>
                    <w:snapToGrid w:val="0"/>
                    <w:jc w:val="center"/>
                    <w:rPr>
                      <w:color w:val="auto"/>
                      <w:szCs w:val="21"/>
                    </w:rPr>
                  </w:pPr>
                  <w:r>
                    <w:rPr>
                      <w:rFonts w:hint="eastAsia"/>
                      <w:color w:val="auto"/>
                      <w:szCs w:val="21"/>
                    </w:rPr>
                    <w:t>5</w:t>
                  </w:r>
                </w:p>
              </w:tc>
              <w:tc>
                <w:tcPr>
                  <w:tcW w:w="753" w:type="pct"/>
                  <w:vAlign w:val="center"/>
                </w:tcPr>
                <w:p>
                  <w:pPr>
                    <w:adjustRightInd w:val="0"/>
                    <w:snapToGrid w:val="0"/>
                    <w:jc w:val="center"/>
                    <w:rPr>
                      <w:color w:val="auto"/>
                      <w:szCs w:val="21"/>
                    </w:rPr>
                  </w:pPr>
                  <w:r>
                    <w:rPr>
                      <w:color w:val="auto"/>
                      <w:szCs w:val="21"/>
                    </w:rPr>
                    <w:t>总磷</w:t>
                  </w:r>
                </w:p>
              </w:tc>
              <w:tc>
                <w:tcPr>
                  <w:tcW w:w="1253" w:type="pct"/>
                  <w:vAlign w:val="center"/>
                </w:tcPr>
                <w:p>
                  <w:pPr>
                    <w:adjustRightInd w:val="0"/>
                    <w:snapToGrid w:val="0"/>
                    <w:jc w:val="center"/>
                    <w:rPr>
                      <w:color w:val="auto"/>
                      <w:szCs w:val="21"/>
                    </w:rPr>
                  </w:pPr>
                  <w:r>
                    <w:rPr>
                      <w:color w:val="auto"/>
                      <w:szCs w:val="21"/>
                    </w:rPr>
                    <w:t>8</w:t>
                  </w:r>
                </w:p>
              </w:tc>
              <w:tc>
                <w:tcPr>
                  <w:tcW w:w="2301" w:type="pct"/>
                  <w:vMerge w:val="continue"/>
                  <w:vAlign w:val="center"/>
                </w:tcPr>
                <w:p>
                  <w:pPr>
                    <w:adjustRightInd w:val="0"/>
                    <w:snapToGrid w:val="0"/>
                    <w:jc w:val="center"/>
                    <w:rPr>
                      <w:color w:val="auto"/>
                      <w:szCs w:val="21"/>
                    </w:rPr>
                  </w:pPr>
                </w:p>
              </w:tc>
            </w:tr>
          </w:tbl>
          <w:p>
            <w:pPr>
              <w:numPr>
                <w:ilvl w:val="0"/>
                <w:numId w:val="11"/>
              </w:numPr>
              <w:adjustRightInd w:val="0"/>
              <w:snapToGrid w:val="0"/>
              <w:spacing w:beforeLines="50" w:line="360" w:lineRule="auto"/>
              <w:rPr>
                <w:b/>
                <w:bCs/>
                <w:color w:val="auto"/>
                <w:sz w:val="24"/>
                <w:szCs w:val="22"/>
              </w:rPr>
            </w:pPr>
            <w:r>
              <w:rPr>
                <w:b/>
                <w:bCs/>
                <w:color w:val="auto"/>
                <w:sz w:val="24"/>
                <w:szCs w:val="22"/>
              </w:rPr>
              <w:t>尾水排放标准</w:t>
            </w:r>
          </w:p>
          <w:p>
            <w:pPr>
              <w:adjustRightInd w:val="0"/>
              <w:snapToGrid w:val="0"/>
              <w:spacing w:line="360" w:lineRule="auto"/>
              <w:ind w:right="-2" w:firstLine="468" w:firstLineChars="195"/>
              <w:rPr>
                <w:color w:val="auto"/>
                <w:sz w:val="24"/>
                <w:szCs w:val="28"/>
              </w:rPr>
            </w:pPr>
            <w:r>
              <w:rPr>
                <w:color w:val="auto"/>
                <w:sz w:val="24"/>
              </w:rPr>
              <w:t>江宁经济技术</w:t>
            </w:r>
            <w:r>
              <w:rPr>
                <w:color w:val="auto"/>
                <w:sz w:val="24"/>
                <w:szCs w:val="22"/>
              </w:rPr>
              <w:t>开发区污水处理厂</w:t>
            </w:r>
            <w:r>
              <w:rPr>
                <w:color w:val="auto"/>
                <w:sz w:val="24"/>
                <w:szCs w:val="28"/>
              </w:rPr>
              <w:t>尾水排放执行《城镇污水处理厂污染物排放标准》（GB18918－2002）表1中的一级标准的A标准。具体数值见表3-</w:t>
            </w:r>
            <w:r>
              <w:rPr>
                <w:rFonts w:hint="eastAsia"/>
                <w:color w:val="auto"/>
                <w:sz w:val="24"/>
                <w:szCs w:val="28"/>
              </w:rPr>
              <w:t>7</w:t>
            </w:r>
            <w:r>
              <w:rPr>
                <w:color w:val="auto"/>
                <w:sz w:val="24"/>
                <w:szCs w:val="28"/>
              </w:rPr>
              <w:t>。</w:t>
            </w:r>
          </w:p>
          <w:p>
            <w:pPr>
              <w:keepNext/>
              <w:adjustRightInd w:val="0"/>
              <w:snapToGrid w:val="0"/>
              <w:spacing w:line="360" w:lineRule="auto"/>
              <w:jc w:val="center"/>
              <w:rPr>
                <w:b/>
                <w:color w:val="auto"/>
                <w:szCs w:val="21"/>
              </w:rPr>
            </w:pPr>
            <w:r>
              <w:rPr>
                <w:b/>
                <w:color w:val="auto"/>
                <w:sz w:val="24"/>
                <w:szCs w:val="21"/>
              </w:rPr>
              <w:t>表3-</w:t>
            </w:r>
            <w:r>
              <w:rPr>
                <w:rFonts w:hint="eastAsia"/>
                <w:b/>
                <w:color w:val="auto"/>
                <w:sz w:val="24"/>
                <w:szCs w:val="21"/>
              </w:rPr>
              <w:t>7</w:t>
            </w:r>
            <w:r>
              <w:rPr>
                <w:b/>
                <w:bCs/>
                <w:color w:val="auto"/>
                <w:sz w:val="24"/>
              </w:rPr>
              <w:t>江宁经济技术</w:t>
            </w:r>
            <w:r>
              <w:rPr>
                <w:b/>
                <w:color w:val="auto"/>
                <w:sz w:val="24"/>
                <w:szCs w:val="21"/>
              </w:rPr>
              <w:t>开发区污水处理厂尾水排放标准 单位：mg/L（pH为无量纲）</w:t>
            </w:r>
          </w:p>
          <w:tbl>
            <w:tblPr>
              <w:tblStyle w:val="34"/>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3"/>
              <w:gridCol w:w="2295"/>
              <w:gridCol w:w="1654"/>
              <w:gridCol w:w="31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2" w:hRule="atLeast"/>
              </w:trPr>
              <w:tc>
                <w:tcPr>
                  <w:tcW w:w="845" w:type="pct"/>
                  <w:vAlign w:val="center"/>
                </w:tcPr>
                <w:p>
                  <w:pPr>
                    <w:adjustRightInd w:val="0"/>
                    <w:snapToGrid w:val="0"/>
                    <w:jc w:val="center"/>
                    <w:rPr>
                      <w:b/>
                      <w:color w:val="auto"/>
                      <w:szCs w:val="21"/>
                    </w:rPr>
                  </w:pPr>
                  <w:r>
                    <w:rPr>
                      <w:b/>
                      <w:color w:val="auto"/>
                      <w:szCs w:val="21"/>
                    </w:rPr>
                    <w:t>序号</w:t>
                  </w:r>
                </w:p>
              </w:tc>
              <w:tc>
                <w:tcPr>
                  <w:tcW w:w="1344" w:type="pct"/>
                  <w:vAlign w:val="center"/>
                </w:tcPr>
                <w:p>
                  <w:pPr>
                    <w:adjustRightInd w:val="0"/>
                    <w:snapToGrid w:val="0"/>
                    <w:jc w:val="center"/>
                    <w:rPr>
                      <w:b/>
                      <w:color w:val="auto"/>
                      <w:szCs w:val="21"/>
                    </w:rPr>
                  </w:pPr>
                  <w:r>
                    <w:rPr>
                      <w:b/>
                      <w:color w:val="auto"/>
                      <w:szCs w:val="21"/>
                    </w:rPr>
                    <w:t>项目</w:t>
                  </w:r>
                </w:p>
              </w:tc>
              <w:tc>
                <w:tcPr>
                  <w:tcW w:w="969" w:type="pct"/>
                  <w:vAlign w:val="center"/>
                </w:tcPr>
                <w:p>
                  <w:pPr>
                    <w:adjustRightInd w:val="0"/>
                    <w:snapToGrid w:val="0"/>
                    <w:jc w:val="center"/>
                    <w:rPr>
                      <w:b/>
                      <w:color w:val="auto"/>
                      <w:szCs w:val="21"/>
                    </w:rPr>
                  </w:pPr>
                  <w:r>
                    <w:rPr>
                      <w:b/>
                      <w:color w:val="auto"/>
                      <w:szCs w:val="21"/>
                    </w:rPr>
                    <w:t>标准限值</w:t>
                  </w:r>
                </w:p>
              </w:tc>
              <w:tc>
                <w:tcPr>
                  <w:tcW w:w="1840" w:type="pct"/>
                  <w:vAlign w:val="center"/>
                </w:tcPr>
                <w:p>
                  <w:pPr>
                    <w:adjustRightInd w:val="0"/>
                    <w:snapToGrid w:val="0"/>
                    <w:jc w:val="center"/>
                    <w:rPr>
                      <w:b/>
                      <w:color w:val="auto"/>
                      <w:szCs w:val="21"/>
                    </w:rPr>
                  </w:pPr>
                  <w:r>
                    <w:rPr>
                      <w:b/>
                      <w:color w:val="auto"/>
                      <w:szCs w:val="21"/>
                    </w:rPr>
                    <w:t>标准来源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845" w:type="pct"/>
                  <w:vAlign w:val="center"/>
                </w:tcPr>
                <w:p>
                  <w:pPr>
                    <w:adjustRightInd w:val="0"/>
                    <w:snapToGrid w:val="0"/>
                    <w:jc w:val="center"/>
                    <w:rPr>
                      <w:color w:val="auto"/>
                      <w:szCs w:val="21"/>
                    </w:rPr>
                  </w:pPr>
                  <w:r>
                    <w:rPr>
                      <w:color w:val="auto"/>
                      <w:szCs w:val="21"/>
                    </w:rPr>
                    <w:t>1</w:t>
                  </w:r>
                </w:p>
              </w:tc>
              <w:tc>
                <w:tcPr>
                  <w:tcW w:w="1344" w:type="pct"/>
                  <w:vAlign w:val="center"/>
                </w:tcPr>
                <w:p>
                  <w:pPr>
                    <w:adjustRightInd w:val="0"/>
                    <w:snapToGrid w:val="0"/>
                    <w:jc w:val="center"/>
                    <w:rPr>
                      <w:color w:val="auto"/>
                      <w:szCs w:val="21"/>
                    </w:rPr>
                  </w:pPr>
                  <w:r>
                    <w:rPr>
                      <w:color w:val="auto"/>
                      <w:szCs w:val="21"/>
                    </w:rPr>
                    <w:t>pH</w:t>
                  </w:r>
                </w:p>
              </w:tc>
              <w:tc>
                <w:tcPr>
                  <w:tcW w:w="969" w:type="pct"/>
                  <w:vAlign w:val="center"/>
                </w:tcPr>
                <w:p>
                  <w:pPr>
                    <w:adjustRightInd w:val="0"/>
                    <w:snapToGrid w:val="0"/>
                    <w:jc w:val="center"/>
                    <w:rPr>
                      <w:color w:val="auto"/>
                      <w:szCs w:val="21"/>
                    </w:rPr>
                  </w:pPr>
                  <w:r>
                    <w:rPr>
                      <w:color w:val="auto"/>
                      <w:szCs w:val="21"/>
                    </w:rPr>
                    <w:t>6~9</w:t>
                  </w:r>
                </w:p>
              </w:tc>
              <w:tc>
                <w:tcPr>
                  <w:tcW w:w="1840" w:type="pct"/>
                  <w:vMerge w:val="restart"/>
                  <w:vAlign w:val="center"/>
                </w:tcPr>
                <w:p>
                  <w:pPr>
                    <w:adjustRightInd w:val="0"/>
                    <w:snapToGrid w:val="0"/>
                    <w:jc w:val="center"/>
                    <w:rPr>
                      <w:color w:val="auto"/>
                      <w:szCs w:val="21"/>
                    </w:rPr>
                  </w:pPr>
                  <w:r>
                    <w:rPr>
                      <w:color w:val="auto"/>
                      <w:szCs w:val="21"/>
                    </w:rPr>
                    <w:t>《城镇污水处理厂污染物排放标准》（GB18918－2002）表1中一级标准的A标准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2" w:hRule="atLeast"/>
              </w:trPr>
              <w:tc>
                <w:tcPr>
                  <w:tcW w:w="845" w:type="pct"/>
                  <w:vAlign w:val="center"/>
                </w:tcPr>
                <w:p>
                  <w:pPr>
                    <w:adjustRightInd w:val="0"/>
                    <w:snapToGrid w:val="0"/>
                    <w:jc w:val="center"/>
                    <w:rPr>
                      <w:color w:val="auto"/>
                      <w:szCs w:val="21"/>
                    </w:rPr>
                  </w:pPr>
                  <w:r>
                    <w:rPr>
                      <w:color w:val="auto"/>
                      <w:szCs w:val="21"/>
                    </w:rPr>
                    <w:t>2</w:t>
                  </w:r>
                </w:p>
              </w:tc>
              <w:tc>
                <w:tcPr>
                  <w:tcW w:w="1344" w:type="pct"/>
                  <w:vAlign w:val="center"/>
                </w:tcPr>
                <w:p>
                  <w:pPr>
                    <w:adjustRightInd w:val="0"/>
                    <w:snapToGrid w:val="0"/>
                    <w:jc w:val="center"/>
                    <w:rPr>
                      <w:color w:val="auto"/>
                      <w:szCs w:val="21"/>
                    </w:rPr>
                  </w:pPr>
                  <w:r>
                    <w:rPr>
                      <w:color w:val="auto"/>
                      <w:szCs w:val="21"/>
                    </w:rPr>
                    <w:t>SS</w:t>
                  </w:r>
                </w:p>
              </w:tc>
              <w:tc>
                <w:tcPr>
                  <w:tcW w:w="969" w:type="pct"/>
                  <w:vAlign w:val="center"/>
                </w:tcPr>
                <w:p>
                  <w:pPr>
                    <w:adjustRightInd w:val="0"/>
                    <w:snapToGrid w:val="0"/>
                    <w:jc w:val="center"/>
                    <w:rPr>
                      <w:color w:val="auto"/>
                      <w:szCs w:val="21"/>
                    </w:rPr>
                  </w:pPr>
                  <w:r>
                    <w:rPr>
                      <w:color w:val="auto"/>
                      <w:szCs w:val="21"/>
                    </w:rPr>
                    <w:t>10</w:t>
                  </w:r>
                </w:p>
              </w:tc>
              <w:tc>
                <w:tcPr>
                  <w:tcW w:w="1840" w:type="pct"/>
                  <w:vMerge w:val="continue"/>
                  <w:vAlign w:val="center"/>
                </w:tcPr>
                <w:p>
                  <w:pPr>
                    <w:adjustRightInd w:val="0"/>
                    <w:snapToGrid w:val="0"/>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32" w:hRule="atLeast"/>
              </w:trPr>
              <w:tc>
                <w:tcPr>
                  <w:tcW w:w="845" w:type="pct"/>
                  <w:vAlign w:val="center"/>
                </w:tcPr>
                <w:p>
                  <w:pPr>
                    <w:adjustRightInd w:val="0"/>
                    <w:snapToGrid w:val="0"/>
                    <w:jc w:val="center"/>
                    <w:rPr>
                      <w:color w:val="auto"/>
                      <w:szCs w:val="21"/>
                    </w:rPr>
                  </w:pPr>
                  <w:r>
                    <w:rPr>
                      <w:color w:val="auto"/>
                      <w:szCs w:val="21"/>
                    </w:rPr>
                    <w:t>3</w:t>
                  </w:r>
                </w:p>
              </w:tc>
              <w:tc>
                <w:tcPr>
                  <w:tcW w:w="1344" w:type="pct"/>
                  <w:vAlign w:val="center"/>
                </w:tcPr>
                <w:p>
                  <w:pPr>
                    <w:adjustRightInd w:val="0"/>
                    <w:snapToGrid w:val="0"/>
                    <w:jc w:val="center"/>
                    <w:rPr>
                      <w:color w:val="auto"/>
                      <w:szCs w:val="21"/>
                    </w:rPr>
                  </w:pPr>
                  <w:r>
                    <w:rPr>
                      <w:color w:val="auto"/>
                      <w:szCs w:val="21"/>
                    </w:rPr>
                    <w:t>COD</w:t>
                  </w:r>
                </w:p>
              </w:tc>
              <w:tc>
                <w:tcPr>
                  <w:tcW w:w="969" w:type="pct"/>
                  <w:vAlign w:val="center"/>
                </w:tcPr>
                <w:p>
                  <w:pPr>
                    <w:adjustRightInd w:val="0"/>
                    <w:snapToGrid w:val="0"/>
                    <w:jc w:val="center"/>
                    <w:rPr>
                      <w:color w:val="auto"/>
                      <w:szCs w:val="21"/>
                    </w:rPr>
                  </w:pPr>
                  <w:r>
                    <w:rPr>
                      <w:color w:val="auto"/>
                      <w:szCs w:val="21"/>
                    </w:rPr>
                    <w:t>50</w:t>
                  </w:r>
                </w:p>
              </w:tc>
              <w:tc>
                <w:tcPr>
                  <w:tcW w:w="1840" w:type="pct"/>
                  <w:vMerge w:val="continue"/>
                  <w:vAlign w:val="center"/>
                </w:tcPr>
                <w:p>
                  <w:pPr>
                    <w:adjustRightInd w:val="0"/>
                    <w:snapToGrid w:val="0"/>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68" w:hRule="atLeast"/>
              </w:trPr>
              <w:tc>
                <w:tcPr>
                  <w:tcW w:w="845" w:type="pct"/>
                  <w:vAlign w:val="center"/>
                </w:tcPr>
                <w:p>
                  <w:pPr>
                    <w:adjustRightInd w:val="0"/>
                    <w:snapToGrid w:val="0"/>
                    <w:jc w:val="center"/>
                    <w:rPr>
                      <w:color w:val="auto"/>
                      <w:szCs w:val="21"/>
                    </w:rPr>
                  </w:pPr>
                  <w:r>
                    <w:rPr>
                      <w:color w:val="auto"/>
                      <w:szCs w:val="21"/>
                    </w:rPr>
                    <w:t>3</w:t>
                  </w:r>
                </w:p>
              </w:tc>
              <w:tc>
                <w:tcPr>
                  <w:tcW w:w="1344" w:type="pct"/>
                  <w:vAlign w:val="center"/>
                </w:tcPr>
                <w:p>
                  <w:pPr>
                    <w:adjustRightInd w:val="0"/>
                    <w:snapToGrid w:val="0"/>
                    <w:jc w:val="center"/>
                    <w:rPr>
                      <w:color w:val="auto"/>
                      <w:szCs w:val="21"/>
                    </w:rPr>
                  </w:pPr>
                  <w:r>
                    <w:rPr>
                      <w:color w:val="auto"/>
                      <w:szCs w:val="21"/>
                    </w:rPr>
                    <w:t>石油类</w:t>
                  </w:r>
                </w:p>
              </w:tc>
              <w:tc>
                <w:tcPr>
                  <w:tcW w:w="969" w:type="pct"/>
                  <w:vAlign w:val="center"/>
                </w:tcPr>
                <w:p>
                  <w:pPr>
                    <w:adjustRightInd w:val="0"/>
                    <w:snapToGrid w:val="0"/>
                    <w:jc w:val="center"/>
                    <w:rPr>
                      <w:color w:val="auto"/>
                      <w:szCs w:val="21"/>
                    </w:rPr>
                  </w:pPr>
                  <w:r>
                    <w:rPr>
                      <w:color w:val="auto"/>
                      <w:szCs w:val="21"/>
                    </w:rPr>
                    <w:t>1</w:t>
                  </w:r>
                </w:p>
              </w:tc>
              <w:tc>
                <w:tcPr>
                  <w:tcW w:w="1840" w:type="pct"/>
                  <w:vMerge w:val="continue"/>
                  <w:vAlign w:val="center"/>
                </w:tcPr>
                <w:p>
                  <w:pPr>
                    <w:adjustRightInd w:val="0"/>
                    <w:snapToGrid w:val="0"/>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2" w:hRule="atLeast"/>
              </w:trPr>
              <w:tc>
                <w:tcPr>
                  <w:tcW w:w="845" w:type="pct"/>
                  <w:vAlign w:val="center"/>
                </w:tcPr>
                <w:p>
                  <w:pPr>
                    <w:adjustRightInd w:val="0"/>
                    <w:snapToGrid w:val="0"/>
                    <w:jc w:val="center"/>
                    <w:rPr>
                      <w:color w:val="auto"/>
                      <w:szCs w:val="21"/>
                    </w:rPr>
                  </w:pPr>
                  <w:r>
                    <w:rPr>
                      <w:color w:val="auto"/>
                      <w:szCs w:val="21"/>
                    </w:rPr>
                    <w:t>4</w:t>
                  </w:r>
                </w:p>
              </w:tc>
              <w:tc>
                <w:tcPr>
                  <w:tcW w:w="1344" w:type="pct"/>
                  <w:vAlign w:val="center"/>
                </w:tcPr>
                <w:p>
                  <w:pPr>
                    <w:adjustRightInd w:val="0"/>
                    <w:snapToGrid w:val="0"/>
                    <w:jc w:val="center"/>
                    <w:rPr>
                      <w:color w:val="auto"/>
                      <w:szCs w:val="21"/>
                    </w:rPr>
                  </w:pPr>
                  <w:r>
                    <w:rPr>
                      <w:color w:val="auto"/>
                      <w:kern w:val="0"/>
                      <w:sz w:val="22"/>
                      <w:szCs w:val="22"/>
                    </w:rPr>
                    <w:t>总磷</w:t>
                  </w:r>
                </w:p>
              </w:tc>
              <w:tc>
                <w:tcPr>
                  <w:tcW w:w="969" w:type="pct"/>
                  <w:vAlign w:val="center"/>
                </w:tcPr>
                <w:p>
                  <w:pPr>
                    <w:adjustRightInd w:val="0"/>
                    <w:snapToGrid w:val="0"/>
                    <w:jc w:val="center"/>
                    <w:rPr>
                      <w:color w:val="auto"/>
                      <w:szCs w:val="21"/>
                    </w:rPr>
                  </w:pPr>
                  <w:r>
                    <w:rPr>
                      <w:color w:val="auto"/>
                      <w:szCs w:val="21"/>
                    </w:rPr>
                    <w:t>0.5</w:t>
                  </w:r>
                </w:p>
              </w:tc>
              <w:tc>
                <w:tcPr>
                  <w:tcW w:w="1840" w:type="pct"/>
                  <w:vMerge w:val="continue"/>
                  <w:vAlign w:val="center"/>
                </w:tcPr>
                <w:p>
                  <w:pPr>
                    <w:adjustRightInd w:val="0"/>
                    <w:snapToGrid w:val="0"/>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2" w:hRule="atLeast"/>
              </w:trPr>
              <w:tc>
                <w:tcPr>
                  <w:tcW w:w="845" w:type="pct"/>
                  <w:vAlign w:val="center"/>
                </w:tcPr>
                <w:p>
                  <w:pPr>
                    <w:adjustRightInd w:val="0"/>
                    <w:snapToGrid w:val="0"/>
                    <w:jc w:val="center"/>
                    <w:rPr>
                      <w:color w:val="auto"/>
                      <w:szCs w:val="21"/>
                    </w:rPr>
                  </w:pPr>
                  <w:r>
                    <w:rPr>
                      <w:color w:val="auto"/>
                      <w:szCs w:val="21"/>
                    </w:rPr>
                    <w:t>5</w:t>
                  </w:r>
                </w:p>
              </w:tc>
              <w:tc>
                <w:tcPr>
                  <w:tcW w:w="1344" w:type="pct"/>
                  <w:vAlign w:val="center"/>
                </w:tcPr>
                <w:p>
                  <w:pPr>
                    <w:adjustRightInd w:val="0"/>
                    <w:snapToGrid w:val="0"/>
                    <w:jc w:val="center"/>
                    <w:rPr>
                      <w:color w:val="auto"/>
                      <w:szCs w:val="21"/>
                    </w:rPr>
                  </w:pPr>
                  <w:r>
                    <w:rPr>
                      <w:color w:val="auto"/>
                      <w:szCs w:val="21"/>
                    </w:rPr>
                    <w:t>氨氮</w:t>
                  </w:r>
                </w:p>
              </w:tc>
              <w:tc>
                <w:tcPr>
                  <w:tcW w:w="969" w:type="pct"/>
                  <w:vAlign w:val="center"/>
                </w:tcPr>
                <w:p>
                  <w:pPr>
                    <w:adjustRightInd w:val="0"/>
                    <w:snapToGrid w:val="0"/>
                    <w:jc w:val="center"/>
                    <w:rPr>
                      <w:color w:val="auto"/>
                      <w:szCs w:val="21"/>
                    </w:rPr>
                  </w:pPr>
                  <w:r>
                    <w:rPr>
                      <w:color w:val="auto"/>
                      <w:szCs w:val="21"/>
                    </w:rPr>
                    <w:t>5（8）*</w:t>
                  </w:r>
                </w:p>
              </w:tc>
              <w:tc>
                <w:tcPr>
                  <w:tcW w:w="1840" w:type="pct"/>
                  <w:vMerge w:val="continue"/>
                  <w:vAlign w:val="center"/>
                </w:tcPr>
                <w:p>
                  <w:pPr>
                    <w:adjustRightInd w:val="0"/>
                    <w:snapToGrid w:val="0"/>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2" w:hRule="atLeast"/>
              </w:trPr>
              <w:tc>
                <w:tcPr>
                  <w:tcW w:w="845" w:type="pct"/>
                  <w:vAlign w:val="center"/>
                </w:tcPr>
                <w:p>
                  <w:pPr>
                    <w:adjustRightInd w:val="0"/>
                    <w:snapToGrid w:val="0"/>
                    <w:jc w:val="center"/>
                    <w:rPr>
                      <w:color w:val="auto"/>
                      <w:szCs w:val="21"/>
                    </w:rPr>
                  </w:pPr>
                  <w:r>
                    <w:rPr>
                      <w:color w:val="auto"/>
                      <w:szCs w:val="21"/>
                    </w:rPr>
                    <w:t>6</w:t>
                  </w:r>
                </w:p>
              </w:tc>
              <w:tc>
                <w:tcPr>
                  <w:tcW w:w="1344" w:type="pct"/>
                  <w:vAlign w:val="center"/>
                </w:tcPr>
                <w:p>
                  <w:pPr>
                    <w:adjustRightInd w:val="0"/>
                    <w:snapToGrid w:val="0"/>
                    <w:jc w:val="center"/>
                    <w:rPr>
                      <w:color w:val="auto"/>
                      <w:szCs w:val="21"/>
                    </w:rPr>
                  </w:pPr>
                  <w:r>
                    <w:rPr>
                      <w:color w:val="auto"/>
                      <w:szCs w:val="21"/>
                    </w:rPr>
                    <w:t>总氮</w:t>
                  </w:r>
                </w:p>
              </w:tc>
              <w:tc>
                <w:tcPr>
                  <w:tcW w:w="969" w:type="pct"/>
                  <w:vAlign w:val="center"/>
                </w:tcPr>
                <w:p>
                  <w:pPr>
                    <w:adjustRightInd w:val="0"/>
                    <w:snapToGrid w:val="0"/>
                    <w:jc w:val="center"/>
                    <w:rPr>
                      <w:color w:val="auto"/>
                      <w:szCs w:val="21"/>
                    </w:rPr>
                  </w:pPr>
                  <w:r>
                    <w:rPr>
                      <w:color w:val="auto"/>
                      <w:szCs w:val="21"/>
                    </w:rPr>
                    <w:t>15</w:t>
                  </w:r>
                </w:p>
              </w:tc>
              <w:tc>
                <w:tcPr>
                  <w:tcW w:w="1840" w:type="pct"/>
                  <w:vMerge w:val="continue"/>
                  <w:vAlign w:val="center"/>
                </w:tcPr>
                <w:p>
                  <w:pPr>
                    <w:adjustRightInd w:val="0"/>
                    <w:snapToGrid w:val="0"/>
                    <w:jc w:val="center"/>
                    <w:rPr>
                      <w:color w:val="auto"/>
                      <w:szCs w:val="21"/>
                    </w:rPr>
                  </w:pPr>
                </w:p>
              </w:tc>
            </w:tr>
          </w:tbl>
          <w:p>
            <w:pPr>
              <w:adjustRightInd w:val="0"/>
              <w:snapToGrid w:val="0"/>
              <w:ind w:firstLine="420" w:firstLineChars="200"/>
              <w:rPr>
                <w:bCs/>
                <w:color w:val="auto"/>
                <w:szCs w:val="21"/>
              </w:rPr>
            </w:pPr>
            <w:r>
              <w:rPr>
                <w:bCs/>
                <w:color w:val="auto"/>
                <w:szCs w:val="21"/>
              </w:rPr>
              <w:t>注：pH无量纲；括号外数值为水温＞12</w:t>
            </w:r>
            <w:r>
              <w:rPr>
                <w:rFonts w:hint="eastAsia" w:ascii="宋体" w:hAnsi="宋体" w:cs="宋体"/>
                <w:bCs/>
                <w:color w:val="auto"/>
                <w:szCs w:val="21"/>
              </w:rPr>
              <w:t>℃</w:t>
            </w:r>
            <w:r>
              <w:rPr>
                <w:bCs/>
                <w:color w:val="auto"/>
                <w:szCs w:val="21"/>
              </w:rPr>
              <w:t>时控制指标，括号内数值为水温≤12</w:t>
            </w:r>
            <w:r>
              <w:rPr>
                <w:rFonts w:hint="eastAsia" w:ascii="宋体" w:hAnsi="宋体" w:cs="宋体"/>
                <w:bCs/>
                <w:color w:val="auto"/>
                <w:szCs w:val="21"/>
              </w:rPr>
              <w:t>℃</w:t>
            </w:r>
            <w:r>
              <w:rPr>
                <w:bCs/>
                <w:color w:val="auto"/>
                <w:szCs w:val="21"/>
              </w:rPr>
              <w:t>时的控制指标。</w:t>
            </w:r>
          </w:p>
          <w:p>
            <w:pPr>
              <w:spacing w:beforeLines="50" w:line="360" w:lineRule="auto"/>
              <w:rPr>
                <w:b/>
                <w:bCs/>
                <w:color w:val="auto"/>
                <w:sz w:val="24"/>
                <w:shd w:val="clear" w:color="auto" w:fill="FFFFFF"/>
              </w:rPr>
            </w:pPr>
            <w:r>
              <w:rPr>
                <w:b/>
                <w:bCs/>
                <w:color w:val="auto"/>
                <w:sz w:val="24"/>
                <w:shd w:val="clear" w:color="auto" w:fill="FFFFFF"/>
              </w:rPr>
              <w:t>3、噪声排放标准</w:t>
            </w:r>
          </w:p>
          <w:p>
            <w:pPr>
              <w:spacing w:line="360" w:lineRule="auto"/>
              <w:ind w:firstLine="480" w:firstLineChars="200"/>
              <w:rPr>
                <w:color w:val="auto"/>
                <w:sz w:val="24"/>
              </w:rPr>
            </w:pPr>
            <w:r>
              <w:rPr>
                <w:color w:val="auto"/>
                <w:sz w:val="24"/>
              </w:rPr>
              <w:t>项目运营期厂界噪声执行《工业企业厂界环境噪声排放标准》（GB12348-2008）中</w:t>
            </w:r>
            <w:r>
              <w:rPr>
                <w:rFonts w:hint="eastAsia"/>
                <w:color w:val="auto"/>
                <w:sz w:val="24"/>
              </w:rPr>
              <w:t>2</w:t>
            </w:r>
            <w:r>
              <w:rPr>
                <w:color w:val="auto"/>
                <w:sz w:val="24"/>
              </w:rPr>
              <w:t>类区标准，具体标准值见表3-</w:t>
            </w:r>
            <w:r>
              <w:rPr>
                <w:rFonts w:hint="eastAsia"/>
                <w:color w:val="auto"/>
                <w:sz w:val="24"/>
              </w:rPr>
              <w:t>8</w:t>
            </w:r>
            <w:r>
              <w:rPr>
                <w:color w:val="auto"/>
                <w:sz w:val="24"/>
              </w:rPr>
              <w:t>。</w:t>
            </w:r>
          </w:p>
          <w:p>
            <w:pPr>
              <w:spacing w:line="360" w:lineRule="auto"/>
              <w:jc w:val="center"/>
              <w:rPr>
                <w:b/>
                <w:bCs/>
                <w:color w:val="auto"/>
                <w:sz w:val="24"/>
              </w:rPr>
            </w:pPr>
            <w:r>
              <w:rPr>
                <w:b/>
                <w:bCs/>
                <w:color w:val="auto"/>
                <w:sz w:val="24"/>
              </w:rPr>
              <w:t>表3-</w:t>
            </w:r>
            <w:r>
              <w:rPr>
                <w:rFonts w:hint="eastAsia"/>
                <w:b/>
                <w:bCs/>
                <w:color w:val="auto"/>
                <w:sz w:val="24"/>
              </w:rPr>
              <w:t>8</w:t>
            </w:r>
            <w:r>
              <w:rPr>
                <w:b/>
                <w:bCs/>
                <w:color w:val="auto"/>
                <w:sz w:val="24"/>
              </w:rPr>
              <w:t xml:space="preserve">  噪声排放标准</w:t>
            </w:r>
          </w:p>
          <w:tbl>
            <w:tblPr>
              <w:tblStyle w:val="34"/>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313"/>
              <w:gridCol w:w="1648"/>
              <w:gridCol w:w="1751"/>
              <w:gridCol w:w="3818"/>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340" w:hRule="atLeast"/>
                <w:jc w:val="center"/>
              </w:trPr>
              <w:tc>
                <w:tcPr>
                  <w:tcW w:w="770" w:type="pct"/>
                  <w:vAlign w:val="center"/>
                </w:tcPr>
                <w:p>
                  <w:pPr>
                    <w:jc w:val="center"/>
                    <w:rPr>
                      <w:color w:val="auto"/>
                      <w:szCs w:val="21"/>
                    </w:rPr>
                  </w:pPr>
                  <w:r>
                    <w:rPr>
                      <w:color w:val="auto"/>
                      <w:szCs w:val="21"/>
                    </w:rPr>
                    <w:t>类别</w:t>
                  </w:r>
                </w:p>
              </w:tc>
              <w:tc>
                <w:tcPr>
                  <w:tcW w:w="966" w:type="pct"/>
                  <w:vAlign w:val="center"/>
                </w:tcPr>
                <w:p>
                  <w:pPr>
                    <w:jc w:val="center"/>
                    <w:rPr>
                      <w:color w:val="auto"/>
                      <w:szCs w:val="21"/>
                    </w:rPr>
                  </w:pPr>
                  <w:r>
                    <w:rPr>
                      <w:color w:val="auto"/>
                      <w:szCs w:val="21"/>
                    </w:rPr>
                    <w:t>昼间dB(A)</w:t>
                  </w:r>
                </w:p>
              </w:tc>
              <w:tc>
                <w:tcPr>
                  <w:tcW w:w="1026" w:type="pct"/>
                  <w:vAlign w:val="center"/>
                </w:tcPr>
                <w:p>
                  <w:pPr>
                    <w:jc w:val="center"/>
                    <w:rPr>
                      <w:color w:val="auto"/>
                      <w:szCs w:val="21"/>
                    </w:rPr>
                  </w:pPr>
                  <w:r>
                    <w:rPr>
                      <w:color w:val="auto"/>
                      <w:szCs w:val="21"/>
                    </w:rPr>
                    <w:t>夜间dB(A)</w:t>
                  </w:r>
                </w:p>
              </w:tc>
              <w:tc>
                <w:tcPr>
                  <w:tcW w:w="2238" w:type="pct"/>
                  <w:vAlign w:val="center"/>
                </w:tcPr>
                <w:p>
                  <w:pPr>
                    <w:jc w:val="center"/>
                    <w:rPr>
                      <w:color w:val="auto"/>
                      <w:szCs w:val="21"/>
                    </w:rPr>
                  </w:pPr>
                  <w:r>
                    <w:rPr>
                      <w:color w:val="auto"/>
                      <w:szCs w:val="21"/>
                    </w:rPr>
                    <w:t>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770" w:type="pct"/>
                  <w:vAlign w:val="center"/>
                </w:tcPr>
                <w:p>
                  <w:pPr>
                    <w:jc w:val="center"/>
                    <w:rPr>
                      <w:color w:val="auto"/>
                      <w:szCs w:val="21"/>
                    </w:rPr>
                  </w:pPr>
                  <w:r>
                    <w:rPr>
                      <w:color w:val="auto"/>
                      <w:szCs w:val="21"/>
                    </w:rPr>
                    <w:t>标准限值</w:t>
                  </w:r>
                </w:p>
              </w:tc>
              <w:tc>
                <w:tcPr>
                  <w:tcW w:w="966" w:type="pct"/>
                  <w:vAlign w:val="center"/>
                </w:tcPr>
                <w:p>
                  <w:pPr>
                    <w:jc w:val="center"/>
                    <w:rPr>
                      <w:color w:val="auto"/>
                      <w:szCs w:val="21"/>
                    </w:rPr>
                  </w:pPr>
                  <w:r>
                    <w:rPr>
                      <w:color w:val="auto"/>
                      <w:szCs w:val="21"/>
                    </w:rPr>
                    <w:t>6</w:t>
                  </w:r>
                  <w:r>
                    <w:rPr>
                      <w:rFonts w:hint="eastAsia"/>
                      <w:color w:val="auto"/>
                      <w:szCs w:val="21"/>
                    </w:rPr>
                    <w:t>0</w:t>
                  </w:r>
                </w:p>
              </w:tc>
              <w:tc>
                <w:tcPr>
                  <w:tcW w:w="1026" w:type="pct"/>
                  <w:vAlign w:val="center"/>
                </w:tcPr>
                <w:p>
                  <w:pPr>
                    <w:jc w:val="center"/>
                    <w:rPr>
                      <w:color w:val="auto"/>
                      <w:szCs w:val="21"/>
                    </w:rPr>
                  </w:pPr>
                  <w:r>
                    <w:rPr>
                      <w:color w:val="auto"/>
                      <w:szCs w:val="21"/>
                    </w:rPr>
                    <w:t>5</w:t>
                  </w:r>
                  <w:r>
                    <w:rPr>
                      <w:rFonts w:hint="eastAsia"/>
                      <w:color w:val="auto"/>
                      <w:szCs w:val="21"/>
                    </w:rPr>
                    <w:t>0</w:t>
                  </w:r>
                </w:p>
              </w:tc>
              <w:tc>
                <w:tcPr>
                  <w:tcW w:w="2238" w:type="pct"/>
                  <w:vAlign w:val="center"/>
                </w:tcPr>
                <w:p>
                  <w:pPr>
                    <w:jc w:val="center"/>
                    <w:rPr>
                      <w:color w:val="auto"/>
                      <w:szCs w:val="21"/>
                    </w:rPr>
                  </w:pPr>
                  <w:r>
                    <w:rPr>
                      <w:color w:val="auto"/>
                      <w:szCs w:val="21"/>
                    </w:rPr>
                    <w:t>《工业企业厂界环境噪声排放标准》</w:t>
                  </w:r>
                </w:p>
                <w:p>
                  <w:pPr>
                    <w:jc w:val="center"/>
                    <w:rPr>
                      <w:color w:val="auto"/>
                      <w:szCs w:val="21"/>
                    </w:rPr>
                  </w:pPr>
                  <w:r>
                    <w:rPr>
                      <w:color w:val="auto"/>
                      <w:szCs w:val="21"/>
                    </w:rPr>
                    <w:t>（GB12348-2008）</w:t>
                  </w:r>
                  <w:r>
                    <w:rPr>
                      <w:rFonts w:hint="eastAsia"/>
                      <w:color w:val="auto"/>
                      <w:szCs w:val="21"/>
                    </w:rPr>
                    <w:t>2</w:t>
                  </w:r>
                  <w:r>
                    <w:rPr>
                      <w:color w:val="auto"/>
                      <w:szCs w:val="21"/>
                    </w:rPr>
                    <w:t>类标准</w:t>
                  </w:r>
                </w:p>
              </w:tc>
            </w:tr>
          </w:tbl>
          <w:p>
            <w:pPr>
              <w:pStyle w:val="14"/>
              <w:spacing w:beforeLines="50" w:after="0" w:line="360" w:lineRule="auto"/>
              <w:ind w:left="0" w:leftChars="0"/>
              <w:rPr>
                <w:b/>
                <w:bCs/>
                <w:color w:val="auto"/>
                <w:szCs w:val="24"/>
              </w:rPr>
            </w:pPr>
            <w:r>
              <w:rPr>
                <w:b/>
                <w:bCs/>
                <w:color w:val="auto"/>
                <w:szCs w:val="24"/>
              </w:rPr>
              <w:t>3、固废贮存及处置标准</w:t>
            </w:r>
          </w:p>
          <w:p>
            <w:pPr>
              <w:spacing w:line="360" w:lineRule="auto"/>
              <w:ind w:firstLine="480" w:firstLineChars="200"/>
              <w:rPr>
                <w:color w:val="auto"/>
                <w:sz w:val="24"/>
              </w:rPr>
            </w:pPr>
            <w:r>
              <w:rPr>
                <w:color w:val="auto"/>
                <w:sz w:val="24"/>
              </w:rPr>
              <w:t>一般工业固体废物按照《一般固体废物分类与代码》（GB/T39198-2020）的要求对一般工业固体废物进行分类、编码；贮存、处置参照执行《一般工业固体废物贮存和填埋污染控制标准》（GB18599-2020）。危险废物按《危险废物贮存污染控制标准》（GB18597-2001）及其修改单和《危险废物收集、贮存、运输技术规范》（HJ2025-2012）相关要求收集、贮存、运输；危险废物的污染防治与管理工作还应按《省生态环境厅关于进一步加强危险废物环境管理工作的通知》（苏环办〔2021〕207号）、《省生态环境厅关于进一步加强危险废物污染防治工作的实施意见》（苏环办〔2019〕327号）等文件要求执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330" w:hRule="atLeast"/>
        </w:trPr>
        <w:tc>
          <w:tcPr>
            <w:tcW w:w="294" w:type="pct"/>
          </w:tcPr>
          <w:p>
            <w:pPr>
              <w:adjustRightInd w:val="0"/>
              <w:snapToGrid w:val="0"/>
              <w:jc w:val="center"/>
              <w:rPr>
                <w:color w:val="auto"/>
                <w:kern w:val="0"/>
                <w:szCs w:val="21"/>
              </w:rPr>
            </w:pPr>
          </w:p>
          <w:p>
            <w:pPr>
              <w:adjustRightInd w:val="0"/>
              <w:snapToGrid w:val="0"/>
              <w:jc w:val="center"/>
              <w:rPr>
                <w:color w:val="auto"/>
                <w:kern w:val="0"/>
                <w:szCs w:val="21"/>
              </w:rPr>
            </w:pPr>
          </w:p>
          <w:p>
            <w:pPr>
              <w:adjustRightInd w:val="0"/>
              <w:snapToGrid w:val="0"/>
              <w:jc w:val="center"/>
              <w:rPr>
                <w:color w:val="auto"/>
                <w:kern w:val="0"/>
                <w:szCs w:val="21"/>
              </w:rPr>
            </w:pPr>
          </w:p>
          <w:p>
            <w:pPr>
              <w:adjustRightInd w:val="0"/>
              <w:snapToGrid w:val="0"/>
              <w:jc w:val="center"/>
              <w:rPr>
                <w:color w:val="auto"/>
                <w:kern w:val="0"/>
                <w:szCs w:val="21"/>
              </w:rPr>
            </w:pPr>
          </w:p>
          <w:p>
            <w:pPr>
              <w:adjustRightInd w:val="0"/>
              <w:snapToGrid w:val="0"/>
              <w:jc w:val="center"/>
              <w:rPr>
                <w:color w:val="auto"/>
                <w:kern w:val="0"/>
                <w:szCs w:val="21"/>
              </w:rPr>
            </w:pPr>
          </w:p>
          <w:p>
            <w:pPr>
              <w:adjustRightInd w:val="0"/>
              <w:snapToGrid w:val="0"/>
              <w:jc w:val="center"/>
              <w:rPr>
                <w:color w:val="auto"/>
                <w:kern w:val="0"/>
                <w:szCs w:val="21"/>
              </w:rPr>
            </w:pPr>
          </w:p>
          <w:p>
            <w:pPr>
              <w:adjustRightInd w:val="0"/>
              <w:snapToGrid w:val="0"/>
              <w:jc w:val="center"/>
              <w:rPr>
                <w:color w:val="auto"/>
                <w:kern w:val="0"/>
                <w:szCs w:val="21"/>
              </w:rPr>
            </w:pPr>
          </w:p>
          <w:p>
            <w:pPr>
              <w:adjustRightInd w:val="0"/>
              <w:snapToGrid w:val="0"/>
              <w:jc w:val="center"/>
              <w:rPr>
                <w:color w:val="auto"/>
                <w:kern w:val="0"/>
                <w:szCs w:val="21"/>
              </w:rPr>
            </w:pPr>
          </w:p>
          <w:p>
            <w:pPr>
              <w:adjustRightInd w:val="0"/>
              <w:snapToGrid w:val="0"/>
              <w:jc w:val="center"/>
              <w:rPr>
                <w:color w:val="auto"/>
                <w:kern w:val="0"/>
                <w:szCs w:val="21"/>
              </w:rPr>
            </w:pPr>
          </w:p>
          <w:p>
            <w:pPr>
              <w:adjustRightInd w:val="0"/>
              <w:snapToGrid w:val="0"/>
              <w:jc w:val="center"/>
              <w:rPr>
                <w:color w:val="auto"/>
                <w:kern w:val="0"/>
                <w:szCs w:val="21"/>
              </w:rPr>
            </w:pPr>
            <w:r>
              <w:rPr>
                <w:color w:val="auto"/>
                <w:kern w:val="0"/>
                <w:sz w:val="24"/>
              </w:rPr>
              <w:t>总量控制指标</w:t>
            </w:r>
          </w:p>
        </w:tc>
        <w:tc>
          <w:tcPr>
            <w:tcW w:w="4705" w:type="pct"/>
            <w:vAlign w:val="center"/>
          </w:tcPr>
          <w:p>
            <w:pPr>
              <w:adjustRightInd w:val="0"/>
              <w:snapToGrid w:val="0"/>
              <w:spacing w:line="360" w:lineRule="auto"/>
              <w:ind w:firstLine="480" w:firstLineChars="200"/>
              <w:jc w:val="left"/>
              <w:rPr>
                <w:color w:val="auto"/>
                <w:sz w:val="24"/>
              </w:rPr>
            </w:pPr>
            <w:r>
              <w:rPr>
                <w:color w:val="auto"/>
                <w:sz w:val="24"/>
              </w:rPr>
              <w:t>根据《关于明确现阶段南京市建设项目主要污染物排放总量管理要求的通知》（宁环办〔2021〕17号）文件要求：新增主要污染物排放的建设项目（不含城镇生活污水处理厂、垃圾处理场、危险废物和医疗废弃物处置厂），在环评文件审批前，需按规定取得主要污染物排放总量指标。实行总量控制的污染物为COD、NH</w:t>
            </w:r>
            <w:r>
              <w:rPr>
                <w:color w:val="auto"/>
                <w:sz w:val="24"/>
                <w:vertAlign w:val="subscript"/>
              </w:rPr>
              <w:t>3</w:t>
            </w:r>
            <w:r>
              <w:rPr>
                <w:color w:val="auto"/>
                <w:sz w:val="24"/>
              </w:rPr>
              <w:t>-N、TP、二氧化硫、氮氧化物、烟粉尘、挥发性有机物等。本项涉及COD、氨氮、总磷、挥发性有机物、氮氧化物排放</w:t>
            </w:r>
            <w:r>
              <w:rPr>
                <w:rFonts w:hint="eastAsia"/>
                <w:color w:val="auto"/>
                <w:sz w:val="24"/>
              </w:rPr>
              <w:t>、烟粉尘</w:t>
            </w:r>
            <w:r>
              <w:rPr>
                <w:color w:val="auto"/>
                <w:sz w:val="24"/>
              </w:rPr>
              <w:t>。</w:t>
            </w:r>
          </w:p>
          <w:p>
            <w:pPr>
              <w:adjustRightInd w:val="0"/>
              <w:snapToGrid w:val="0"/>
              <w:spacing w:line="360" w:lineRule="auto"/>
              <w:ind w:firstLine="480" w:firstLineChars="200"/>
              <w:jc w:val="left"/>
              <w:rPr>
                <w:color w:val="auto"/>
                <w:sz w:val="24"/>
              </w:rPr>
            </w:pPr>
            <w:r>
              <w:rPr>
                <w:color w:val="auto"/>
                <w:sz w:val="24"/>
              </w:rPr>
              <w:t>根据本项目排污特征，确定总量控制及考核因子为：</w:t>
            </w:r>
          </w:p>
          <w:p>
            <w:pPr>
              <w:adjustRightInd w:val="0"/>
              <w:snapToGrid w:val="0"/>
              <w:spacing w:line="360" w:lineRule="auto"/>
              <w:ind w:firstLine="482" w:firstLineChars="200"/>
              <w:jc w:val="left"/>
              <w:rPr>
                <w:b/>
                <w:color w:val="auto"/>
                <w:sz w:val="24"/>
              </w:rPr>
            </w:pPr>
            <w:r>
              <w:rPr>
                <w:b/>
                <w:color w:val="auto"/>
                <w:sz w:val="24"/>
              </w:rPr>
              <w:t>(1)废水</w:t>
            </w:r>
          </w:p>
          <w:p>
            <w:pPr>
              <w:adjustRightInd w:val="0"/>
              <w:snapToGrid w:val="0"/>
              <w:spacing w:line="360" w:lineRule="auto"/>
              <w:ind w:firstLine="480" w:firstLineChars="200"/>
              <w:jc w:val="left"/>
              <w:rPr>
                <w:color w:val="auto"/>
                <w:sz w:val="24"/>
              </w:rPr>
            </w:pPr>
            <w:r>
              <w:rPr>
                <w:color w:val="auto"/>
                <w:sz w:val="24"/>
              </w:rPr>
              <w:t>总量控制因子（新增接管量）：COD 0.312 t/a、氨氮 0.003 t/a 、总磷0.001 t/a 。</w:t>
            </w:r>
          </w:p>
          <w:p>
            <w:pPr>
              <w:adjustRightInd w:val="0"/>
              <w:snapToGrid w:val="0"/>
              <w:spacing w:line="360" w:lineRule="auto"/>
              <w:ind w:firstLine="480" w:firstLineChars="200"/>
              <w:jc w:val="left"/>
              <w:rPr>
                <w:color w:val="auto"/>
                <w:sz w:val="24"/>
              </w:rPr>
            </w:pPr>
            <w:r>
              <w:rPr>
                <w:color w:val="auto"/>
                <w:sz w:val="24"/>
              </w:rPr>
              <w:t>总量控制因子（新增排放量）：COD  0.165t/a、氨氮  0.017 t/a、总磷0.002 t/a。</w:t>
            </w:r>
          </w:p>
          <w:p>
            <w:pPr>
              <w:adjustRightInd w:val="0"/>
              <w:snapToGrid w:val="0"/>
              <w:spacing w:line="360" w:lineRule="auto"/>
              <w:ind w:firstLine="480" w:firstLineChars="200"/>
              <w:jc w:val="left"/>
              <w:rPr>
                <w:color w:val="auto"/>
                <w:sz w:val="24"/>
              </w:rPr>
            </w:pPr>
            <w:r>
              <w:rPr>
                <w:color w:val="auto"/>
                <w:sz w:val="24"/>
              </w:rPr>
              <w:t>总量考核因子（新增接管量）：SS 0.</w:t>
            </w:r>
            <w:r>
              <w:rPr>
                <w:rFonts w:hint="eastAsia"/>
                <w:color w:val="auto"/>
                <w:sz w:val="24"/>
              </w:rPr>
              <w:t>477</w:t>
            </w:r>
            <w:r>
              <w:rPr>
                <w:color w:val="auto"/>
                <w:sz w:val="24"/>
              </w:rPr>
              <w:t xml:space="preserve"> t/a </w:t>
            </w:r>
          </w:p>
          <w:p>
            <w:pPr>
              <w:adjustRightInd w:val="0"/>
              <w:snapToGrid w:val="0"/>
              <w:spacing w:line="360" w:lineRule="auto"/>
              <w:ind w:firstLine="480" w:firstLineChars="200"/>
              <w:jc w:val="left"/>
              <w:rPr>
                <w:color w:val="auto"/>
                <w:sz w:val="24"/>
              </w:rPr>
            </w:pPr>
            <w:r>
              <w:rPr>
                <w:color w:val="auto"/>
                <w:sz w:val="24"/>
              </w:rPr>
              <w:t>总量考核因子（新增排放量）：SS 0.033 t/a</w:t>
            </w:r>
          </w:p>
          <w:p>
            <w:pPr>
              <w:pStyle w:val="12"/>
              <w:spacing w:line="360" w:lineRule="auto"/>
              <w:ind w:firstLine="480" w:firstLineChars="200"/>
              <w:rPr>
                <w:color w:val="auto"/>
              </w:rPr>
            </w:pPr>
            <w:r>
              <w:rPr>
                <w:color w:val="auto"/>
              </w:rPr>
              <w:t>污染物排放量在江宁经济技术</w:t>
            </w:r>
            <w:r>
              <w:rPr>
                <w:rFonts w:hint="eastAsia"/>
                <w:color w:val="auto"/>
              </w:rPr>
              <w:t>开发区</w:t>
            </w:r>
            <w:r>
              <w:rPr>
                <w:color w:val="auto"/>
              </w:rPr>
              <w:t>污水处理厂总量内平衡。</w:t>
            </w:r>
          </w:p>
          <w:p>
            <w:pPr>
              <w:adjustRightInd w:val="0"/>
              <w:snapToGrid w:val="0"/>
              <w:spacing w:line="360" w:lineRule="auto"/>
              <w:ind w:firstLine="482" w:firstLineChars="200"/>
              <w:jc w:val="left"/>
              <w:rPr>
                <w:b/>
                <w:color w:val="auto"/>
                <w:sz w:val="24"/>
              </w:rPr>
            </w:pPr>
            <w:r>
              <w:rPr>
                <w:b/>
                <w:color w:val="auto"/>
                <w:sz w:val="24"/>
              </w:rPr>
              <w:t>（2）废气</w:t>
            </w:r>
          </w:p>
          <w:p>
            <w:pPr>
              <w:adjustRightInd w:val="0"/>
              <w:snapToGrid w:val="0"/>
              <w:spacing w:line="360" w:lineRule="auto"/>
              <w:ind w:firstLine="480" w:firstLineChars="200"/>
              <w:jc w:val="left"/>
              <w:rPr>
                <w:color w:val="auto"/>
                <w:sz w:val="24"/>
              </w:rPr>
            </w:pPr>
            <w:r>
              <w:rPr>
                <w:rFonts w:hint="eastAsia"/>
                <w:color w:val="auto"/>
                <w:sz w:val="24"/>
              </w:rPr>
              <w:t>1.5t/a液化石油气燃烧废气烟尘和二氧化硫产生量经核算均为0.0000t/a，故不计入总量。</w:t>
            </w:r>
          </w:p>
          <w:p>
            <w:pPr>
              <w:adjustRightInd w:val="0"/>
              <w:snapToGrid w:val="0"/>
              <w:spacing w:line="360" w:lineRule="auto"/>
              <w:ind w:firstLine="480" w:firstLineChars="200"/>
              <w:jc w:val="left"/>
              <w:rPr>
                <w:color w:val="auto"/>
                <w:sz w:val="24"/>
              </w:rPr>
            </w:pPr>
            <w:r>
              <w:rPr>
                <w:color w:val="auto"/>
                <w:sz w:val="24"/>
              </w:rPr>
              <w:t>有组织排放废气总量控制因子（新增）：VOCs（非甲烷总烃）0.</w:t>
            </w:r>
            <w:r>
              <w:rPr>
                <w:rFonts w:hint="eastAsia"/>
                <w:color w:val="auto"/>
                <w:sz w:val="24"/>
              </w:rPr>
              <w:t>161</w:t>
            </w:r>
            <w:r>
              <w:rPr>
                <w:color w:val="auto"/>
                <w:sz w:val="24"/>
              </w:rPr>
              <w:t>t/a、NOx0.00</w:t>
            </w:r>
            <w:r>
              <w:rPr>
                <w:rFonts w:hint="eastAsia"/>
                <w:color w:val="auto"/>
                <w:sz w:val="24"/>
              </w:rPr>
              <w:t>2</w:t>
            </w:r>
            <w:r>
              <w:rPr>
                <w:color w:val="auto"/>
                <w:sz w:val="24"/>
              </w:rPr>
              <w:t>t/a。有组织排放废气总量考核因子（新增）：氯化氢0.00</w:t>
            </w:r>
            <w:r>
              <w:rPr>
                <w:rFonts w:hint="eastAsia"/>
                <w:color w:val="auto"/>
                <w:sz w:val="24"/>
              </w:rPr>
              <w:t>4</w:t>
            </w:r>
            <w:r>
              <w:rPr>
                <w:color w:val="auto"/>
                <w:sz w:val="24"/>
              </w:rPr>
              <w:t>t/a。</w:t>
            </w:r>
          </w:p>
          <w:p>
            <w:pPr>
              <w:adjustRightInd w:val="0"/>
              <w:snapToGrid w:val="0"/>
              <w:spacing w:line="360" w:lineRule="auto"/>
              <w:ind w:firstLine="480" w:firstLineChars="200"/>
              <w:jc w:val="left"/>
              <w:rPr>
                <w:color w:val="auto"/>
                <w:sz w:val="24"/>
              </w:rPr>
            </w:pPr>
            <w:r>
              <w:rPr>
                <w:color w:val="auto"/>
                <w:sz w:val="24"/>
              </w:rPr>
              <w:t>无组织废气总量控制因子（新增）：VOCs（非甲烷总烃）0.0</w:t>
            </w:r>
            <w:r>
              <w:rPr>
                <w:rFonts w:hint="eastAsia"/>
                <w:color w:val="auto"/>
                <w:sz w:val="24"/>
              </w:rPr>
              <w:t>7</w:t>
            </w:r>
            <w:r>
              <w:rPr>
                <w:color w:val="auto"/>
                <w:sz w:val="24"/>
              </w:rPr>
              <w:t>t/a。</w:t>
            </w:r>
          </w:p>
          <w:p>
            <w:pPr>
              <w:adjustRightInd w:val="0"/>
              <w:snapToGrid w:val="0"/>
              <w:spacing w:line="360" w:lineRule="auto"/>
              <w:ind w:firstLine="480" w:firstLineChars="200"/>
              <w:jc w:val="left"/>
              <w:rPr>
                <w:color w:val="auto"/>
                <w:sz w:val="24"/>
              </w:rPr>
            </w:pPr>
            <w:r>
              <w:rPr>
                <w:color w:val="auto"/>
                <w:sz w:val="24"/>
              </w:rPr>
              <w:t>无组织废气总量考核因子（新增）：氯化氢0.002t/a。</w:t>
            </w:r>
          </w:p>
          <w:p>
            <w:pPr>
              <w:adjustRightInd w:val="0"/>
              <w:snapToGrid w:val="0"/>
              <w:spacing w:line="360" w:lineRule="auto"/>
              <w:ind w:firstLine="480" w:firstLineChars="200"/>
              <w:jc w:val="left"/>
              <w:rPr>
                <w:color w:val="auto"/>
                <w:sz w:val="24"/>
              </w:rPr>
            </w:pPr>
            <w:r>
              <w:rPr>
                <w:color w:val="auto"/>
                <w:sz w:val="24"/>
              </w:rPr>
              <w:t>污染物排放量在江宁区减排项目范围内平衡。</w:t>
            </w:r>
          </w:p>
          <w:p>
            <w:pPr>
              <w:adjustRightInd w:val="0"/>
              <w:snapToGrid w:val="0"/>
              <w:spacing w:line="360" w:lineRule="auto"/>
              <w:ind w:firstLine="482" w:firstLineChars="200"/>
              <w:jc w:val="left"/>
              <w:rPr>
                <w:b/>
                <w:color w:val="auto"/>
                <w:sz w:val="24"/>
              </w:rPr>
            </w:pPr>
            <w:r>
              <w:rPr>
                <w:b/>
                <w:color w:val="auto"/>
                <w:sz w:val="24"/>
              </w:rPr>
              <w:t>（3）固废</w:t>
            </w:r>
          </w:p>
          <w:p>
            <w:pPr>
              <w:adjustRightInd w:val="0"/>
              <w:snapToGrid w:val="0"/>
              <w:spacing w:line="360" w:lineRule="auto"/>
              <w:ind w:firstLine="480" w:firstLineChars="200"/>
              <w:jc w:val="left"/>
              <w:rPr>
                <w:color w:val="auto"/>
                <w:sz w:val="24"/>
              </w:rPr>
            </w:pPr>
            <w:r>
              <w:rPr>
                <w:color w:val="auto"/>
                <w:sz w:val="24"/>
              </w:rPr>
              <w:t>固废零排放，不需申请总量。</w:t>
            </w:r>
          </w:p>
          <w:p>
            <w:pPr>
              <w:adjustRightInd w:val="0"/>
              <w:snapToGrid w:val="0"/>
              <w:rPr>
                <w:color w:val="auto"/>
                <w:kern w:val="0"/>
                <w:szCs w:val="21"/>
              </w:rPr>
            </w:pPr>
          </w:p>
          <w:p>
            <w:pPr>
              <w:adjustRightInd w:val="0"/>
              <w:snapToGrid w:val="0"/>
              <w:rPr>
                <w:color w:val="auto"/>
                <w:kern w:val="0"/>
                <w:szCs w:val="21"/>
              </w:rPr>
            </w:pPr>
          </w:p>
          <w:p>
            <w:pPr>
              <w:adjustRightInd w:val="0"/>
              <w:snapToGrid w:val="0"/>
              <w:rPr>
                <w:color w:val="auto"/>
                <w:kern w:val="0"/>
                <w:szCs w:val="21"/>
              </w:rPr>
            </w:pPr>
          </w:p>
          <w:p>
            <w:pPr>
              <w:adjustRightInd w:val="0"/>
              <w:snapToGrid w:val="0"/>
              <w:rPr>
                <w:color w:val="auto"/>
                <w:kern w:val="0"/>
                <w:szCs w:val="21"/>
              </w:rPr>
            </w:pPr>
          </w:p>
          <w:p>
            <w:pPr>
              <w:adjustRightInd w:val="0"/>
              <w:snapToGrid w:val="0"/>
              <w:rPr>
                <w:color w:val="auto"/>
                <w:kern w:val="0"/>
                <w:szCs w:val="21"/>
              </w:rPr>
            </w:pPr>
          </w:p>
          <w:p>
            <w:pPr>
              <w:adjustRightInd w:val="0"/>
              <w:snapToGrid w:val="0"/>
              <w:rPr>
                <w:color w:val="auto"/>
                <w:kern w:val="0"/>
                <w:szCs w:val="21"/>
              </w:rPr>
            </w:pPr>
          </w:p>
          <w:p>
            <w:pPr>
              <w:adjustRightInd w:val="0"/>
              <w:snapToGrid w:val="0"/>
              <w:rPr>
                <w:color w:val="auto"/>
                <w:kern w:val="0"/>
                <w:szCs w:val="21"/>
              </w:rPr>
            </w:pPr>
          </w:p>
          <w:p>
            <w:pPr>
              <w:adjustRightInd w:val="0"/>
              <w:snapToGrid w:val="0"/>
              <w:rPr>
                <w:color w:val="auto"/>
                <w:kern w:val="0"/>
                <w:szCs w:val="21"/>
              </w:rPr>
            </w:pPr>
          </w:p>
          <w:p>
            <w:pPr>
              <w:adjustRightInd w:val="0"/>
              <w:snapToGrid w:val="0"/>
              <w:rPr>
                <w:color w:val="auto"/>
                <w:kern w:val="0"/>
                <w:szCs w:val="21"/>
              </w:rPr>
            </w:pPr>
          </w:p>
          <w:p>
            <w:pPr>
              <w:adjustRightInd w:val="0"/>
              <w:snapToGrid w:val="0"/>
              <w:rPr>
                <w:color w:val="auto"/>
                <w:kern w:val="0"/>
                <w:szCs w:val="21"/>
              </w:rPr>
            </w:pPr>
          </w:p>
        </w:tc>
      </w:tr>
    </w:tbl>
    <w:p>
      <w:pPr>
        <w:pStyle w:val="30"/>
        <w:snapToGrid w:val="0"/>
        <w:spacing w:before="0" w:beforeAutospacing="0" w:after="0" w:afterAutospacing="0"/>
        <w:ind w:left="282" w:hanging="282" w:hangingChars="94"/>
        <w:jc w:val="center"/>
        <w:outlineLvl w:val="0"/>
        <w:rPr>
          <w:rFonts w:ascii="Times New Roman" w:hAnsi="Times New Roman" w:eastAsia="黑体"/>
          <w:snapToGrid w:val="0"/>
          <w:sz w:val="30"/>
          <w:szCs w:val="30"/>
        </w:rPr>
      </w:pPr>
      <w:r>
        <w:rPr>
          <w:rFonts w:ascii="Times New Roman" w:hAnsi="Times New Roman" w:eastAsia="黑体"/>
          <w:snapToGrid w:val="0"/>
          <w:sz w:val="30"/>
          <w:szCs w:val="30"/>
        </w:rPr>
        <w:t>三、区域环境质量现状、环境保护目标及评价标准</w:t>
      </w:r>
      <w:bookmarkEnd w:id="6"/>
    </w:p>
    <w:p>
      <w:pPr>
        <w:pStyle w:val="30"/>
        <w:jc w:val="center"/>
        <w:outlineLvl w:val="0"/>
        <w:rPr>
          <w:rFonts w:ascii="Times New Roman" w:hAnsi="Times New Roman" w:eastAsia="黑体"/>
          <w:snapToGrid w:val="0"/>
          <w:sz w:val="36"/>
          <w:szCs w:val="36"/>
        </w:rPr>
        <w:sectPr>
          <w:pgSz w:w="11907" w:h="16840"/>
          <w:pgMar w:top="1474" w:right="1474" w:bottom="1474" w:left="1418" w:header="851" w:footer="851" w:gutter="0"/>
          <w:pgNumType w:fmt="numberInDash"/>
          <w:cols w:space="720" w:num="1"/>
          <w:docGrid w:linePitch="312" w:charSpace="0"/>
        </w:sectPr>
      </w:pPr>
    </w:p>
    <w:p>
      <w:pPr>
        <w:pStyle w:val="30"/>
        <w:snapToGrid w:val="0"/>
        <w:spacing w:before="0" w:beforeAutospacing="0" w:after="0" w:afterAutospacing="0"/>
        <w:jc w:val="center"/>
        <w:outlineLvl w:val="0"/>
        <w:rPr>
          <w:rFonts w:ascii="Times New Roman" w:hAnsi="Times New Roman" w:eastAsia="黑体"/>
          <w:snapToGrid w:val="0"/>
          <w:sz w:val="30"/>
          <w:szCs w:val="30"/>
        </w:rPr>
        <w:sectPr>
          <w:type w:val="continuous"/>
          <w:pgSz w:w="11907" w:h="16840"/>
          <w:pgMar w:top="1474" w:right="1474" w:bottom="1474" w:left="1474" w:header="851" w:footer="851" w:gutter="0"/>
          <w:pgNumType w:fmt="numberInDash"/>
          <w:cols w:space="720" w:num="1"/>
          <w:docGrid w:linePitch="312" w:charSpace="0"/>
        </w:sectPr>
      </w:pPr>
    </w:p>
    <w:p>
      <w:pPr>
        <w:pStyle w:val="30"/>
        <w:snapToGrid w:val="0"/>
        <w:spacing w:before="0" w:beforeAutospacing="0" w:after="0" w:afterAutospacing="0"/>
        <w:jc w:val="center"/>
        <w:outlineLvl w:val="0"/>
        <w:rPr>
          <w:rFonts w:ascii="Times New Roman" w:hAnsi="Times New Roman" w:eastAsia="黑体"/>
          <w:snapToGrid w:val="0"/>
          <w:sz w:val="30"/>
          <w:szCs w:val="30"/>
        </w:rPr>
      </w:pPr>
      <w:bookmarkStart w:id="7" w:name="_Toc88945582"/>
      <w:r>
        <w:rPr>
          <w:rFonts w:ascii="Times New Roman" w:hAnsi="Times New Roman" w:eastAsia="黑体"/>
          <w:snapToGrid w:val="0"/>
          <w:sz w:val="30"/>
          <w:szCs w:val="30"/>
        </w:rPr>
        <w:t>四、主要环境影响和保护措施</w:t>
      </w:r>
      <w:bookmarkEnd w:id="7"/>
    </w:p>
    <w:tbl>
      <w:tblPr>
        <w:tblStyle w:val="34"/>
        <w:tblpPr w:leftFromText="180" w:rightFromText="180" w:vertAnchor="text" w:tblpXSpec="center" w:tblpY="1"/>
        <w:tblOverlap w:val="never"/>
        <w:tblW w:w="4992"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0" w:type="dxa"/>
          <w:bottom w:w="0" w:type="dxa"/>
          <w:right w:w="0" w:type="dxa"/>
        </w:tblCellMar>
      </w:tblPr>
      <w:tblGrid>
        <w:gridCol w:w="283"/>
        <w:gridCol w:w="871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04" w:hRule="atLeast"/>
        </w:trPr>
        <w:tc>
          <w:tcPr>
            <w:tcW w:w="207" w:type="pct"/>
            <w:tcMar>
              <w:left w:w="28" w:type="dxa"/>
              <w:right w:w="28" w:type="dxa"/>
            </w:tcMar>
            <w:vAlign w:val="center"/>
          </w:tcPr>
          <w:p>
            <w:pPr>
              <w:pStyle w:val="30"/>
              <w:adjustRightInd w:val="0"/>
              <w:snapToGrid w:val="0"/>
              <w:spacing w:before="0" w:beforeAutospacing="0" w:after="0" w:afterAutospacing="0"/>
              <w:jc w:val="center"/>
              <w:rPr>
                <w:rFonts w:ascii="Times New Roman" w:hAnsi="Times New Roman"/>
                <w:color w:val="auto"/>
                <w:kern w:val="2"/>
                <w:szCs w:val="24"/>
                <w:highlight w:val="none"/>
              </w:rPr>
            </w:pPr>
            <w:r>
              <w:rPr>
                <w:rFonts w:ascii="Times New Roman" w:hAnsi="Times New Roman"/>
                <w:color w:val="auto"/>
                <w:kern w:val="2"/>
                <w:szCs w:val="24"/>
                <w:highlight w:val="none"/>
              </w:rPr>
              <w:t>施工期环境保</w:t>
            </w:r>
          </w:p>
          <w:p>
            <w:pPr>
              <w:pStyle w:val="30"/>
              <w:adjustRightInd w:val="0"/>
              <w:snapToGrid w:val="0"/>
              <w:spacing w:before="0" w:beforeAutospacing="0" w:after="0" w:afterAutospacing="0"/>
              <w:jc w:val="center"/>
              <w:rPr>
                <w:rFonts w:ascii="Times New Roman" w:hAnsi="Times New Roman"/>
                <w:bCs/>
                <w:color w:val="auto"/>
                <w:kern w:val="2"/>
                <w:szCs w:val="24"/>
                <w:highlight w:val="none"/>
              </w:rPr>
            </w:pPr>
            <w:r>
              <w:rPr>
                <w:rFonts w:ascii="Times New Roman" w:hAnsi="Times New Roman"/>
                <w:color w:val="auto"/>
                <w:kern w:val="2"/>
                <w:szCs w:val="24"/>
                <w:highlight w:val="none"/>
              </w:rPr>
              <w:t>护措施</w:t>
            </w:r>
          </w:p>
        </w:tc>
        <w:tc>
          <w:tcPr>
            <w:tcW w:w="4792" w:type="pct"/>
            <w:vAlign w:val="center"/>
          </w:tcPr>
          <w:p>
            <w:pPr>
              <w:spacing w:line="360" w:lineRule="auto"/>
              <w:ind w:firstLine="465"/>
              <w:rPr>
                <w:bCs/>
                <w:color w:val="auto"/>
                <w:spacing w:val="-10"/>
                <w:sz w:val="24"/>
                <w:highlight w:val="none"/>
              </w:rPr>
            </w:pPr>
            <w:r>
              <w:rPr>
                <w:color w:val="auto"/>
                <w:sz w:val="24"/>
                <w:highlight w:val="none"/>
              </w:rPr>
              <w:t>本项目在已建厂房内建设，对设备进行安装及调试，因此施工期对周边环境影响较小。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92" w:hRule="atLeast"/>
        </w:trPr>
        <w:tc>
          <w:tcPr>
            <w:tcW w:w="207" w:type="pct"/>
            <w:tcMar>
              <w:left w:w="28" w:type="dxa"/>
              <w:right w:w="28" w:type="dxa"/>
            </w:tcMar>
            <w:vAlign w:val="center"/>
          </w:tcPr>
          <w:p>
            <w:pPr>
              <w:adjustRightInd w:val="0"/>
              <w:snapToGrid w:val="0"/>
              <w:jc w:val="center"/>
              <w:rPr>
                <w:bCs/>
                <w:color w:val="auto"/>
                <w:sz w:val="24"/>
                <w:highlight w:val="none"/>
              </w:rPr>
            </w:pPr>
            <w:r>
              <w:rPr>
                <w:bCs/>
                <w:color w:val="auto"/>
                <w:sz w:val="24"/>
                <w:highlight w:val="none"/>
              </w:rPr>
              <w:t>运营期环境影</w:t>
            </w:r>
          </w:p>
          <w:p>
            <w:pPr>
              <w:adjustRightInd w:val="0"/>
              <w:snapToGrid w:val="0"/>
              <w:jc w:val="center"/>
              <w:rPr>
                <w:bCs/>
                <w:color w:val="auto"/>
                <w:szCs w:val="21"/>
                <w:highlight w:val="none"/>
              </w:rPr>
            </w:pPr>
            <w:r>
              <w:rPr>
                <w:bCs/>
                <w:color w:val="auto"/>
                <w:sz w:val="24"/>
                <w:highlight w:val="none"/>
              </w:rPr>
              <w:t>响和保护措施</w:t>
            </w:r>
          </w:p>
        </w:tc>
        <w:tc>
          <w:tcPr>
            <w:tcW w:w="4792" w:type="pct"/>
            <w:tcBorders>
              <w:bottom w:val="single" w:color="auto" w:sz="12" w:space="0"/>
            </w:tcBorders>
            <w:vAlign w:val="center"/>
          </w:tcPr>
          <w:p>
            <w:pPr>
              <w:numPr>
                <w:ilvl w:val="0"/>
                <w:numId w:val="12"/>
              </w:numPr>
              <w:adjustRightInd w:val="0"/>
              <w:snapToGrid w:val="0"/>
              <w:spacing w:beforeLines="50" w:line="360" w:lineRule="auto"/>
              <w:rPr>
                <w:b/>
                <w:bCs/>
                <w:color w:val="auto"/>
                <w:sz w:val="24"/>
                <w:highlight w:val="none"/>
              </w:rPr>
            </w:pPr>
            <w:r>
              <w:rPr>
                <w:b/>
                <w:bCs/>
                <w:color w:val="auto"/>
                <w:sz w:val="24"/>
                <w:highlight w:val="none"/>
              </w:rPr>
              <w:t>废气</w:t>
            </w:r>
          </w:p>
          <w:p>
            <w:pPr>
              <w:pStyle w:val="3"/>
              <w:numPr>
                <w:ilvl w:val="0"/>
                <w:numId w:val="13"/>
              </w:numPr>
              <w:spacing w:beforeLines="50" w:line="360" w:lineRule="auto"/>
              <w:jc w:val="both"/>
              <w:rPr>
                <w:b/>
                <w:color w:val="auto"/>
                <w:sz w:val="24"/>
                <w:szCs w:val="24"/>
                <w:highlight w:val="none"/>
              </w:rPr>
            </w:pPr>
            <w:r>
              <w:rPr>
                <w:b/>
                <w:color w:val="auto"/>
                <w:sz w:val="24"/>
                <w:szCs w:val="24"/>
                <w:highlight w:val="none"/>
              </w:rPr>
              <w:t>废气源强核算分析</w:t>
            </w:r>
          </w:p>
          <w:p>
            <w:pPr>
              <w:pStyle w:val="7"/>
              <w:spacing w:after="0" w:line="360" w:lineRule="auto"/>
              <w:ind w:left="0" w:firstLine="361" w:firstLineChars="150"/>
              <w:rPr>
                <w:color w:val="auto"/>
                <w:sz w:val="24"/>
                <w:szCs w:val="24"/>
                <w:highlight w:val="none"/>
              </w:rPr>
            </w:pPr>
            <w:r>
              <w:rPr>
                <w:color w:val="auto"/>
                <w:sz w:val="24"/>
                <w:szCs w:val="24"/>
                <w:highlight w:val="none"/>
              </w:rPr>
              <w:fldChar w:fldCharType="begin"/>
            </w:r>
            <w:r>
              <w:rPr>
                <w:color w:val="auto"/>
                <w:sz w:val="24"/>
                <w:szCs w:val="24"/>
                <w:highlight w:val="none"/>
              </w:rPr>
              <w:instrText xml:space="preserve"> = 1 \* GB3 \* MERGEFORMAT </w:instrText>
            </w:r>
            <w:r>
              <w:rPr>
                <w:color w:val="auto"/>
                <w:sz w:val="24"/>
                <w:szCs w:val="24"/>
                <w:highlight w:val="none"/>
              </w:rPr>
              <w:fldChar w:fldCharType="separate"/>
            </w:r>
            <w:r>
              <w:rPr>
                <w:rFonts w:hint="eastAsia" w:ascii="宋体" w:hAnsi="宋体" w:cs="宋体"/>
                <w:color w:val="auto"/>
                <w:highlight w:val="none"/>
              </w:rPr>
              <w:t>①</w:t>
            </w:r>
            <w:r>
              <w:rPr>
                <w:color w:val="auto"/>
                <w:sz w:val="24"/>
                <w:szCs w:val="24"/>
                <w:highlight w:val="none"/>
              </w:rPr>
              <w:fldChar w:fldCharType="end"/>
            </w:r>
            <w:r>
              <w:rPr>
                <w:color w:val="auto"/>
                <w:sz w:val="24"/>
                <w:szCs w:val="24"/>
                <w:highlight w:val="none"/>
              </w:rPr>
              <w:t>零部件清洗</w:t>
            </w:r>
          </w:p>
          <w:p>
            <w:pPr>
              <w:pStyle w:val="7"/>
              <w:spacing w:after="0" w:line="360" w:lineRule="auto"/>
              <w:ind w:left="0" w:firstLine="361" w:firstLineChars="150"/>
              <w:rPr>
                <w:color w:val="auto"/>
                <w:sz w:val="24"/>
                <w:szCs w:val="24"/>
                <w:highlight w:val="none"/>
              </w:rPr>
            </w:pPr>
            <w:r>
              <w:rPr>
                <w:color w:val="auto"/>
                <w:sz w:val="24"/>
                <w:szCs w:val="24"/>
                <w:highlight w:val="none"/>
              </w:rPr>
              <w:t>零部件清洗产生的非甲烷总烃</w:t>
            </w:r>
          </w:p>
          <w:p>
            <w:pPr>
              <w:spacing w:line="360" w:lineRule="auto"/>
              <w:ind w:firstLine="480" w:firstLineChars="200"/>
              <w:rPr>
                <w:color w:val="auto"/>
                <w:sz w:val="24"/>
                <w:highlight w:val="none"/>
              </w:rPr>
            </w:pPr>
            <w:r>
              <w:rPr>
                <w:rFonts w:hint="eastAsia"/>
                <w:color w:val="auto"/>
                <w:sz w:val="24"/>
                <w:highlight w:val="none"/>
              </w:rPr>
              <w:t>本项目清洗工艺两个清洗槽设置顶吸集气罩，槽边风速0.3m/s；一个超声波清洗机设置顶吸集气罩，槽边风速0.3m/s；一个</w:t>
            </w:r>
            <w:r>
              <w:rPr>
                <w:color w:val="auto"/>
                <w:sz w:val="24"/>
                <w:highlight w:val="none"/>
              </w:rPr>
              <w:t>光窗自动清洗机</w:t>
            </w:r>
            <w:r>
              <w:rPr>
                <w:rFonts w:hint="eastAsia"/>
                <w:color w:val="auto"/>
                <w:sz w:val="24"/>
                <w:highlight w:val="none"/>
              </w:rPr>
              <w:t>设置顶吸集气罩，槽边风速0.3m/s；一个等离子清洗机从设备腔体内部吸出废气，取件开门时有废气排出，取件门设置顶吸罩，取件门风速0.3m/s，废气收集率90%。收集的废气+</w:t>
            </w:r>
            <w:r>
              <w:rPr>
                <w:color w:val="auto"/>
                <w:sz w:val="24"/>
                <w:highlight w:val="none"/>
              </w:rPr>
              <w:t>碱液喷淋+除雾器+</w:t>
            </w:r>
            <w:r>
              <w:rPr>
                <w:rFonts w:hint="eastAsia"/>
                <w:color w:val="auto"/>
                <w:sz w:val="24"/>
                <w:highlight w:val="none"/>
              </w:rPr>
              <w:t>一级</w:t>
            </w:r>
            <w:r>
              <w:rPr>
                <w:color w:val="auto"/>
                <w:sz w:val="24"/>
                <w:highlight w:val="none"/>
              </w:rPr>
              <w:t>活性炭处理后</w:t>
            </w:r>
            <w:r>
              <w:rPr>
                <w:rFonts w:hint="eastAsia"/>
                <w:color w:val="auto"/>
                <w:sz w:val="24"/>
                <w:highlight w:val="none"/>
              </w:rPr>
              <w:t>同封口工序采用液化石油气火焰对玻壳进行加热产生的废气</w:t>
            </w:r>
            <w:r>
              <w:rPr>
                <w:color w:val="auto"/>
                <w:sz w:val="24"/>
                <w:highlight w:val="none"/>
              </w:rPr>
              <w:t>经15m高排气筒P2排放</w:t>
            </w:r>
            <w:r>
              <w:rPr>
                <w:rFonts w:hint="eastAsia"/>
                <w:color w:val="auto"/>
                <w:sz w:val="24"/>
                <w:highlight w:val="none"/>
              </w:rPr>
              <w:t>，</w:t>
            </w:r>
            <w:r>
              <w:rPr>
                <w:color w:val="auto"/>
                <w:sz w:val="24"/>
                <w:highlight w:val="none"/>
              </w:rPr>
              <w:t>风量为</w:t>
            </w:r>
            <w:r>
              <w:rPr>
                <w:rFonts w:hint="eastAsia"/>
                <w:color w:val="auto"/>
                <w:sz w:val="24"/>
                <w:highlight w:val="none"/>
              </w:rPr>
              <w:t>10</w:t>
            </w:r>
            <w:r>
              <w:rPr>
                <w:color w:val="auto"/>
                <w:sz w:val="24"/>
                <w:highlight w:val="none"/>
              </w:rPr>
              <w:t>000m</w:t>
            </w:r>
            <w:r>
              <w:rPr>
                <w:color w:val="auto"/>
                <w:sz w:val="24"/>
                <w:highlight w:val="none"/>
                <w:vertAlign w:val="superscript"/>
              </w:rPr>
              <w:t>3</w:t>
            </w:r>
            <w:r>
              <w:rPr>
                <w:color w:val="auto"/>
                <w:sz w:val="24"/>
                <w:highlight w:val="none"/>
              </w:rPr>
              <w:t>/h，DN0.5m。</w:t>
            </w:r>
          </w:p>
          <w:p>
            <w:pPr>
              <w:spacing w:line="360" w:lineRule="auto"/>
              <w:ind w:firstLine="480" w:firstLineChars="200"/>
              <w:rPr>
                <w:color w:val="auto"/>
                <w:sz w:val="24"/>
                <w:highlight w:val="none"/>
              </w:rPr>
            </w:pPr>
            <w:r>
              <w:rPr>
                <w:color w:val="auto"/>
                <w:sz w:val="24"/>
                <w:highlight w:val="none"/>
              </w:rPr>
              <w:t>零部件清洗使用无水乙醇5800kg/a、丙酮200kg/a，根据公司现有20英寸光电倍增管清洗过程无水乙醇、丙酮实际挥发数据统计，无水乙醇挥发10%，丙酮挥发14%，清洗工作时长2400h/a。</w:t>
            </w:r>
          </w:p>
          <w:p>
            <w:pPr>
              <w:spacing w:line="360" w:lineRule="auto"/>
              <w:ind w:firstLine="480" w:firstLineChars="200"/>
              <w:rPr>
                <w:color w:val="auto"/>
                <w:sz w:val="24"/>
                <w:highlight w:val="none"/>
              </w:rPr>
            </w:pPr>
            <w:r>
              <w:rPr>
                <w:color w:val="auto"/>
                <w:sz w:val="24"/>
                <w:highlight w:val="none"/>
              </w:rPr>
              <w:t>本项目在零部件过程产生废气乙醇580kg/a、丙酮28kg/a。乙醇、丙酮以非甲烷总烃表征，计入VOCs。</w:t>
            </w:r>
          </w:p>
          <w:p>
            <w:pPr>
              <w:spacing w:line="360" w:lineRule="auto"/>
              <w:ind w:firstLine="480" w:firstLineChars="200"/>
              <w:rPr>
                <w:color w:val="auto"/>
                <w:szCs w:val="21"/>
                <w:highlight w:val="none"/>
              </w:rPr>
            </w:pPr>
            <w:r>
              <w:rPr>
                <w:color w:val="auto"/>
                <w:sz w:val="24"/>
                <w:highlight w:val="none"/>
              </w:rPr>
              <w:t>零部件清洗使用</w:t>
            </w:r>
            <w:r>
              <w:rPr>
                <w:color w:val="auto"/>
                <w:kern w:val="0"/>
                <w:sz w:val="24"/>
                <w:highlight w:val="none"/>
              </w:rPr>
              <w:t>RBS清洗剂250L</w:t>
            </w:r>
            <w:r>
              <w:rPr>
                <w:rFonts w:hint="eastAsia"/>
                <w:color w:val="auto"/>
                <w:kern w:val="0"/>
                <w:sz w:val="24"/>
                <w:highlight w:val="none"/>
              </w:rPr>
              <w:t>，</w:t>
            </w:r>
            <w:r>
              <w:rPr>
                <w:color w:val="auto"/>
                <w:kern w:val="0"/>
                <w:sz w:val="24"/>
                <w:highlight w:val="none"/>
              </w:rPr>
              <w:t>为</w:t>
            </w:r>
            <w:r>
              <w:rPr>
                <w:color w:val="auto"/>
                <w:sz w:val="24"/>
                <w:highlight w:val="none"/>
              </w:rPr>
              <w:t>弱碱性清洗剂</w:t>
            </w:r>
            <w:r>
              <w:rPr>
                <w:color w:val="auto"/>
                <w:kern w:val="0"/>
                <w:sz w:val="24"/>
                <w:highlight w:val="none"/>
              </w:rPr>
              <w:t>，其成分为为</w:t>
            </w:r>
            <w:r>
              <w:rPr>
                <w:color w:val="auto"/>
                <w:sz w:val="24"/>
                <w:highlight w:val="none"/>
              </w:rPr>
              <w:t>纯碱5%、焦磷酸钾5%、次氯酸纳溶液5%、十二烷基苯磺酸2%，</w:t>
            </w:r>
            <w:r>
              <w:rPr>
                <w:rStyle w:val="41"/>
                <w:color w:val="auto"/>
                <w:sz w:val="24"/>
                <w:highlight w:val="none"/>
                <w:shd w:val="clear" w:color="auto" w:fill="FFFFFF"/>
              </w:rPr>
              <w:t>十二烷基苯磺酸</w:t>
            </w:r>
            <w:r>
              <w:rPr>
                <w:color w:val="auto"/>
                <w:sz w:val="24"/>
                <w:highlight w:val="none"/>
                <w:shd w:val="clear" w:color="auto" w:fill="FFFFFF"/>
              </w:rPr>
              <w:t>是一种有机化合物，分子式为C</w:t>
            </w:r>
            <w:r>
              <w:rPr>
                <w:color w:val="auto"/>
                <w:sz w:val="24"/>
                <w:highlight w:val="none"/>
                <w:shd w:val="clear" w:color="auto" w:fill="FFFFFF"/>
                <w:vertAlign w:val="subscript"/>
              </w:rPr>
              <w:t>18</w:t>
            </w:r>
            <w:r>
              <w:rPr>
                <w:color w:val="auto"/>
                <w:sz w:val="24"/>
                <w:highlight w:val="none"/>
                <w:shd w:val="clear" w:color="auto" w:fill="FFFFFF"/>
              </w:rPr>
              <w:t>H</w:t>
            </w:r>
            <w:r>
              <w:rPr>
                <w:color w:val="auto"/>
                <w:sz w:val="24"/>
                <w:highlight w:val="none"/>
                <w:shd w:val="clear" w:color="auto" w:fill="FFFFFF"/>
                <w:vertAlign w:val="subscript"/>
              </w:rPr>
              <w:t>30</w:t>
            </w:r>
            <w:r>
              <w:rPr>
                <w:color w:val="auto"/>
                <w:sz w:val="24"/>
                <w:highlight w:val="none"/>
                <w:shd w:val="clear" w:color="auto" w:fill="FFFFFF"/>
              </w:rPr>
              <w:t>SO</w:t>
            </w:r>
            <w:r>
              <w:rPr>
                <w:rFonts w:hint="eastAsia"/>
                <w:color w:val="auto"/>
                <w:sz w:val="24"/>
                <w:highlight w:val="none"/>
                <w:shd w:val="clear" w:color="auto" w:fill="FFFFFF"/>
                <w:vertAlign w:val="subscript"/>
              </w:rPr>
              <w:t>3</w:t>
            </w:r>
            <w:r>
              <w:rPr>
                <w:color w:val="auto"/>
                <w:sz w:val="24"/>
                <w:highlight w:val="none"/>
                <w:shd w:val="clear" w:color="auto" w:fill="FFFFFF"/>
              </w:rPr>
              <w:t>，按</w:t>
            </w:r>
            <w:r>
              <w:rPr>
                <w:color w:val="auto"/>
                <w:sz w:val="24"/>
                <w:highlight w:val="none"/>
              </w:rPr>
              <w:t>零部件清洗</w:t>
            </w:r>
            <w:r>
              <w:rPr>
                <w:color w:val="auto"/>
                <w:sz w:val="24"/>
                <w:highlight w:val="none"/>
                <w:shd w:val="clear" w:color="auto" w:fill="FFFFFF"/>
              </w:rPr>
              <w:t>过程，</w:t>
            </w:r>
            <w:r>
              <w:rPr>
                <w:color w:val="auto"/>
                <w:sz w:val="24"/>
                <w:highlight w:val="none"/>
              </w:rPr>
              <w:t>十二烷基苯全部挥发，</w:t>
            </w:r>
            <w:r>
              <w:rPr>
                <w:color w:val="auto"/>
                <w:sz w:val="24"/>
                <w:highlight w:val="none"/>
                <w:shd w:val="clear" w:color="auto" w:fill="FFFFFF"/>
              </w:rPr>
              <w:t>产生废气</w:t>
            </w:r>
            <w:r>
              <w:rPr>
                <w:color w:val="auto"/>
                <w:sz w:val="24"/>
                <w:highlight w:val="none"/>
              </w:rPr>
              <w:t>十二烷基苯5.25kg/a，十二烷基苯以非甲烷总烃表征，计入VOCs。</w:t>
            </w:r>
          </w:p>
          <w:p>
            <w:pPr>
              <w:spacing w:line="360" w:lineRule="auto"/>
              <w:ind w:firstLine="480" w:firstLineChars="200"/>
              <w:rPr>
                <w:color w:val="auto"/>
                <w:sz w:val="24"/>
                <w:highlight w:val="none"/>
              </w:rPr>
            </w:pPr>
            <w:r>
              <w:rPr>
                <w:color w:val="auto"/>
                <w:sz w:val="24"/>
                <w:highlight w:val="none"/>
              </w:rPr>
              <w:t>以上废气收集率为90%，有组织废气产生量为</w:t>
            </w:r>
            <w:r>
              <w:rPr>
                <w:rFonts w:hint="eastAsia"/>
                <w:color w:val="auto"/>
                <w:sz w:val="24"/>
                <w:highlight w:val="none"/>
              </w:rPr>
              <w:t>0.552t</w:t>
            </w:r>
            <w:r>
              <w:rPr>
                <w:color w:val="auto"/>
                <w:sz w:val="24"/>
                <w:highlight w:val="none"/>
              </w:rPr>
              <w:t>/a，无组织废气产生量为</w:t>
            </w:r>
            <w:r>
              <w:rPr>
                <w:rFonts w:hint="eastAsia"/>
                <w:color w:val="auto"/>
                <w:sz w:val="24"/>
                <w:highlight w:val="none"/>
              </w:rPr>
              <w:t>0.061t</w:t>
            </w:r>
            <w:r>
              <w:rPr>
                <w:color w:val="auto"/>
                <w:sz w:val="24"/>
                <w:highlight w:val="none"/>
              </w:rPr>
              <w:t>/a。</w:t>
            </w:r>
          </w:p>
          <w:p>
            <w:pPr>
              <w:spacing w:line="360" w:lineRule="auto"/>
              <w:ind w:firstLine="482" w:firstLineChars="200"/>
              <w:rPr>
                <w:b/>
                <w:color w:val="auto"/>
                <w:sz w:val="24"/>
                <w:highlight w:val="none"/>
              </w:rPr>
            </w:pPr>
            <w:r>
              <w:rPr>
                <w:b/>
                <w:color w:val="auto"/>
                <w:sz w:val="24"/>
                <w:highlight w:val="none"/>
              </w:rPr>
              <w:t>零部件清洗产生的HCl</w:t>
            </w:r>
          </w:p>
          <w:p>
            <w:pPr>
              <w:spacing w:line="360" w:lineRule="auto"/>
              <w:ind w:firstLine="480" w:firstLineChars="200"/>
              <w:rPr>
                <w:color w:val="auto"/>
                <w:sz w:val="24"/>
                <w:highlight w:val="none"/>
              </w:rPr>
            </w:pPr>
            <w:r>
              <w:rPr>
                <w:color w:val="auto"/>
                <w:sz w:val="24"/>
                <w:highlight w:val="none"/>
              </w:rPr>
              <w:t>根据《环境统计手册》，零部件盐酸（400L/a，65%~68%），清洗工作时长2400h/a，清洗产生的HCl排放速率可按以下经验公式计算：</w:t>
            </w:r>
          </w:p>
          <w:p>
            <w:pPr>
              <w:spacing w:line="360" w:lineRule="auto"/>
              <w:ind w:firstLine="480" w:firstLineChars="200"/>
              <w:rPr>
                <w:color w:val="auto"/>
                <w:sz w:val="24"/>
                <w:highlight w:val="none"/>
              </w:rPr>
            </w:pPr>
            <w:r>
              <w:rPr>
                <w:color w:val="auto"/>
                <w:sz w:val="24"/>
                <w:highlight w:val="none"/>
              </w:rPr>
              <w:t>G</w:t>
            </w:r>
            <w:r>
              <w:rPr>
                <w:color w:val="auto"/>
                <w:sz w:val="24"/>
                <w:highlight w:val="none"/>
                <w:vertAlign w:val="subscript"/>
              </w:rPr>
              <w:t>Z</w:t>
            </w:r>
            <w:r>
              <w:rPr>
                <w:color w:val="auto"/>
                <w:sz w:val="24"/>
                <w:highlight w:val="none"/>
              </w:rPr>
              <w:t>（HCl）=M×(0.000352+0.000786×U)×P×F－V</w:t>
            </w:r>
            <w:r>
              <w:rPr>
                <w:color w:val="auto"/>
                <w:sz w:val="24"/>
                <w:highlight w:val="none"/>
                <w:vertAlign w:val="subscript"/>
              </w:rPr>
              <w:t>水</w:t>
            </w:r>
            <w:r>
              <w:rPr>
                <w:color w:val="auto"/>
                <w:sz w:val="24"/>
                <w:highlight w:val="none"/>
              </w:rPr>
              <w:t>×F</w:t>
            </w:r>
          </w:p>
          <w:p>
            <w:pPr>
              <w:spacing w:line="360" w:lineRule="auto"/>
              <w:ind w:firstLine="480" w:firstLineChars="200"/>
              <w:rPr>
                <w:color w:val="auto"/>
                <w:sz w:val="24"/>
                <w:highlight w:val="none"/>
              </w:rPr>
            </w:pPr>
            <w:r>
              <w:rPr>
                <w:color w:val="auto"/>
                <w:sz w:val="24"/>
                <w:highlight w:val="none"/>
              </w:rPr>
              <w:t>式中：Gz（HCl）排放速率，kg/h；</w:t>
            </w:r>
          </w:p>
          <w:p>
            <w:pPr>
              <w:spacing w:line="360" w:lineRule="auto"/>
              <w:ind w:firstLine="480" w:firstLineChars="200"/>
              <w:rPr>
                <w:color w:val="auto"/>
                <w:sz w:val="24"/>
                <w:highlight w:val="none"/>
              </w:rPr>
            </w:pPr>
            <w:r>
              <w:rPr>
                <w:color w:val="auto"/>
                <w:sz w:val="24"/>
                <w:highlight w:val="none"/>
              </w:rPr>
              <w:t>V</w:t>
            </w:r>
            <w:r>
              <w:rPr>
                <w:color w:val="auto"/>
                <w:sz w:val="24"/>
                <w:highlight w:val="none"/>
                <w:vertAlign w:val="subscript"/>
              </w:rPr>
              <w:t>水</w:t>
            </w:r>
            <w:r>
              <w:rPr>
                <w:color w:val="auto"/>
                <w:sz w:val="24"/>
                <w:highlight w:val="none"/>
              </w:rPr>
              <w:t>——单位面积水蒸汽蒸发速率，蒸发表面温度41</w:t>
            </w:r>
            <w:r>
              <w:rPr>
                <w:rFonts w:hint="eastAsia" w:ascii="宋体" w:hAnsi="宋体" w:cs="宋体"/>
                <w:color w:val="auto"/>
                <w:sz w:val="24"/>
                <w:highlight w:val="none"/>
              </w:rPr>
              <w:t>℃</w:t>
            </w:r>
            <w:r>
              <w:rPr>
                <w:color w:val="auto"/>
                <w:sz w:val="24"/>
                <w:highlight w:val="none"/>
              </w:rPr>
              <w:t>时为1.2L/m</w:t>
            </w:r>
            <w:r>
              <w:rPr>
                <w:color w:val="auto"/>
                <w:sz w:val="24"/>
                <w:highlight w:val="none"/>
                <w:vertAlign w:val="superscript"/>
              </w:rPr>
              <w:t>2</w:t>
            </w:r>
            <w:r>
              <w:rPr>
                <w:color w:val="auto"/>
                <w:sz w:val="24"/>
                <w:highlight w:val="none"/>
              </w:rPr>
              <w:t>•h。</w:t>
            </w:r>
          </w:p>
          <w:p>
            <w:pPr>
              <w:spacing w:line="360" w:lineRule="auto"/>
              <w:ind w:firstLine="480" w:firstLineChars="200"/>
              <w:rPr>
                <w:color w:val="auto"/>
                <w:sz w:val="24"/>
                <w:highlight w:val="none"/>
              </w:rPr>
            </w:pPr>
            <w:r>
              <w:rPr>
                <w:color w:val="auto"/>
                <w:sz w:val="24"/>
                <w:highlight w:val="none"/>
              </w:rPr>
              <w:t>M——盐酸液体分子量，36.5</w:t>
            </w:r>
          </w:p>
          <w:p>
            <w:pPr>
              <w:spacing w:line="360" w:lineRule="auto"/>
              <w:ind w:firstLine="480" w:firstLineChars="200"/>
              <w:rPr>
                <w:color w:val="auto"/>
                <w:sz w:val="24"/>
                <w:highlight w:val="none"/>
              </w:rPr>
            </w:pPr>
            <w:r>
              <w:rPr>
                <w:color w:val="auto"/>
                <w:sz w:val="24"/>
                <w:highlight w:val="none"/>
              </w:rPr>
              <w:t>U——蒸发液体表面上的空气流速(m/s)，应以实测数据为准。无条件实测时可取0.2～0.5m/s或查表计算，槽内温度为40~50</w:t>
            </w:r>
            <w:r>
              <w:rPr>
                <w:rFonts w:hint="eastAsia" w:ascii="宋体" w:hAnsi="宋体" w:cs="宋体"/>
                <w:color w:val="auto"/>
                <w:sz w:val="24"/>
                <w:highlight w:val="none"/>
              </w:rPr>
              <w:t>℃</w:t>
            </w:r>
            <w:r>
              <w:rPr>
                <w:color w:val="auto"/>
                <w:sz w:val="24"/>
                <w:highlight w:val="none"/>
              </w:rPr>
              <w:t>左右，U值取0.4m/s；</w:t>
            </w:r>
          </w:p>
          <w:p>
            <w:pPr>
              <w:spacing w:line="360" w:lineRule="auto"/>
              <w:ind w:firstLine="480" w:firstLineChars="200"/>
              <w:rPr>
                <w:color w:val="auto"/>
                <w:sz w:val="24"/>
                <w:highlight w:val="none"/>
              </w:rPr>
            </w:pPr>
            <w:r>
              <w:rPr>
                <w:color w:val="auto"/>
                <w:sz w:val="24"/>
                <w:highlight w:val="none"/>
              </w:rPr>
              <w:t>P——相应于液体温度下空气中的饱和蒸汽分压力（mmHg），酸洗液温度取45</w:t>
            </w:r>
            <w:r>
              <w:rPr>
                <w:rFonts w:hint="eastAsia" w:ascii="宋体" w:hAnsi="宋体" w:cs="宋体"/>
                <w:color w:val="auto"/>
                <w:sz w:val="24"/>
                <w:highlight w:val="none"/>
              </w:rPr>
              <w:t>℃</w:t>
            </w:r>
            <w:r>
              <w:rPr>
                <w:color w:val="auto"/>
                <w:sz w:val="24"/>
                <w:highlight w:val="none"/>
              </w:rPr>
              <w:t>，蒸发表面温度为41</w:t>
            </w:r>
            <w:r>
              <w:rPr>
                <w:rFonts w:hint="eastAsia" w:ascii="宋体" w:hAnsi="宋体" w:cs="宋体"/>
                <w:color w:val="auto"/>
                <w:sz w:val="24"/>
                <w:highlight w:val="none"/>
              </w:rPr>
              <w:t>℃</w:t>
            </w:r>
            <w:r>
              <w:rPr>
                <w:color w:val="auto"/>
                <w:sz w:val="24"/>
                <w:highlight w:val="none"/>
              </w:rPr>
              <w:t>，P=52.1mmHg；</w:t>
            </w:r>
          </w:p>
          <w:p>
            <w:pPr>
              <w:spacing w:line="360" w:lineRule="auto"/>
              <w:ind w:firstLine="480" w:firstLineChars="200"/>
              <w:rPr>
                <w:color w:val="auto"/>
                <w:sz w:val="24"/>
                <w:highlight w:val="none"/>
              </w:rPr>
            </w:pPr>
            <w:r>
              <w:rPr>
                <w:color w:val="auto"/>
                <w:sz w:val="24"/>
                <w:highlight w:val="none"/>
              </w:rPr>
              <w:t>F——蒸发面的面积（m</w:t>
            </w:r>
            <w:r>
              <w:rPr>
                <w:color w:val="auto"/>
                <w:sz w:val="24"/>
                <w:highlight w:val="none"/>
                <w:vertAlign w:val="superscript"/>
              </w:rPr>
              <w:t>2</w:t>
            </w:r>
            <w:r>
              <w:rPr>
                <w:color w:val="auto"/>
                <w:sz w:val="24"/>
                <w:highlight w:val="none"/>
              </w:rPr>
              <w:t>），本项目拟采用1个酸洗槽，其尺寸为0.35m×0.35m×0.35m，蒸发面面积为0.1m</w:t>
            </w:r>
            <w:r>
              <w:rPr>
                <w:color w:val="auto"/>
                <w:sz w:val="24"/>
                <w:highlight w:val="none"/>
                <w:vertAlign w:val="superscript"/>
              </w:rPr>
              <w:t>2</w:t>
            </w:r>
            <w:r>
              <w:rPr>
                <w:color w:val="auto"/>
                <w:sz w:val="24"/>
                <w:highlight w:val="none"/>
              </w:rPr>
              <w:t>。</w:t>
            </w:r>
          </w:p>
          <w:p>
            <w:pPr>
              <w:spacing w:line="360" w:lineRule="auto"/>
              <w:ind w:firstLine="480" w:firstLineChars="200"/>
              <w:rPr>
                <w:color w:val="auto"/>
                <w:sz w:val="24"/>
                <w:highlight w:val="none"/>
              </w:rPr>
            </w:pPr>
            <w:r>
              <w:rPr>
                <w:color w:val="auto"/>
                <w:sz w:val="24"/>
                <w:highlight w:val="none"/>
              </w:rPr>
              <w:t>G</w:t>
            </w:r>
            <w:r>
              <w:rPr>
                <w:color w:val="auto"/>
                <w:sz w:val="24"/>
                <w:highlight w:val="none"/>
                <w:vertAlign w:val="subscript"/>
              </w:rPr>
              <w:t>Z</w:t>
            </w:r>
            <w:r>
              <w:rPr>
                <w:color w:val="auto"/>
                <w:sz w:val="24"/>
                <w:highlight w:val="none"/>
              </w:rPr>
              <w:t>（HCl）=36.5×(0.000352+0.000786×0.4)×52.1×0.1－1.2×0.1=0.007kg/h</w:t>
            </w:r>
          </w:p>
          <w:p>
            <w:pPr>
              <w:spacing w:line="360" w:lineRule="auto"/>
              <w:ind w:firstLine="480" w:firstLineChars="200"/>
              <w:rPr>
                <w:color w:val="auto"/>
                <w:sz w:val="24"/>
                <w:highlight w:val="none"/>
              </w:rPr>
            </w:pPr>
            <w:r>
              <w:rPr>
                <w:color w:val="auto"/>
                <w:sz w:val="24"/>
                <w:highlight w:val="none"/>
              </w:rPr>
              <w:t>本项目HCl产生速率为0.007kg/h,产生量约</w:t>
            </w:r>
            <w:r>
              <w:rPr>
                <w:rFonts w:hint="eastAsia"/>
                <w:color w:val="auto"/>
                <w:sz w:val="24"/>
                <w:highlight w:val="none"/>
              </w:rPr>
              <w:t>0.0</w:t>
            </w:r>
            <w:r>
              <w:rPr>
                <w:color w:val="auto"/>
                <w:sz w:val="24"/>
                <w:highlight w:val="none"/>
              </w:rPr>
              <w:t>1</w:t>
            </w:r>
            <w:r>
              <w:rPr>
                <w:rFonts w:hint="eastAsia"/>
                <w:color w:val="auto"/>
                <w:sz w:val="24"/>
                <w:highlight w:val="none"/>
              </w:rPr>
              <w:t>7t</w:t>
            </w:r>
            <w:r>
              <w:rPr>
                <w:color w:val="auto"/>
                <w:sz w:val="24"/>
                <w:highlight w:val="none"/>
              </w:rPr>
              <w:t>/a。</w:t>
            </w:r>
          </w:p>
          <w:p>
            <w:pPr>
              <w:spacing w:line="360" w:lineRule="auto"/>
              <w:ind w:firstLine="480" w:firstLineChars="200"/>
              <w:rPr>
                <w:color w:val="auto"/>
                <w:sz w:val="24"/>
                <w:highlight w:val="none"/>
              </w:rPr>
            </w:pPr>
            <w:r>
              <w:rPr>
                <w:color w:val="auto"/>
                <w:sz w:val="24"/>
                <w:highlight w:val="none"/>
              </w:rPr>
              <w:t>废气收集率为90%，有组织废气产生量为</w:t>
            </w:r>
            <w:r>
              <w:rPr>
                <w:rFonts w:hint="eastAsia"/>
                <w:color w:val="auto"/>
                <w:sz w:val="24"/>
                <w:highlight w:val="none"/>
              </w:rPr>
              <w:t>0.0</w:t>
            </w:r>
            <w:r>
              <w:rPr>
                <w:color w:val="auto"/>
                <w:sz w:val="24"/>
                <w:highlight w:val="none"/>
              </w:rPr>
              <w:t>15</w:t>
            </w:r>
            <w:r>
              <w:rPr>
                <w:rFonts w:hint="eastAsia"/>
                <w:color w:val="auto"/>
                <w:sz w:val="24"/>
                <w:highlight w:val="none"/>
              </w:rPr>
              <w:t>t</w:t>
            </w:r>
            <w:r>
              <w:rPr>
                <w:color w:val="auto"/>
                <w:sz w:val="24"/>
                <w:highlight w:val="none"/>
              </w:rPr>
              <w:t>/a，无组织废气产生量为</w:t>
            </w:r>
            <w:r>
              <w:rPr>
                <w:rFonts w:hint="eastAsia"/>
                <w:color w:val="auto"/>
                <w:sz w:val="24"/>
                <w:highlight w:val="none"/>
              </w:rPr>
              <w:t>0.002t</w:t>
            </w:r>
            <w:r>
              <w:rPr>
                <w:color w:val="auto"/>
                <w:sz w:val="24"/>
                <w:highlight w:val="none"/>
              </w:rPr>
              <w:t>/a。</w:t>
            </w:r>
          </w:p>
          <w:p>
            <w:pPr>
              <w:spacing w:line="360" w:lineRule="auto"/>
              <w:ind w:firstLine="482" w:firstLineChars="200"/>
              <w:rPr>
                <w:b/>
                <w:color w:val="auto"/>
                <w:sz w:val="24"/>
                <w:highlight w:val="none"/>
              </w:rPr>
            </w:pPr>
            <w:r>
              <w:rPr>
                <w:b/>
                <w:color w:val="auto"/>
                <w:sz w:val="24"/>
                <w:highlight w:val="none"/>
              </w:rPr>
              <w:fldChar w:fldCharType="begin"/>
            </w:r>
            <w:r>
              <w:rPr>
                <w:b/>
                <w:color w:val="auto"/>
                <w:sz w:val="24"/>
                <w:highlight w:val="none"/>
              </w:rPr>
              <w:instrText xml:space="preserve"> = 2 \* GB3 </w:instrText>
            </w:r>
            <w:r>
              <w:rPr>
                <w:b/>
                <w:color w:val="auto"/>
                <w:sz w:val="24"/>
                <w:highlight w:val="none"/>
              </w:rPr>
              <w:fldChar w:fldCharType="separate"/>
            </w:r>
            <w:r>
              <w:rPr>
                <w:rFonts w:hint="eastAsia" w:ascii="宋体" w:hAnsi="宋体" w:cs="宋体"/>
                <w:b/>
                <w:color w:val="auto"/>
                <w:sz w:val="24"/>
                <w:highlight w:val="none"/>
              </w:rPr>
              <w:t>②</w:t>
            </w:r>
            <w:r>
              <w:rPr>
                <w:b/>
                <w:color w:val="auto"/>
                <w:sz w:val="24"/>
                <w:highlight w:val="none"/>
              </w:rPr>
              <w:fldChar w:fldCharType="end"/>
            </w:r>
            <w:r>
              <w:rPr>
                <w:b/>
                <w:color w:val="auto"/>
                <w:sz w:val="24"/>
                <w:highlight w:val="none"/>
              </w:rPr>
              <w:t>液化石油气燃烧废气</w:t>
            </w:r>
          </w:p>
          <w:p>
            <w:pPr>
              <w:adjustRightInd w:val="0"/>
              <w:snapToGrid w:val="0"/>
              <w:spacing w:line="360" w:lineRule="auto"/>
              <w:ind w:firstLine="480" w:firstLineChars="200"/>
              <w:rPr>
                <w:color w:val="auto"/>
                <w:kern w:val="0"/>
                <w:sz w:val="24"/>
                <w:highlight w:val="none"/>
              </w:rPr>
            </w:pPr>
            <w:r>
              <w:rPr>
                <w:color w:val="auto"/>
                <w:sz w:val="24"/>
                <w:highlight w:val="none"/>
              </w:rPr>
              <w:t>封口工序采用液化石油气火焰对玻壳进行加热封口</w:t>
            </w:r>
            <w:r>
              <w:rPr>
                <w:rFonts w:hint="eastAsia"/>
                <w:color w:val="auto"/>
                <w:sz w:val="24"/>
                <w:highlight w:val="none"/>
              </w:rPr>
              <w:t>，加热封口时长2000h/a</w:t>
            </w:r>
            <w:r>
              <w:rPr>
                <w:color w:val="auto"/>
                <w:sz w:val="24"/>
                <w:highlight w:val="none"/>
              </w:rPr>
              <w:t>，液化石油气用量1.5t/a，</w:t>
            </w:r>
            <w:r>
              <w:rPr>
                <w:color w:val="auto"/>
                <w:kern w:val="0"/>
                <w:sz w:val="24"/>
                <w:highlight w:val="none"/>
              </w:rPr>
              <w:t>根据《第二次全国污染源普查工作手册》液化石油气产污系数如下表：</w:t>
            </w:r>
          </w:p>
          <w:p>
            <w:pPr>
              <w:spacing w:line="360" w:lineRule="auto"/>
              <w:jc w:val="center"/>
              <w:rPr>
                <w:b/>
                <w:color w:val="auto"/>
                <w:sz w:val="24"/>
                <w:highlight w:val="none"/>
              </w:rPr>
            </w:pPr>
            <w:r>
              <w:rPr>
                <w:b/>
                <w:color w:val="auto"/>
                <w:sz w:val="24"/>
                <w:highlight w:val="none"/>
              </w:rPr>
              <w:t>表4-1  液化石油气产污系数表</w:t>
            </w:r>
          </w:p>
          <w:tbl>
            <w:tblPr>
              <w:tblStyle w:val="3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72"/>
              <w:gridCol w:w="2172"/>
              <w:gridCol w:w="2172"/>
              <w:gridCol w:w="21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50" w:type="pct"/>
                  <w:vAlign w:val="center"/>
                </w:tcPr>
                <w:p>
                  <w:pPr>
                    <w:jc w:val="center"/>
                    <w:rPr>
                      <w:color w:val="auto"/>
                      <w:highlight w:val="none"/>
                    </w:rPr>
                  </w:pPr>
                  <w:r>
                    <w:rPr>
                      <w:color w:val="auto"/>
                      <w:highlight w:val="none"/>
                    </w:rPr>
                    <w:t>燃气名称</w:t>
                  </w:r>
                </w:p>
              </w:tc>
              <w:tc>
                <w:tcPr>
                  <w:tcW w:w="1250" w:type="pct"/>
                  <w:vAlign w:val="center"/>
                </w:tcPr>
                <w:p>
                  <w:pPr>
                    <w:jc w:val="center"/>
                    <w:rPr>
                      <w:color w:val="auto"/>
                      <w:highlight w:val="none"/>
                    </w:rPr>
                  </w:pPr>
                  <w:r>
                    <w:rPr>
                      <w:color w:val="auto"/>
                      <w:highlight w:val="none"/>
                    </w:rPr>
                    <w:t>污染物</w:t>
                  </w:r>
                </w:p>
              </w:tc>
              <w:tc>
                <w:tcPr>
                  <w:tcW w:w="1250" w:type="pct"/>
                  <w:vAlign w:val="center"/>
                </w:tcPr>
                <w:p>
                  <w:pPr>
                    <w:jc w:val="center"/>
                    <w:rPr>
                      <w:color w:val="auto"/>
                      <w:highlight w:val="none"/>
                    </w:rPr>
                  </w:pPr>
                  <w:r>
                    <w:rPr>
                      <w:color w:val="auto"/>
                      <w:highlight w:val="none"/>
                    </w:rPr>
                    <w:t>单位</w:t>
                  </w:r>
                </w:p>
              </w:tc>
              <w:tc>
                <w:tcPr>
                  <w:tcW w:w="1250" w:type="pct"/>
                  <w:vAlign w:val="center"/>
                </w:tcPr>
                <w:p>
                  <w:pPr>
                    <w:jc w:val="center"/>
                    <w:rPr>
                      <w:color w:val="auto"/>
                      <w:highlight w:val="none"/>
                    </w:rPr>
                  </w:pPr>
                  <w:r>
                    <w:rPr>
                      <w:color w:val="auto"/>
                      <w:highlight w:val="none"/>
                    </w:rPr>
                    <w:t>产污系数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50" w:type="pct"/>
                  <w:vMerge w:val="restart"/>
                  <w:vAlign w:val="center"/>
                </w:tcPr>
                <w:p>
                  <w:pPr>
                    <w:jc w:val="center"/>
                    <w:rPr>
                      <w:color w:val="auto"/>
                      <w:highlight w:val="none"/>
                    </w:rPr>
                  </w:pPr>
                  <w:r>
                    <w:rPr>
                      <w:color w:val="auto"/>
                      <w:highlight w:val="none"/>
                    </w:rPr>
                    <w:t>液化石油气</w:t>
                  </w:r>
                </w:p>
              </w:tc>
              <w:tc>
                <w:tcPr>
                  <w:tcW w:w="1250" w:type="pct"/>
                  <w:vAlign w:val="center"/>
                </w:tcPr>
                <w:p>
                  <w:pPr>
                    <w:jc w:val="center"/>
                    <w:rPr>
                      <w:color w:val="auto"/>
                      <w:highlight w:val="none"/>
                    </w:rPr>
                  </w:pPr>
                  <w:r>
                    <w:rPr>
                      <w:color w:val="auto"/>
                      <w:highlight w:val="none"/>
                    </w:rPr>
                    <w:t>烟尘</w:t>
                  </w:r>
                </w:p>
              </w:tc>
              <w:tc>
                <w:tcPr>
                  <w:tcW w:w="1250" w:type="pct"/>
                  <w:vAlign w:val="center"/>
                </w:tcPr>
                <w:p>
                  <w:pPr>
                    <w:jc w:val="center"/>
                    <w:rPr>
                      <w:color w:val="auto"/>
                      <w:highlight w:val="none"/>
                    </w:rPr>
                  </w:pPr>
                  <w:r>
                    <w:rPr>
                      <w:color w:val="auto"/>
                      <w:highlight w:val="none"/>
                    </w:rPr>
                    <w:t>kg/t气</w:t>
                  </w:r>
                </w:p>
              </w:tc>
              <w:tc>
                <w:tcPr>
                  <w:tcW w:w="1250" w:type="pct"/>
                  <w:vAlign w:val="center"/>
                </w:tcPr>
                <w:p>
                  <w:pPr>
                    <w:jc w:val="center"/>
                    <w:rPr>
                      <w:color w:val="auto"/>
                      <w:highlight w:val="none"/>
                    </w:rPr>
                  </w:pPr>
                  <w:r>
                    <w:rPr>
                      <w:color w:val="auto"/>
                      <w:highlight w:val="none"/>
                    </w:rPr>
                    <w:t>0.039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50" w:type="pct"/>
                  <w:vMerge w:val="continue"/>
                  <w:vAlign w:val="center"/>
                </w:tcPr>
                <w:p>
                  <w:pPr>
                    <w:jc w:val="center"/>
                    <w:rPr>
                      <w:color w:val="auto"/>
                      <w:highlight w:val="none"/>
                    </w:rPr>
                  </w:pPr>
                </w:p>
              </w:tc>
              <w:tc>
                <w:tcPr>
                  <w:tcW w:w="1250" w:type="pct"/>
                  <w:vAlign w:val="center"/>
                </w:tcPr>
                <w:p>
                  <w:pPr>
                    <w:jc w:val="center"/>
                    <w:rPr>
                      <w:color w:val="auto"/>
                      <w:highlight w:val="none"/>
                    </w:rPr>
                  </w:pPr>
                  <w:r>
                    <w:rPr>
                      <w:color w:val="auto"/>
                      <w:highlight w:val="none"/>
                    </w:rPr>
                    <w:t>二氧化硫</w:t>
                  </w:r>
                </w:p>
              </w:tc>
              <w:tc>
                <w:tcPr>
                  <w:tcW w:w="1250" w:type="pct"/>
                  <w:vAlign w:val="center"/>
                </w:tcPr>
                <w:p>
                  <w:pPr>
                    <w:jc w:val="center"/>
                    <w:rPr>
                      <w:color w:val="auto"/>
                      <w:highlight w:val="none"/>
                    </w:rPr>
                  </w:pPr>
                  <w:r>
                    <w:rPr>
                      <w:color w:val="auto"/>
                      <w:highlight w:val="none"/>
                    </w:rPr>
                    <w:t>kg/t气</w:t>
                  </w:r>
                </w:p>
              </w:tc>
              <w:tc>
                <w:tcPr>
                  <w:tcW w:w="1250" w:type="pct"/>
                  <w:vAlign w:val="center"/>
                </w:tcPr>
                <w:p>
                  <w:pPr>
                    <w:jc w:val="center"/>
                    <w:rPr>
                      <w:color w:val="auto"/>
                      <w:highlight w:val="none"/>
                    </w:rPr>
                  </w:pPr>
                  <w:r>
                    <w:rPr>
                      <w:color w:val="auto"/>
                      <w:highlight w:val="none"/>
                    </w:rPr>
                    <w:t>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 w:hRule="atLeast"/>
              </w:trPr>
              <w:tc>
                <w:tcPr>
                  <w:tcW w:w="1250" w:type="pct"/>
                  <w:vMerge w:val="continue"/>
                  <w:vAlign w:val="center"/>
                </w:tcPr>
                <w:p>
                  <w:pPr>
                    <w:jc w:val="center"/>
                    <w:rPr>
                      <w:color w:val="auto"/>
                      <w:highlight w:val="none"/>
                    </w:rPr>
                  </w:pPr>
                </w:p>
              </w:tc>
              <w:tc>
                <w:tcPr>
                  <w:tcW w:w="1250" w:type="pct"/>
                  <w:vAlign w:val="center"/>
                </w:tcPr>
                <w:p>
                  <w:pPr>
                    <w:jc w:val="center"/>
                    <w:rPr>
                      <w:color w:val="auto"/>
                      <w:highlight w:val="none"/>
                    </w:rPr>
                  </w:pPr>
                  <w:r>
                    <w:rPr>
                      <w:color w:val="auto"/>
                      <w:highlight w:val="none"/>
                    </w:rPr>
                    <w:t>氮氧化物</w:t>
                  </w:r>
                </w:p>
              </w:tc>
              <w:tc>
                <w:tcPr>
                  <w:tcW w:w="1250" w:type="pct"/>
                  <w:vAlign w:val="center"/>
                </w:tcPr>
                <w:p>
                  <w:pPr>
                    <w:jc w:val="center"/>
                    <w:rPr>
                      <w:color w:val="auto"/>
                      <w:highlight w:val="none"/>
                    </w:rPr>
                  </w:pPr>
                  <w:r>
                    <w:rPr>
                      <w:color w:val="auto"/>
                      <w:highlight w:val="none"/>
                    </w:rPr>
                    <w:t>kg/t气</w:t>
                  </w:r>
                </w:p>
              </w:tc>
              <w:tc>
                <w:tcPr>
                  <w:tcW w:w="1250" w:type="pct"/>
                  <w:vAlign w:val="center"/>
                </w:tcPr>
                <w:p>
                  <w:pPr>
                    <w:jc w:val="center"/>
                    <w:rPr>
                      <w:color w:val="auto"/>
                      <w:highlight w:val="none"/>
                    </w:rPr>
                  </w:pPr>
                  <w:r>
                    <w:rPr>
                      <w:color w:val="auto"/>
                      <w:highlight w:val="none"/>
                    </w:rPr>
                    <w:t>1.08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trPr>
              <w:tc>
                <w:tcPr>
                  <w:tcW w:w="1250" w:type="pct"/>
                  <w:vMerge w:val="continue"/>
                  <w:vAlign w:val="center"/>
                </w:tcPr>
                <w:p>
                  <w:pPr>
                    <w:jc w:val="center"/>
                    <w:rPr>
                      <w:color w:val="auto"/>
                      <w:highlight w:val="none"/>
                    </w:rPr>
                  </w:pPr>
                </w:p>
              </w:tc>
              <w:tc>
                <w:tcPr>
                  <w:tcW w:w="1250" w:type="pct"/>
                  <w:vAlign w:val="center"/>
                </w:tcPr>
                <w:p>
                  <w:pPr>
                    <w:jc w:val="center"/>
                    <w:rPr>
                      <w:color w:val="auto"/>
                      <w:highlight w:val="none"/>
                    </w:rPr>
                  </w:pPr>
                  <w:r>
                    <w:rPr>
                      <w:color w:val="auto"/>
                      <w:highlight w:val="none"/>
                    </w:rPr>
                    <w:t>非甲烷总烃</w:t>
                  </w:r>
                </w:p>
              </w:tc>
              <w:tc>
                <w:tcPr>
                  <w:tcW w:w="1250" w:type="pct"/>
                  <w:vAlign w:val="center"/>
                </w:tcPr>
                <w:p>
                  <w:pPr>
                    <w:jc w:val="center"/>
                    <w:rPr>
                      <w:color w:val="auto"/>
                      <w:highlight w:val="none"/>
                    </w:rPr>
                  </w:pPr>
                  <w:r>
                    <w:rPr>
                      <w:color w:val="auto"/>
                      <w:highlight w:val="none"/>
                    </w:rPr>
                    <w:t>kg/t气</w:t>
                  </w:r>
                </w:p>
              </w:tc>
              <w:tc>
                <w:tcPr>
                  <w:tcW w:w="1250" w:type="pct"/>
                  <w:vAlign w:val="center"/>
                </w:tcPr>
                <w:p>
                  <w:pPr>
                    <w:jc w:val="center"/>
                    <w:rPr>
                      <w:color w:val="auto"/>
                      <w:highlight w:val="none"/>
                    </w:rPr>
                  </w:pPr>
                  <w:r>
                    <w:rPr>
                      <w:color w:val="auto"/>
                      <w:highlight w:val="none"/>
                    </w:rPr>
                    <w:t>3.77</w:t>
                  </w:r>
                </w:p>
              </w:tc>
            </w:tr>
          </w:tbl>
          <w:p>
            <w:pPr>
              <w:rPr>
                <w:color w:val="auto"/>
                <w:highlight w:val="none"/>
              </w:rPr>
            </w:pPr>
          </w:p>
          <w:p>
            <w:pPr>
              <w:spacing w:line="360" w:lineRule="auto"/>
              <w:ind w:firstLine="480" w:firstLineChars="200"/>
              <w:rPr>
                <w:color w:val="auto"/>
                <w:sz w:val="24"/>
                <w:highlight w:val="none"/>
              </w:rPr>
            </w:pPr>
            <w:r>
              <w:rPr>
                <w:color w:val="auto"/>
                <w:sz w:val="24"/>
                <w:highlight w:val="none"/>
              </w:rPr>
              <w:t>液化石油气燃烧废气污染物产生量为烟尘</w:t>
            </w:r>
            <w:r>
              <w:rPr>
                <w:rFonts w:hint="eastAsia"/>
                <w:color w:val="auto"/>
                <w:sz w:val="24"/>
                <w:highlight w:val="none"/>
              </w:rPr>
              <w:t>0.0000t</w:t>
            </w:r>
            <w:r>
              <w:rPr>
                <w:color w:val="auto"/>
                <w:sz w:val="24"/>
                <w:highlight w:val="none"/>
              </w:rPr>
              <w:t>/a、二氧化硫0.0</w:t>
            </w:r>
            <w:r>
              <w:rPr>
                <w:rFonts w:hint="eastAsia"/>
                <w:color w:val="auto"/>
                <w:sz w:val="24"/>
                <w:highlight w:val="none"/>
              </w:rPr>
              <w:t>000t</w:t>
            </w:r>
            <w:r>
              <w:rPr>
                <w:color w:val="auto"/>
                <w:sz w:val="24"/>
                <w:highlight w:val="none"/>
              </w:rPr>
              <w:t>/a、氮氧化物</w:t>
            </w:r>
            <w:r>
              <w:rPr>
                <w:rFonts w:hint="eastAsia"/>
                <w:color w:val="auto"/>
                <w:sz w:val="24"/>
                <w:highlight w:val="none"/>
              </w:rPr>
              <w:t>0.002t</w:t>
            </w:r>
            <w:r>
              <w:rPr>
                <w:color w:val="auto"/>
                <w:sz w:val="24"/>
                <w:highlight w:val="none"/>
              </w:rPr>
              <w:t>/a</w:t>
            </w:r>
            <w:r>
              <w:rPr>
                <w:rFonts w:hint="eastAsia"/>
                <w:color w:val="auto"/>
                <w:sz w:val="24"/>
                <w:highlight w:val="none"/>
              </w:rPr>
              <w:t>、</w:t>
            </w:r>
            <w:r>
              <w:rPr>
                <w:color w:val="auto"/>
                <w:sz w:val="24"/>
                <w:highlight w:val="none"/>
              </w:rPr>
              <w:t>非甲烷总烃</w:t>
            </w:r>
            <w:r>
              <w:rPr>
                <w:rFonts w:hint="eastAsia"/>
                <w:color w:val="auto"/>
                <w:sz w:val="24"/>
                <w:highlight w:val="none"/>
              </w:rPr>
              <w:t>0.006t</w:t>
            </w:r>
            <w:r>
              <w:rPr>
                <w:color w:val="auto"/>
                <w:sz w:val="24"/>
                <w:highlight w:val="none"/>
              </w:rPr>
              <w:t>/a</w:t>
            </w:r>
            <w:r>
              <w:rPr>
                <w:rFonts w:hint="eastAsia"/>
                <w:color w:val="auto"/>
                <w:sz w:val="24"/>
                <w:highlight w:val="none"/>
              </w:rPr>
              <w:t>。</w:t>
            </w:r>
          </w:p>
          <w:p>
            <w:pPr>
              <w:spacing w:line="360" w:lineRule="auto"/>
              <w:ind w:firstLine="480" w:firstLineChars="200"/>
              <w:rPr>
                <w:color w:val="auto"/>
                <w:sz w:val="24"/>
                <w:highlight w:val="none"/>
              </w:rPr>
            </w:pPr>
            <w:r>
              <w:rPr>
                <w:rFonts w:hint="eastAsia"/>
                <w:color w:val="auto"/>
                <w:sz w:val="24"/>
                <w:highlight w:val="none"/>
              </w:rPr>
              <w:t>封口工序加热炉（液化石油气燃烧废气）设置顶吸集气罩，加热炉排气口风速0.3m/s，废气收集率可达90%，</w:t>
            </w:r>
            <w:r>
              <w:rPr>
                <w:color w:val="auto"/>
                <w:sz w:val="24"/>
                <w:highlight w:val="none"/>
              </w:rPr>
              <w:t>收集的废气送15高P2排气筒排放。</w:t>
            </w:r>
          </w:p>
          <w:p>
            <w:pPr>
              <w:spacing w:line="360" w:lineRule="auto"/>
              <w:ind w:firstLine="480" w:firstLineChars="200"/>
              <w:rPr>
                <w:color w:val="auto"/>
                <w:sz w:val="24"/>
                <w:highlight w:val="none"/>
              </w:rPr>
            </w:pPr>
            <w:r>
              <w:rPr>
                <w:color w:val="auto"/>
                <w:sz w:val="24"/>
                <w:highlight w:val="none"/>
              </w:rPr>
              <w:t>氮氧化物有组织废气产生量为</w:t>
            </w:r>
            <w:r>
              <w:rPr>
                <w:rFonts w:hint="eastAsia"/>
                <w:color w:val="auto"/>
                <w:sz w:val="24"/>
                <w:highlight w:val="none"/>
              </w:rPr>
              <w:t>0.002t</w:t>
            </w:r>
            <w:r>
              <w:rPr>
                <w:color w:val="auto"/>
                <w:sz w:val="24"/>
                <w:highlight w:val="none"/>
              </w:rPr>
              <w:t>/a，无组织废气产生量为</w:t>
            </w:r>
            <w:r>
              <w:rPr>
                <w:rFonts w:hint="eastAsia"/>
                <w:color w:val="auto"/>
                <w:sz w:val="24"/>
                <w:highlight w:val="none"/>
              </w:rPr>
              <w:t>0.000t</w:t>
            </w:r>
            <w:r>
              <w:rPr>
                <w:color w:val="auto"/>
                <w:sz w:val="24"/>
                <w:highlight w:val="none"/>
              </w:rPr>
              <w:t>/a</w:t>
            </w:r>
            <w:r>
              <w:rPr>
                <w:rFonts w:hint="eastAsia"/>
                <w:color w:val="auto"/>
                <w:sz w:val="24"/>
                <w:highlight w:val="none"/>
              </w:rPr>
              <w:t>；</w:t>
            </w:r>
            <w:r>
              <w:rPr>
                <w:color w:val="auto"/>
                <w:sz w:val="24"/>
                <w:highlight w:val="none"/>
              </w:rPr>
              <w:t>非甲烷总烃有组织废气产生量为</w:t>
            </w:r>
            <w:r>
              <w:rPr>
                <w:rFonts w:hint="eastAsia"/>
                <w:color w:val="auto"/>
                <w:sz w:val="24"/>
                <w:highlight w:val="none"/>
              </w:rPr>
              <w:t>0.005t</w:t>
            </w:r>
            <w:r>
              <w:rPr>
                <w:color w:val="auto"/>
                <w:sz w:val="24"/>
                <w:highlight w:val="none"/>
              </w:rPr>
              <w:t>/a，无组织废气产生量为</w:t>
            </w:r>
            <w:r>
              <w:rPr>
                <w:rFonts w:hint="eastAsia"/>
                <w:color w:val="auto"/>
                <w:sz w:val="24"/>
                <w:highlight w:val="none"/>
              </w:rPr>
              <w:t>0.001t</w:t>
            </w:r>
            <w:r>
              <w:rPr>
                <w:color w:val="auto"/>
                <w:sz w:val="24"/>
                <w:highlight w:val="none"/>
              </w:rPr>
              <w:t>/a</w:t>
            </w:r>
            <w:r>
              <w:rPr>
                <w:rFonts w:hint="eastAsia"/>
                <w:color w:val="auto"/>
                <w:sz w:val="24"/>
                <w:highlight w:val="none"/>
              </w:rPr>
              <w:t>。</w:t>
            </w:r>
          </w:p>
          <w:p>
            <w:pPr>
              <w:spacing w:line="360" w:lineRule="auto"/>
              <w:ind w:firstLine="482" w:firstLineChars="200"/>
              <w:rPr>
                <w:b/>
                <w:bCs/>
                <w:color w:val="auto"/>
                <w:sz w:val="24"/>
                <w:highlight w:val="none"/>
              </w:rPr>
            </w:pPr>
            <w:r>
              <w:rPr>
                <w:b/>
                <w:bCs/>
                <w:color w:val="auto"/>
                <w:sz w:val="24"/>
                <w:highlight w:val="none"/>
              </w:rPr>
              <w:fldChar w:fldCharType="begin"/>
            </w:r>
            <w:r>
              <w:rPr>
                <w:rFonts w:hint="eastAsia"/>
                <w:b/>
                <w:bCs/>
                <w:color w:val="auto"/>
                <w:sz w:val="24"/>
                <w:highlight w:val="none"/>
              </w:rPr>
              <w:instrText xml:space="preserve">= 3 \* GB3</w:instrText>
            </w:r>
            <w:r>
              <w:rPr>
                <w:b/>
                <w:bCs/>
                <w:color w:val="auto"/>
                <w:sz w:val="24"/>
                <w:highlight w:val="none"/>
              </w:rPr>
              <w:fldChar w:fldCharType="separate"/>
            </w:r>
            <w:r>
              <w:rPr>
                <w:rFonts w:hint="eastAsia"/>
                <w:b/>
                <w:bCs/>
                <w:color w:val="auto"/>
                <w:sz w:val="24"/>
                <w:highlight w:val="none"/>
              </w:rPr>
              <w:t>③</w:t>
            </w:r>
            <w:r>
              <w:rPr>
                <w:b/>
                <w:bCs/>
                <w:color w:val="auto"/>
                <w:sz w:val="24"/>
                <w:highlight w:val="none"/>
              </w:rPr>
              <w:fldChar w:fldCharType="end"/>
            </w:r>
            <w:r>
              <w:rPr>
                <w:rFonts w:hint="eastAsia"/>
                <w:b/>
                <w:bCs/>
                <w:color w:val="auto"/>
                <w:sz w:val="24"/>
                <w:highlight w:val="none"/>
              </w:rPr>
              <w:t>危废库</w:t>
            </w:r>
          </w:p>
          <w:p>
            <w:pPr>
              <w:spacing w:line="360" w:lineRule="auto"/>
              <w:ind w:firstLine="480" w:firstLineChars="200"/>
              <w:rPr>
                <w:color w:val="auto"/>
                <w:sz w:val="24"/>
                <w:highlight w:val="none"/>
              </w:rPr>
            </w:pPr>
            <w:r>
              <w:rPr>
                <w:color w:val="auto"/>
                <w:sz w:val="24"/>
                <w:highlight w:val="none"/>
              </w:rPr>
              <w:t>危废库内危废挥发出非甲烷总烃，废油、废液放置于加盖吨桶内，废活性炭放置于密封袋中，</w:t>
            </w:r>
            <w:r>
              <w:rPr>
                <w:rFonts w:hint="eastAsia"/>
                <w:color w:val="auto"/>
                <w:sz w:val="24"/>
                <w:highlight w:val="none"/>
              </w:rPr>
              <w:t>本项目危废10</w:t>
            </w:r>
            <w:r>
              <w:rPr>
                <w:color w:val="auto"/>
                <w:sz w:val="24"/>
                <w:highlight w:val="none"/>
              </w:rPr>
              <w:t>t/a，</w:t>
            </w:r>
            <w:r>
              <w:rPr>
                <w:rFonts w:hint="eastAsia"/>
                <w:color w:val="auto"/>
                <w:sz w:val="24"/>
                <w:highlight w:val="none"/>
              </w:rPr>
              <w:t>现有项目30</w:t>
            </w:r>
            <w:r>
              <w:rPr>
                <w:color w:val="auto"/>
                <w:sz w:val="24"/>
                <w:highlight w:val="none"/>
              </w:rPr>
              <w:t>t/a</w:t>
            </w:r>
            <w:r>
              <w:rPr>
                <w:rFonts w:hint="eastAsia"/>
                <w:color w:val="auto"/>
                <w:sz w:val="24"/>
                <w:highlight w:val="none"/>
              </w:rPr>
              <w:t>，</w:t>
            </w:r>
            <w:r>
              <w:rPr>
                <w:color w:val="auto"/>
                <w:sz w:val="24"/>
                <w:highlight w:val="none"/>
              </w:rPr>
              <w:t>挥发非甲烷总烃以2‰计，则非甲烷总烃为0.</w:t>
            </w:r>
            <w:r>
              <w:rPr>
                <w:rFonts w:hint="eastAsia"/>
                <w:color w:val="auto"/>
                <w:sz w:val="24"/>
                <w:highlight w:val="none"/>
              </w:rPr>
              <w:t>08</w:t>
            </w:r>
            <w:r>
              <w:rPr>
                <w:color w:val="auto"/>
                <w:sz w:val="24"/>
                <w:highlight w:val="none"/>
              </w:rPr>
              <w:t>/a，危废库废气负压收集后通过</w:t>
            </w:r>
            <w:r>
              <w:rPr>
                <w:rFonts w:hint="eastAsia"/>
                <w:color w:val="auto"/>
                <w:sz w:val="24"/>
                <w:highlight w:val="none"/>
              </w:rPr>
              <w:t>一级</w:t>
            </w:r>
            <w:r>
              <w:rPr>
                <w:color w:val="auto"/>
                <w:sz w:val="24"/>
                <w:highlight w:val="none"/>
              </w:rPr>
              <w:t>活性炭吸附处理后经15m高排气筒P</w:t>
            </w:r>
            <w:r>
              <w:rPr>
                <w:rFonts w:hint="eastAsia"/>
                <w:color w:val="auto"/>
                <w:sz w:val="24"/>
                <w:highlight w:val="none"/>
              </w:rPr>
              <w:t>3</w:t>
            </w:r>
            <w:r>
              <w:rPr>
                <w:color w:val="auto"/>
                <w:sz w:val="24"/>
                <w:highlight w:val="none"/>
              </w:rPr>
              <w:t>排放，收集效率90%，危废库工作时</w:t>
            </w:r>
            <w:r>
              <w:rPr>
                <w:rFonts w:hint="eastAsia"/>
                <w:color w:val="auto"/>
                <w:sz w:val="24"/>
                <w:highlight w:val="none"/>
              </w:rPr>
              <w:t>长8760</w:t>
            </w:r>
            <w:r>
              <w:rPr>
                <w:color w:val="auto"/>
                <w:sz w:val="24"/>
                <w:highlight w:val="none"/>
              </w:rPr>
              <w:t>h/a，则非甲烷总烃有组织废气产生量为0.</w:t>
            </w:r>
            <w:r>
              <w:rPr>
                <w:rFonts w:hint="eastAsia"/>
                <w:color w:val="auto"/>
                <w:sz w:val="24"/>
                <w:highlight w:val="none"/>
              </w:rPr>
              <w:t>072</w:t>
            </w:r>
            <w:r>
              <w:rPr>
                <w:color w:val="auto"/>
                <w:sz w:val="24"/>
                <w:highlight w:val="none"/>
              </w:rPr>
              <w:t>t/a，非甲烷总烃无组织产生量为0.0</w:t>
            </w:r>
            <w:r>
              <w:rPr>
                <w:rFonts w:hint="eastAsia"/>
                <w:color w:val="auto"/>
                <w:sz w:val="24"/>
                <w:highlight w:val="none"/>
              </w:rPr>
              <w:t>08</w:t>
            </w:r>
            <w:r>
              <w:rPr>
                <w:color w:val="auto"/>
                <w:sz w:val="24"/>
                <w:highlight w:val="none"/>
              </w:rPr>
              <w:t>t/a，废气处理效率75%，风量</w:t>
            </w:r>
            <w:r>
              <w:rPr>
                <w:rFonts w:hint="eastAsia"/>
                <w:color w:val="auto"/>
                <w:sz w:val="24"/>
                <w:highlight w:val="none"/>
              </w:rPr>
              <w:t>2</w:t>
            </w:r>
            <w:r>
              <w:rPr>
                <w:color w:val="auto"/>
                <w:sz w:val="24"/>
                <w:highlight w:val="none"/>
              </w:rPr>
              <w:t>000m</w:t>
            </w:r>
            <w:r>
              <w:rPr>
                <w:color w:val="auto"/>
                <w:sz w:val="24"/>
                <w:highlight w:val="none"/>
                <w:vertAlign w:val="superscript"/>
              </w:rPr>
              <w:t>3</w:t>
            </w:r>
            <w:r>
              <w:rPr>
                <w:color w:val="auto"/>
                <w:sz w:val="24"/>
                <w:highlight w:val="none"/>
              </w:rPr>
              <w:t>/h。</w:t>
            </w:r>
          </w:p>
          <w:p>
            <w:pPr>
              <w:pStyle w:val="2"/>
              <w:numPr>
                <w:ilvl w:val="0"/>
                <w:numId w:val="13"/>
              </w:numPr>
              <w:spacing w:line="360" w:lineRule="auto"/>
              <w:rPr>
                <w:b/>
                <w:bCs/>
                <w:color w:val="auto"/>
                <w:sz w:val="24"/>
                <w:szCs w:val="24"/>
                <w:highlight w:val="none"/>
              </w:rPr>
            </w:pPr>
            <w:r>
              <w:rPr>
                <w:b/>
                <w:bCs/>
                <w:color w:val="auto"/>
                <w:sz w:val="24"/>
                <w:szCs w:val="24"/>
                <w:highlight w:val="none"/>
              </w:rPr>
              <w:t>废气产排基本信息</w:t>
            </w:r>
          </w:p>
          <w:p>
            <w:pPr>
              <w:adjustRightInd w:val="0"/>
              <w:snapToGrid w:val="0"/>
              <w:spacing w:beforeLines="50"/>
              <w:jc w:val="center"/>
              <w:rPr>
                <w:b/>
                <w:color w:val="auto"/>
                <w:kern w:val="21"/>
                <w:sz w:val="24"/>
                <w:highlight w:val="none"/>
              </w:rPr>
            </w:pPr>
            <w:r>
              <w:rPr>
                <w:b/>
                <w:color w:val="auto"/>
                <w:kern w:val="21"/>
                <w:sz w:val="24"/>
                <w:highlight w:val="none"/>
              </w:rPr>
              <w:t>表4-2  本项目有组织废气产排情况</w:t>
            </w:r>
          </w:p>
          <w:tbl>
            <w:tblPr>
              <w:tblStyle w:val="34"/>
              <w:tblpPr w:leftFromText="180" w:rightFromText="180" w:vertAnchor="text" w:horzAnchor="page" w:tblpX="1783" w:tblpY="188"/>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1"/>
              <w:gridCol w:w="662"/>
              <w:gridCol w:w="560"/>
              <w:gridCol w:w="541"/>
              <w:gridCol w:w="619"/>
              <w:gridCol w:w="619"/>
              <w:gridCol w:w="516"/>
              <w:gridCol w:w="649"/>
              <w:gridCol w:w="718"/>
              <w:gridCol w:w="682"/>
              <w:gridCol w:w="870"/>
              <w:gridCol w:w="649"/>
              <w:gridCol w:w="520"/>
              <w:gridCol w:w="4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346" w:type="pct"/>
                  <w:vMerge w:val="restart"/>
                  <w:vAlign w:val="center"/>
                </w:tcPr>
                <w:p>
                  <w:pPr>
                    <w:adjustRightInd w:val="0"/>
                    <w:snapToGrid w:val="0"/>
                    <w:ind w:left="-105" w:leftChars="-50" w:right="-105" w:rightChars="-50"/>
                    <w:jc w:val="center"/>
                    <w:rPr>
                      <w:color w:val="auto"/>
                      <w:sz w:val="18"/>
                      <w:szCs w:val="18"/>
                      <w:highlight w:val="none"/>
                    </w:rPr>
                  </w:pPr>
                  <w:r>
                    <w:rPr>
                      <w:color w:val="auto"/>
                      <w:sz w:val="18"/>
                      <w:szCs w:val="18"/>
                      <w:highlight w:val="none"/>
                    </w:rPr>
                    <w:t>污染物</w:t>
                  </w:r>
                </w:p>
              </w:tc>
              <w:tc>
                <w:tcPr>
                  <w:tcW w:w="1014" w:type="pct"/>
                  <w:gridSpan w:val="3"/>
                  <w:vAlign w:val="center"/>
                </w:tcPr>
                <w:p>
                  <w:pPr>
                    <w:adjustRightInd w:val="0"/>
                    <w:snapToGrid w:val="0"/>
                    <w:ind w:left="-105" w:leftChars="-50" w:right="-105" w:rightChars="-50"/>
                    <w:jc w:val="center"/>
                    <w:rPr>
                      <w:color w:val="auto"/>
                      <w:sz w:val="18"/>
                      <w:szCs w:val="18"/>
                      <w:highlight w:val="none"/>
                    </w:rPr>
                  </w:pPr>
                  <w:r>
                    <w:rPr>
                      <w:color w:val="auto"/>
                      <w:sz w:val="18"/>
                      <w:szCs w:val="18"/>
                      <w:highlight w:val="none"/>
                    </w:rPr>
                    <w:t>产生状况</w:t>
                  </w:r>
                </w:p>
              </w:tc>
              <w:tc>
                <w:tcPr>
                  <w:tcW w:w="356" w:type="pct"/>
                  <w:vMerge w:val="restart"/>
                  <w:vAlign w:val="center"/>
                </w:tcPr>
                <w:p>
                  <w:pPr>
                    <w:adjustRightInd w:val="0"/>
                    <w:snapToGrid w:val="0"/>
                    <w:ind w:left="-105" w:leftChars="-50" w:right="-105" w:rightChars="-50"/>
                    <w:jc w:val="center"/>
                    <w:rPr>
                      <w:color w:val="auto"/>
                      <w:sz w:val="18"/>
                      <w:szCs w:val="18"/>
                      <w:highlight w:val="none"/>
                    </w:rPr>
                  </w:pPr>
                  <w:r>
                    <w:rPr>
                      <w:rFonts w:hint="eastAsia"/>
                      <w:color w:val="auto"/>
                      <w:sz w:val="18"/>
                      <w:szCs w:val="18"/>
                      <w:highlight w:val="none"/>
                    </w:rPr>
                    <w:t>工作</w:t>
                  </w:r>
                </w:p>
                <w:p>
                  <w:pPr>
                    <w:adjustRightInd w:val="0"/>
                    <w:snapToGrid w:val="0"/>
                    <w:ind w:left="-105" w:leftChars="-50" w:right="-105" w:rightChars="-50"/>
                    <w:jc w:val="center"/>
                    <w:rPr>
                      <w:color w:val="auto"/>
                      <w:sz w:val="18"/>
                      <w:szCs w:val="18"/>
                      <w:highlight w:val="none"/>
                    </w:rPr>
                  </w:pPr>
                  <w:r>
                    <w:rPr>
                      <w:rFonts w:hint="eastAsia"/>
                      <w:color w:val="auto"/>
                      <w:sz w:val="18"/>
                      <w:szCs w:val="18"/>
                      <w:highlight w:val="none"/>
                    </w:rPr>
                    <w:t>时间</w:t>
                  </w:r>
                </w:p>
              </w:tc>
              <w:tc>
                <w:tcPr>
                  <w:tcW w:w="356" w:type="pct"/>
                  <w:vMerge w:val="restart"/>
                  <w:vAlign w:val="center"/>
                </w:tcPr>
                <w:p>
                  <w:pPr>
                    <w:adjustRightInd w:val="0"/>
                    <w:snapToGrid w:val="0"/>
                    <w:ind w:left="-105" w:leftChars="-50" w:right="-105" w:rightChars="-50"/>
                    <w:jc w:val="center"/>
                    <w:rPr>
                      <w:color w:val="auto"/>
                      <w:sz w:val="18"/>
                      <w:szCs w:val="18"/>
                      <w:highlight w:val="none"/>
                    </w:rPr>
                  </w:pPr>
                  <w:r>
                    <w:rPr>
                      <w:color w:val="auto"/>
                      <w:sz w:val="18"/>
                      <w:szCs w:val="18"/>
                      <w:highlight w:val="none"/>
                    </w:rPr>
                    <w:t>处理方式</w:t>
                  </w:r>
                </w:p>
              </w:tc>
              <w:tc>
                <w:tcPr>
                  <w:tcW w:w="296" w:type="pct"/>
                  <w:vMerge w:val="restart"/>
                  <w:vAlign w:val="center"/>
                </w:tcPr>
                <w:p>
                  <w:pPr>
                    <w:adjustRightInd w:val="0"/>
                    <w:snapToGrid w:val="0"/>
                    <w:ind w:left="-105" w:leftChars="-50" w:right="-105" w:rightChars="-50"/>
                    <w:jc w:val="center"/>
                    <w:rPr>
                      <w:color w:val="auto"/>
                      <w:sz w:val="18"/>
                      <w:szCs w:val="18"/>
                      <w:highlight w:val="none"/>
                    </w:rPr>
                  </w:pPr>
                  <w:r>
                    <w:rPr>
                      <w:color w:val="auto"/>
                      <w:sz w:val="18"/>
                      <w:szCs w:val="18"/>
                      <w:highlight w:val="none"/>
                    </w:rPr>
                    <w:t>处理效率（%）</w:t>
                  </w:r>
                </w:p>
              </w:tc>
              <w:tc>
                <w:tcPr>
                  <w:tcW w:w="1178" w:type="pct"/>
                  <w:gridSpan w:val="3"/>
                  <w:vAlign w:val="center"/>
                </w:tcPr>
                <w:p>
                  <w:pPr>
                    <w:adjustRightInd w:val="0"/>
                    <w:snapToGrid w:val="0"/>
                    <w:ind w:left="-105" w:leftChars="-50" w:right="-105" w:rightChars="-50"/>
                    <w:jc w:val="center"/>
                    <w:rPr>
                      <w:color w:val="auto"/>
                      <w:sz w:val="18"/>
                      <w:szCs w:val="18"/>
                      <w:highlight w:val="none"/>
                    </w:rPr>
                  </w:pPr>
                  <w:r>
                    <w:rPr>
                      <w:color w:val="auto"/>
                      <w:sz w:val="18"/>
                      <w:szCs w:val="18"/>
                      <w:highlight w:val="none"/>
                    </w:rPr>
                    <w:t>排放状况</w:t>
                  </w:r>
                </w:p>
              </w:tc>
              <w:tc>
                <w:tcPr>
                  <w:tcW w:w="500" w:type="pct"/>
                  <w:vMerge w:val="restart"/>
                  <w:vAlign w:val="center"/>
                </w:tcPr>
                <w:p>
                  <w:pPr>
                    <w:adjustRightInd w:val="0"/>
                    <w:snapToGrid w:val="0"/>
                    <w:ind w:left="-105" w:leftChars="-50" w:right="-105" w:rightChars="-50"/>
                    <w:jc w:val="center"/>
                    <w:rPr>
                      <w:color w:val="auto"/>
                      <w:sz w:val="18"/>
                      <w:szCs w:val="18"/>
                      <w:highlight w:val="none"/>
                    </w:rPr>
                  </w:pPr>
                  <w:r>
                    <w:rPr>
                      <w:color w:val="auto"/>
                      <w:sz w:val="18"/>
                      <w:szCs w:val="18"/>
                      <w:highlight w:val="none"/>
                    </w:rPr>
                    <w:t>风量</w:t>
                  </w:r>
                </w:p>
                <w:p>
                  <w:pPr>
                    <w:adjustRightInd w:val="0"/>
                    <w:snapToGrid w:val="0"/>
                    <w:ind w:left="-105" w:leftChars="-50" w:right="-105" w:rightChars="-50"/>
                    <w:jc w:val="center"/>
                    <w:rPr>
                      <w:color w:val="auto"/>
                      <w:sz w:val="18"/>
                      <w:szCs w:val="18"/>
                      <w:highlight w:val="none"/>
                    </w:rPr>
                  </w:pPr>
                  <w:r>
                    <w:rPr>
                      <w:color w:val="auto"/>
                      <w:sz w:val="18"/>
                      <w:szCs w:val="18"/>
                      <w:highlight w:val="none"/>
                    </w:rPr>
                    <w:t>m</w:t>
                  </w:r>
                  <w:r>
                    <w:rPr>
                      <w:color w:val="auto"/>
                      <w:sz w:val="18"/>
                      <w:szCs w:val="18"/>
                      <w:highlight w:val="none"/>
                      <w:vertAlign w:val="superscript"/>
                    </w:rPr>
                    <w:t>3</w:t>
                  </w:r>
                  <w:r>
                    <w:rPr>
                      <w:color w:val="auto"/>
                      <w:sz w:val="18"/>
                      <w:szCs w:val="18"/>
                      <w:highlight w:val="none"/>
                    </w:rPr>
                    <w:t>/h</w:t>
                  </w:r>
                </w:p>
              </w:tc>
              <w:tc>
                <w:tcPr>
                  <w:tcW w:w="672" w:type="pct"/>
                  <w:gridSpan w:val="2"/>
                  <w:vAlign w:val="center"/>
                </w:tcPr>
                <w:p>
                  <w:pPr>
                    <w:adjustRightInd w:val="0"/>
                    <w:snapToGrid w:val="0"/>
                    <w:ind w:left="-105" w:leftChars="-50" w:right="-105" w:rightChars="-50"/>
                    <w:jc w:val="center"/>
                    <w:rPr>
                      <w:color w:val="auto"/>
                      <w:sz w:val="18"/>
                      <w:szCs w:val="18"/>
                      <w:highlight w:val="none"/>
                    </w:rPr>
                  </w:pPr>
                  <w:r>
                    <w:rPr>
                      <w:color w:val="auto"/>
                      <w:sz w:val="18"/>
                      <w:szCs w:val="18"/>
                      <w:highlight w:val="none"/>
                    </w:rPr>
                    <w:t>排放标准</w:t>
                  </w:r>
                </w:p>
              </w:tc>
              <w:tc>
                <w:tcPr>
                  <w:tcW w:w="278" w:type="pct"/>
                  <w:vMerge w:val="restart"/>
                  <w:vAlign w:val="center"/>
                </w:tcPr>
                <w:p>
                  <w:pPr>
                    <w:adjustRightInd w:val="0"/>
                    <w:snapToGrid w:val="0"/>
                    <w:ind w:left="-105" w:leftChars="-50" w:right="-105" w:rightChars="-50"/>
                    <w:jc w:val="center"/>
                    <w:rPr>
                      <w:color w:val="auto"/>
                      <w:sz w:val="18"/>
                      <w:szCs w:val="18"/>
                      <w:highlight w:val="none"/>
                    </w:rPr>
                  </w:pPr>
                  <w:r>
                    <w:rPr>
                      <w:color w:val="auto"/>
                      <w:sz w:val="18"/>
                      <w:szCs w:val="18"/>
                      <w:highlight w:val="none"/>
                    </w:rPr>
                    <w:t>达标性分析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46" w:type="pct"/>
                  <w:vMerge w:val="continue"/>
                  <w:vAlign w:val="center"/>
                </w:tcPr>
                <w:p>
                  <w:pPr>
                    <w:adjustRightInd w:val="0"/>
                    <w:snapToGrid w:val="0"/>
                    <w:ind w:left="-105" w:leftChars="-50" w:right="-105" w:rightChars="-50"/>
                    <w:jc w:val="center"/>
                    <w:rPr>
                      <w:color w:val="auto"/>
                      <w:sz w:val="18"/>
                      <w:szCs w:val="18"/>
                      <w:highlight w:val="none"/>
                    </w:rPr>
                  </w:pPr>
                </w:p>
              </w:tc>
              <w:tc>
                <w:tcPr>
                  <w:tcW w:w="381" w:type="pct"/>
                  <w:vAlign w:val="center"/>
                </w:tcPr>
                <w:p>
                  <w:pPr>
                    <w:adjustRightInd w:val="0"/>
                    <w:snapToGrid w:val="0"/>
                    <w:ind w:left="-105" w:leftChars="-50" w:right="-105" w:rightChars="-50"/>
                    <w:jc w:val="center"/>
                    <w:rPr>
                      <w:color w:val="auto"/>
                      <w:sz w:val="18"/>
                      <w:szCs w:val="18"/>
                      <w:highlight w:val="none"/>
                    </w:rPr>
                  </w:pPr>
                  <w:r>
                    <w:rPr>
                      <w:color w:val="auto"/>
                      <w:sz w:val="18"/>
                      <w:szCs w:val="18"/>
                      <w:highlight w:val="none"/>
                    </w:rPr>
                    <w:t>速率kg/h</w:t>
                  </w:r>
                </w:p>
              </w:tc>
              <w:tc>
                <w:tcPr>
                  <w:tcW w:w="322" w:type="pct"/>
                  <w:vAlign w:val="center"/>
                </w:tcPr>
                <w:p>
                  <w:pPr>
                    <w:adjustRightInd w:val="0"/>
                    <w:snapToGrid w:val="0"/>
                    <w:ind w:left="-105" w:leftChars="-50" w:right="-105" w:rightChars="-50"/>
                    <w:jc w:val="center"/>
                    <w:rPr>
                      <w:color w:val="auto"/>
                      <w:sz w:val="18"/>
                      <w:szCs w:val="18"/>
                      <w:highlight w:val="none"/>
                    </w:rPr>
                  </w:pPr>
                  <w:r>
                    <w:rPr>
                      <w:color w:val="auto"/>
                      <w:sz w:val="18"/>
                      <w:szCs w:val="18"/>
                      <w:highlight w:val="none"/>
                    </w:rPr>
                    <w:t>产生量</w:t>
                  </w:r>
                  <w:r>
                    <w:rPr>
                      <w:rFonts w:hint="eastAsia"/>
                      <w:color w:val="auto"/>
                      <w:sz w:val="18"/>
                      <w:szCs w:val="18"/>
                      <w:highlight w:val="none"/>
                    </w:rPr>
                    <w:t>t</w:t>
                  </w:r>
                  <w:r>
                    <w:rPr>
                      <w:color w:val="auto"/>
                      <w:sz w:val="18"/>
                      <w:szCs w:val="18"/>
                      <w:highlight w:val="none"/>
                    </w:rPr>
                    <w:t>/a</w:t>
                  </w:r>
                </w:p>
              </w:tc>
              <w:tc>
                <w:tcPr>
                  <w:tcW w:w="310" w:type="pct"/>
                  <w:vAlign w:val="center"/>
                </w:tcPr>
                <w:p>
                  <w:pPr>
                    <w:adjustRightInd w:val="0"/>
                    <w:snapToGrid w:val="0"/>
                    <w:ind w:left="-105" w:leftChars="-50" w:right="-105" w:rightChars="-50"/>
                    <w:jc w:val="center"/>
                    <w:rPr>
                      <w:color w:val="auto"/>
                      <w:sz w:val="18"/>
                      <w:szCs w:val="18"/>
                      <w:highlight w:val="none"/>
                    </w:rPr>
                  </w:pPr>
                  <w:r>
                    <w:rPr>
                      <w:color w:val="auto"/>
                      <w:sz w:val="18"/>
                      <w:szCs w:val="18"/>
                      <w:highlight w:val="none"/>
                    </w:rPr>
                    <w:t>浓度mg/m</w:t>
                  </w:r>
                  <w:r>
                    <w:rPr>
                      <w:color w:val="auto"/>
                      <w:sz w:val="18"/>
                      <w:szCs w:val="18"/>
                      <w:highlight w:val="none"/>
                      <w:vertAlign w:val="superscript"/>
                    </w:rPr>
                    <w:t>3</w:t>
                  </w:r>
                </w:p>
              </w:tc>
              <w:tc>
                <w:tcPr>
                  <w:tcW w:w="356" w:type="pct"/>
                  <w:vMerge w:val="continue"/>
                  <w:vAlign w:val="center"/>
                </w:tcPr>
                <w:p>
                  <w:pPr>
                    <w:adjustRightInd w:val="0"/>
                    <w:snapToGrid w:val="0"/>
                    <w:ind w:left="-105" w:leftChars="-50" w:right="-105" w:rightChars="-50"/>
                    <w:jc w:val="center"/>
                    <w:rPr>
                      <w:color w:val="auto"/>
                      <w:sz w:val="18"/>
                      <w:szCs w:val="18"/>
                      <w:highlight w:val="none"/>
                    </w:rPr>
                  </w:pPr>
                </w:p>
              </w:tc>
              <w:tc>
                <w:tcPr>
                  <w:tcW w:w="356" w:type="pct"/>
                  <w:vMerge w:val="continue"/>
                  <w:vAlign w:val="center"/>
                </w:tcPr>
                <w:p>
                  <w:pPr>
                    <w:adjustRightInd w:val="0"/>
                    <w:snapToGrid w:val="0"/>
                    <w:ind w:left="-105" w:leftChars="-50" w:right="-105" w:rightChars="-50"/>
                    <w:jc w:val="center"/>
                    <w:rPr>
                      <w:color w:val="auto"/>
                      <w:sz w:val="18"/>
                      <w:szCs w:val="18"/>
                      <w:highlight w:val="none"/>
                    </w:rPr>
                  </w:pPr>
                </w:p>
              </w:tc>
              <w:tc>
                <w:tcPr>
                  <w:tcW w:w="296" w:type="pct"/>
                  <w:vMerge w:val="continue"/>
                  <w:vAlign w:val="center"/>
                </w:tcPr>
                <w:p>
                  <w:pPr>
                    <w:adjustRightInd w:val="0"/>
                    <w:snapToGrid w:val="0"/>
                    <w:ind w:left="-105" w:leftChars="-50" w:right="-105" w:rightChars="-50"/>
                    <w:jc w:val="center"/>
                    <w:rPr>
                      <w:color w:val="auto"/>
                      <w:sz w:val="18"/>
                      <w:szCs w:val="18"/>
                      <w:highlight w:val="none"/>
                    </w:rPr>
                  </w:pPr>
                </w:p>
              </w:tc>
              <w:tc>
                <w:tcPr>
                  <w:tcW w:w="373" w:type="pct"/>
                  <w:vAlign w:val="center"/>
                </w:tcPr>
                <w:p>
                  <w:pPr>
                    <w:adjustRightInd w:val="0"/>
                    <w:snapToGrid w:val="0"/>
                    <w:ind w:left="-105" w:leftChars="-50" w:right="-105" w:rightChars="-50"/>
                    <w:jc w:val="center"/>
                    <w:rPr>
                      <w:color w:val="auto"/>
                      <w:sz w:val="18"/>
                      <w:szCs w:val="18"/>
                      <w:highlight w:val="none"/>
                    </w:rPr>
                  </w:pPr>
                  <w:r>
                    <w:rPr>
                      <w:color w:val="auto"/>
                      <w:sz w:val="18"/>
                      <w:szCs w:val="18"/>
                      <w:highlight w:val="none"/>
                    </w:rPr>
                    <w:t>速率kg/h</w:t>
                  </w:r>
                </w:p>
              </w:tc>
              <w:tc>
                <w:tcPr>
                  <w:tcW w:w="413" w:type="pct"/>
                  <w:vAlign w:val="center"/>
                </w:tcPr>
                <w:p>
                  <w:pPr>
                    <w:adjustRightInd w:val="0"/>
                    <w:snapToGrid w:val="0"/>
                    <w:ind w:left="-105" w:leftChars="-50" w:right="-105" w:rightChars="-50"/>
                    <w:jc w:val="center"/>
                    <w:rPr>
                      <w:color w:val="auto"/>
                      <w:sz w:val="18"/>
                      <w:szCs w:val="18"/>
                      <w:highlight w:val="none"/>
                    </w:rPr>
                  </w:pPr>
                  <w:r>
                    <w:rPr>
                      <w:color w:val="auto"/>
                      <w:sz w:val="18"/>
                      <w:szCs w:val="18"/>
                      <w:highlight w:val="none"/>
                    </w:rPr>
                    <w:t>排放量</w:t>
                  </w:r>
                  <w:r>
                    <w:rPr>
                      <w:rFonts w:hint="eastAsia"/>
                      <w:color w:val="auto"/>
                      <w:sz w:val="18"/>
                      <w:szCs w:val="18"/>
                      <w:highlight w:val="none"/>
                    </w:rPr>
                    <w:t>t</w:t>
                  </w:r>
                  <w:r>
                    <w:rPr>
                      <w:color w:val="auto"/>
                      <w:sz w:val="18"/>
                      <w:szCs w:val="18"/>
                      <w:highlight w:val="none"/>
                    </w:rPr>
                    <w:t>/a</w:t>
                  </w:r>
                </w:p>
              </w:tc>
              <w:tc>
                <w:tcPr>
                  <w:tcW w:w="390" w:type="pct"/>
                  <w:vAlign w:val="center"/>
                </w:tcPr>
                <w:p>
                  <w:pPr>
                    <w:adjustRightInd w:val="0"/>
                    <w:snapToGrid w:val="0"/>
                    <w:ind w:left="-105" w:leftChars="-50" w:right="-105" w:rightChars="-50"/>
                    <w:jc w:val="center"/>
                    <w:rPr>
                      <w:color w:val="auto"/>
                      <w:sz w:val="18"/>
                      <w:szCs w:val="18"/>
                      <w:highlight w:val="none"/>
                    </w:rPr>
                  </w:pPr>
                  <w:r>
                    <w:rPr>
                      <w:color w:val="auto"/>
                      <w:sz w:val="18"/>
                      <w:szCs w:val="18"/>
                      <w:highlight w:val="none"/>
                    </w:rPr>
                    <w:t>排放*</w:t>
                  </w:r>
                </w:p>
                <w:p>
                  <w:pPr>
                    <w:adjustRightInd w:val="0"/>
                    <w:snapToGrid w:val="0"/>
                    <w:ind w:left="-105" w:leftChars="-50" w:right="-105" w:rightChars="-50"/>
                    <w:jc w:val="center"/>
                    <w:rPr>
                      <w:color w:val="auto"/>
                      <w:sz w:val="18"/>
                      <w:szCs w:val="18"/>
                      <w:highlight w:val="none"/>
                    </w:rPr>
                  </w:pPr>
                  <w:r>
                    <w:rPr>
                      <w:color w:val="auto"/>
                      <w:sz w:val="18"/>
                      <w:szCs w:val="18"/>
                      <w:highlight w:val="none"/>
                    </w:rPr>
                    <w:t>浓度mg/m</w:t>
                  </w:r>
                  <w:r>
                    <w:rPr>
                      <w:color w:val="auto"/>
                      <w:sz w:val="18"/>
                      <w:szCs w:val="18"/>
                      <w:highlight w:val="none"/>
                      <w:vertAlign w:val="superscript"/>
                    </w:rPr>
                    <w:t>3</w:t>
                  </w:r>
                </w:p>
              </w:tc>
              <w:tc>
                <w:tcPr>
                  <w:tcW w:w="500" w:type="pct"/>
                  <w:vMerge w:val="continue"/>
                  <w:vAlign w:val="center"/>
                </w:tcPr>
                <w:p>
                  <w:pPr>
                    <w:adjustRightInd w:val="0"/>
                    <w:snapToGrid w:val="0"/>
                    <w:ind w:left="-105" w:leftChars="-50" w:right="-105" w:rightChars="-50"/>
                    <w:jc w:val="center"/>
                    <w:rPr>
                      <w:color w:val="auto"/>
                      <w:sz w:val="18"/>
                      <w:szCs w:val="18"/>
                      <w:highlight w:val="none"/>
                    </w:rPr>
                  </w:pPr>
                </w:p>
              </w:tc>
              <w:tc>
                <w:tcPr>
                  <w:tcW w:w="373" w:type="pct"/>
                  <w:vAlign w:val="center"/>
                </w:tcPr>
                <w:p>
                  <w:pPr>
                    <w:adjustRightInd w:val="0"/>
                    <w:snapToGrid w:val="0"/>
                    <w:ind w:left="-105" w:leftChars="-50" w:right="-105" w:rightChars="-50"/>
                    <w:jc w:val="center"/>
                    <w:rPr>
                      <w:color w:val="auto"/>
                      <w:sz w:val="18"/>
                      <w:szCs w:val="18"/>
                      <w:highlight w:val="none"/>
                    </w:rPr>
                  </w:pPr>
                  <w:r>
                    <w:rPr>
                      <w:color w:val="auto"/>
                      <w:sz w:val="18"/>
                      <w:szCs w:val="18"/>
                      <w:highlight w:val="none"/>
                    </w:rPr>
                    <w:t>浓度限值mg/m</w:t>
                  </w:r>
                  <w:r>
                    <w:rPr>
                      <w:color w:val="auto"/>
                      <w:sz w:val="18"/>
                      <w:szCs w:val="18"/>
                      <w:highlight w:val="none"/>
                      <w:vertAlign w:val="superscript"/>
                    </w:rPr>
                    <w:t>3</w:t>
                  </w:r>
                </w:p>
              </w:tc>
              <w:tc>
                <w:tcPr>
                  <w:tcW w:w="298" w:type="pct"/>
                  <w:vAlign w:val="center"/>
                </w:tcPr>
                <w:p>
                  <w:pPr>
                    <w:adjustRightInd w:val="0"/>
                    <w:snapToGrid w:val="0"/>
                    <w:ind w:left="-105" w:leftChars="-50" w:right="-105" w:rightChars="-50"/>
                    <w:jc w:val="center"/>
                    <w:rPr>
                      <w:color w:val="auto"/>
                      <w:sz w:val="18"/>
                      <w:szCs w:val="18"/>
                      <w:highlight w:val="none"/>
                    </w:rPr>
                  </w:pPr>
                  <w:r>
                    <w:rPr>
                      <w:color w:val="auto"/>
                      <w:sz w:val="18"/>
                      <w:szCs w:val="18"/>
                      <w:highlight w:val="none"/>
                    </w:rPr>
                    <w:t>速率限值kg/h</w:t>
                  </w:r>
                </w:p>
              </w:tc>
              <w:tc>
                <w:tcPr>
                  <w:tcW w:w="278" w:type="pct"/>
                  <w:vMerge w:val="continue"/>
                  <w:vAlign w:val="center"/>
                </w:tcPr>
                <w:p>
                  <w:pPr>
                    <w:adjustRightInd w:val="0"/>
                    <w:snapToGrid w:val="0"/>
                    <w:ind w:left="-105" w:leftChars="-50" w:right="-105" w:rightChars="-50"/>
                    <w:jc w:val="center"/>
                    <w:rPr>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346" w:type="pct"/>
                  <w:vAlign w:val="center"/>
                </w:tcPr>
                <w:p>
                  <w:pPr>
                    <w:pStyle w:val="105"/>
                    <w:ind w:left="-105" w:leftChars="-50" w:right="-105" w:rightChars="-50"/>
                    <w:rPr>
                      <w:color w:val="auto"/>
                      <w:sz w:val="18"/>
                      <w:szCs w:val="18"/>
                      <w:highlight w:val="none"/>
                    </w:rPr>
                  </w:pPr>
                  <w:r>
                    <w:rPr>
                      <w:color w:val="auto"/>
                      <w:sz w:val="18"/>
                      <w:szCs w:val="18"/>
                      <w:highlight w:val="none"/>
                    </w:rPr>
                    <w:t>非甲烷总烃</w:t>
                  </w:r>
                </w:p>
              </w:tc>
              <w:tc>
                <w:tcPr>
                  <w:tcW w:w="381" w:type="pct"/>
                  <w:vAlign w:val="center"/>
                </w:tcPr>
                <w:p>
                  <w:pPr>
                    <w:adjustRightInd w:val="0"/>
                    <w:snapToGrid w:val="0"/>
                    <w:ind w:left="-105" w:leftChars="-50" w:right="-105" w:rightChars="-50"/>
                    <w:jc w:val="center"/>
                    <w:rPr>
                      <w:color w:val="auto"/>
                      <w:sz w:val="18"/>
                      <w:szCs w:val="18"/>
                      <w:highlight w:val="none"/>
                    </w:rPr>
                  </w:pPr>
                  <w:r>
                    <w:rPr>
                      <w:color w:val="auto"/>
                      <w:sz w:val="18"/>
                      <w:szCs w:val="18"/>
                      <w:highlight w:val="none"/>
                    </w:rPr>
                    <w:t>0.230</w:t>
                  </w:r>
                </w:p>
              </w:tc>
              <w:tc>
                <w:tcPr>
                  <w:tcW w:w="322" w:type="pct"/>
                  <w:vAlign w:val="center"/>
                </w:tcPr>
                <w:p>
                  <w:pPr>
                    <w:adjustRightInd w:val="0"/>
                    <w:snapToGrid w:val="0"/>
                    <w:ind w:left="-105" w:leftChars="-50" w:right="-105" w:rightChars="-50"/>
                    <w:jc w:val="center"/>
                    <w:rPr>
                      <w:color w:val="auto"/>
                      <w:sz w:val="18"/>
                      <w:szCs w:val="18"/>
                      <w:highlight w:val="none"/>
                    </w:rPr>
                  </w:pPr>
                  <w:r>
                    <w:rPr>
                      <w:rFonts w:hint="eastAsia"/>
                      <w:color w:val="auto"/>
                      <w:sz w:val="18"/>
                      <w:szCs w:val="18"/>
                      <w:highlight w:val="none"/>
                    </w:rPr>
                    <w:t>0.552</w:t>
                  </w:r>
                </w:p>
              </w:tc>
              <w:tc>
                <w:tcPr>
                  <w:tcW w:w="310" w:type="pct"/>
                  <w:vAlign w:val="center"/>
                </w:tcPr>
                <w:p>
                  <w:pPr>
                    <w:adjustRightInd w:val="0"/>
                    <w:snapToGrid w:val="0"/>
                    <w:ind w:left="-105" w:leftChars="-50" w:right="-105" w:rightChars="-50"/>
                    <w:jc w:val="center"/>
                    <w:rPr>
                      <w:color w:val="auto"/>
                      <w:sz w:val="18"/>
                      <w:szCs w:val="18"/>
                      <w:highlight w:val="none"/>
                    </w:rPr>
                  </w:pPr>
                  <w:r>
                    <w:rPr>
                      <w:rFonts w:hint="eastAsia"/>
                      <w:color w:val="auto"/>
                      <w:sz w:val="18"/>
                      <w:szCs w:val="18"/>
                      <w:highlight w:val="none"/>
                    </w:rPr>
                    <w:t>23</w:t>
                  </w:r>
                </w:p>
              </w:tc>
              <w:tc>
                <w:tcPr>
                  <w:tcW w:w="356" w:type="pct"/>
                  <w:vMerge w:val="restart"/>
                  <w:vAlign w:val="center"/>
                </w:tcPr>
                <w:p>
                  <w:pPr>
                    <w:adjustRightInd w:val="0"/>
                    <w:snapToGrid w:val="0"/>
                    <w:ind w:left="-105" w:leftChars="-50" w:right="-105" w:rightChars="-50"/>
                    <w:jc w:val="center"/>
                    <w:rPr>
                      <w:color w:val="auto"/>
                      <w:sz w:val="18"/>
                      <w:szCs w:val="18"/>
                      <w:highlight w:val="none"/>
                    </w:rPr>
                  </w:pPr>
                  <w:r>
                    <w:rPr>
                      <w:rFonts w:hint="eastAsia"/>
                      <w:color w:val="auto"/>
                      <w:sz w:val="18"/>
                      <w:szCs w:val="18"/>
                      <w:highlight w:val="none"/>
                    </w:rPr>
                    <w:t>2400</w:t>
                  </w:r>
                </w:p>
              </w:tc>
              <w:tc>
                <w:tcPr>
                  <w:tcW w:w="356" w:type="pct"/>
                  <w:vMerge w:val="restart"/>
                  <w:vAlign w:val="center"/>
                </w:tcPr>
                <w:p>
                  <w:pPr>
                    <w:adjustRightInd w:val="0"/>
                    <w:snapToGrid w:val="0"/>
                    <w:ind w:left="-105" w:leftChars="-50" w:right="-105" w:rightChars="-50"/>
                    <w:jc w:val="center"/>
                    <w:rPr>
                      <w:color w:val="auto"/>
                      <w:sz w:val="18"/>
                      <w:szCs w:val="18"/>
                      <w:highlight w:val="none"/>
                    </w:rPr>
                  </w:pPr>
                  <w:r>
                    <w:rPr>
                      <w:rFonts w:hint="eastAsia"/>
                      <w:color w:val="auto"/>
                      <w:sz w:val="18"/>
                      <w:szCs w:val="18"/>
                      <w:highlight w:val="none"/>
                    </w:rPr>
                    <w:t>废气收集+</w:t>
                  </w:r>
                  <w:r>
                    <w:rPr>
                      <w:color w:val="auto"/>
                      <w:sz w:val="18"/>
                      <w:szCs w:val="18"/>
                      <w:highlight w:val="none"/>
                    </w:rPr>
                    <w:t>碱液喷淋+除雾+</w:t>
                  </w:r>
                  <w:r>
                    <w:rPr>
                      <w:rFonts w:hint="eastAsia"/>
                      <w:color w:val="auto"/>
                      <w:sz w:val="18"/>
                      <w:szCs w:val="18"/>
                      <w:highlight w:val="none"/>
                    </w:rPr>
                    <w:t>一级</w:t>
                  </w:r>
                  <w:r>
                    <w:rPr>
                      <w:color w:val="auto"/>
                      <w:sz w:val="18"/>
                      <w:szCs w:val="18"/>
                      <w:highlight w:val="none"/>
                    </w:rPr>
                    <w:t>活性炭</w:t>
                  </w:r>
                </w:p>
              </w:tc>
              <w:tc>
                <w:tcPr>
                  <w:tcW w:w="296" w:type="pct"/>
                  <w:vAlign w:val="center"/>
                </w:tcPr>
                <w:p>
                  <w:pPr>
                    <w:adjustRightInd w:val="0"/>
                    <w:snapToGrid w:val="0"/>
                    <w:ind w:left="-105" w:leftChars="-50" w:right="-105" w:rightChars="-50"/>
                    <w:jc w:val="center"/>
                    <w:rPr>
                      <w:color w:val="auto"/>
                      <w:sz w:val="18"/>
                      <w:szCs w:val="18"/>
                      <w:highlight w:val="none"/>
                    </w:rPr>
                  </w:pPr>
                  <w:r>
                    <w:rPr>
                      <w:color w:val="auto"/>
                      <w:sz w:val="18"/>
                      <w:szCs w:val="18"/>
                      <w:highlight w:val="none"/>
                    </w:rPr>
                    <w:t>75</w:t>
                  </w:r>
                </w:p>
              </w:tc>
              <w:tc>
                <w:tcPr>
                  <w:tcW w:w="373" w:type="pct"/>
                  <w:vAlign w:val="center"/>
                </w:tcPr>
                <w:p>
                  <w:pPr>
                    <w:adjustRightInd w:val="0"/>
                    <w:snapToGrid w:val="0"/>
                    <w:ind w:left="-105" w:leftChars="-50" w:right="-105" w:rightChars="-50"/>
                    <w:jc w:val="center"/>
                    <w:rPr>
                      <w:color w:val="auto"/>
                      <w:sz w:val="18"/>
                      <w:szCs w:val="18"/>
                      <w:highlight w:val="none"/>
                    </w:rPr>
                  </w:pPr>
                  <w:r>
                    <w:rPr>
                      <w:color w:val="auto"/>
                      <w:sz w:val="18"/>
                      <w:szCs w:val="18"/>
                      <w:highlight w:val="none"/>
                    </w:rPr>
                    <w:t>0.05</w:t>
                  </w:r>
                  <w:r>
                    <w:rPr>
                      <w:rFonts w:hint="eastAsia"/>
                      <w:color w:val="auto"/>
                      <w:sz w:val="18"/>
                      <w:szCs w:val="18"/>
                      <w:highlight w:val="none"/>
                    </w:rPr>
                    <w:t>8</w:t>
                  </w:r>
                </w:p>
              </w:tc>
              <w:tc>
                <w:tcPr>
                  <w:tcW w:w="413" w:type="pct"/>
                  <w:vAlign w:val="center"/>
                </w:tcPr>
                <w:p>
                  <w:pPr>
                    <w:jc w:val="right"/>
                    <w:rPr>
                      <w:color w:val="auto"/>
                      <w:sz w:val="18"/>
                      <w:szCs w:val="18"/>
                      <w:highlight w:val="none"/>
                    </w:rPr>
                  </w:pPr>
                  <w:r>
                    <w:rPr>
                      <w:rFonts w:hint="eastAsia"/>
                      <w:color w:val="auto"/>
                      <w:sz w:val="18"/>
                      <w:szCs w:val="18"/>
                      <w:highlight w:val="none"/>
                    </w:rPr>
                    <w:t>0.138</w:t>
                  </w:r>
                </w:p>
              </w:tc>
              <w:tc>
                <w:tcPr>
                  <w:tcW w:w="390" w:type="pct"/>
                  <w:vAlign w:val="center"/>
                </w:tcPr>
                <w:p>
                  <w:pPr>
                    <w:adjustRightInd w:val="0"/>
                    <w:snapToGrid w:val="0"/>
                    <w:ind w:left="-105" w:leftChars="-50" w:right="-105" w:rightChars="-50"/>
                    <w:jc w:val="center"/>
                    <w:rPr>
                      <w:color w:val="auto"/>
                      <w:sz w:val="18"/>
                      <w:szCs w:val="18"/>
                      <w:highlight w:val="none"/>
                    </w:rPr>
                  </w:pPr>
                  <w:r>
                    <w:rPr>
                      <w:rFonts w:hint="eastAsia"/>
                      <w:color w:val="auto"/>
                      <w:sz w:val="18"/>
                      <w:szCs w:val="18"/>
                      <w:highlight w:val="none"/>
                    </w:rPr>
                    <w:t>5.8</w:t>
                  </w:r>
                </w:p>
              </w:tc>
              <w:tc>
                <w:tcPr>
                  <w:tcW w:w="500" w:type="pct"/>
                  <w:vMerge w:val="restart"/>
                  <w:vAlign w:val="center"/>
                </w:tcPr>
                <w:p>
                  <w:pPr>
                    <w:adjustRightInd w:val="0"/>
                    <w:snapToGrid w:val="0"/>
                    <w:ind w:left="-105" w:leftChars="-50" w:right="-105" w:rightChars="-50"/>
                    <w:jc w:val="center"/>
                    <w:rPr>
                      <w:color w:val="auto"/>
                      <w:sz w:val="18"/>
                      <w:szCs w:val="18"/>
                      <w:highlight w:val="none"/>
                    </w:rPr>
                  </w:pPr>
                  <w:r>
                    <w:rPr>
                      <w:color w:val="auto"/>
                      <w:sz w:val="18"/>
                      <w:szCs w:val="18"/>
                      <w:highlight w:val="none"/>
                    </w:rPr>
                    <w:t>8000m</w:t>
                  </w:r>
                  <w:r>
                    <w:rPr>
                      <w:color w:val="auto"/>
                      <w:sz w:val="18"/>
                      <w:szCs w:val="18"/>
                      <w:highlight w:val="none"/>
                      <w:vertAlign w:val="superscript"/>
                    </w:rPr>
                    <w:t>3</w:t>
                  </w:r>
                  <w:r>
                    <w:rPr>
                      <w:color w:val="auto"/>
                      <w:sz w:val="18"/>
                      <w:szCs w:val="18"/>
                      <w:highlight w:val="none"/>
                    </w:rPr>
                    <w:t>/h</w:t>
                  </w:r>
                  <w:r>
                    <w:rPr>
                      <w:rFonts w:hint="eastAsia"/>
                      <w:color w:val="auto"/>
                      <w:sz w:val="18"/>
                      <w:szCs w:val="18"/>
                      <w:highlight w:val="none"/>
                    </w:rPr>
                    <w:t>+</w:t>
                  </w:r>
                </w:p>
                <w:p>
                  <w:pPr>
                    <w:adjustRightInd w:val="0"/>
                    <w:snapToGrid w:val="0"/>
                    <w:ind w:left="-105" w:leftChars="-50" w:right="-105" w:rightChars="-50"/>
                    <w:jc w:val="center"/>
                    <w:rPr>
                      <w:color w:val="auto"/>
                      <w:sz w:val="18"/>
                      <w:szCs w:val="18"/>
                      <w:highlight w:val="none"/>
                    </w:rPr>
                  </w:pPr>
                  <w:r>
                    <w:rPr>
                      <w:rFonts w:hint="eastAsia"/>
                      <w:color w:val="auto"/>
                      <w:sz w:val="18"/>
                      <w:szCs w:val="18"/>
                      <w:highlight w:val="none"/>
                    </w:rPr>
                    <w:t>2000</w:t>
                  </w:r>
                  <w:r>
                    <w:rPr>
                      <w:color w:val="auto"/>
                      <w:sz w:val="18"/>
                      <w:szCs w:val="18"/>
                      <w:highlight w:val="none"/>
                    </w:rPr>
                    <w:t>m</w:t>
                  </w:r>
                  <w:r>
                    <w:rPr>
                      <w:color w:val="auto"/>
                      <w:sz w:val="18"/>
                      <w:szCs w:val="18"/>
                      <w:highlight w:val="none"/>
                      <w:vertAlign w:val="superscript"/>
                    </w:rPr>
                    <w:t>3</w:t>
                  </w:r>
                  <w:r>
                    <w:rPr>
                      <w:color w:val="auto"/>
                      <w:sz w:val="18"/>
                      <w:szCs w:val="18"/>
                      <w:highlight w:val="none"/>
                    </w:rPr>
                    <w:t>/h</w:t>
                  </w:r>
                  <w:r>
                    <w:rPr>
                      <w:rFonts w:hint="eastAsia"/>
                      <w:color w:val="auto"/>
                      <w:sz w:val="18"/>
                      <w:szCs w:val="18"/>
                      <w:highlight w:val="none"/>
                    </w:rPr>
                    <w:t>（P2）</w:t>
                  </w:r>
                </w:p>
              </w:tc>
              <w:tc>
                <w:tcPr>
                  <w:tcW w:w="373" w:type="pct"/>
                  <w:vAlign w:val="center"/>
                </w:tcPr>
                <w:p>
                  <w:pPr>
                    <w:adjustRightInd w:val="0"/>
                    <w:snapToGrid w:val="0"/>
                    <w:ind w:left="-105" w:leftChars="-50" w:right="-105" w:rightChars="-50"/>
                    <w:jc w:val="center"/>
                    <w:rPr>
                      <w:color w:val="auto"/>
                      <w:sz w:val="18"/>
                      <w:szCs w:val="18"/>
                      <w:highlight w:val="none"/>
                    </w:rPr>
                  </w:pPr>
                  <w:r>
                    <w:rPr>
                      <w:color w:val="auto"/>
                      <w:sz w:val="18"/>
                      <w:szCs w:val="18"/>
                      <w:highlight w:val="none"/>
                    </w:rPr>
                    <w:t>60</w:t>
                  </w:r>
                </w:p>
              </w:tc>
              <w:tc>
                <w:tcPr>
                  <w:tcW w:w="298" w:type="pct"/>
                  <w:vAlign w:val="center"/>
                </w:tcPr>
                <w:p>
                  <w:pPr>
                    <w:adjustRightInd w:val="0"/>
                    <w:snapToGrid w:val="0"/>
                    <w:ind w:left="-105" w:leftChars="-50" w:right="-105" w:rightChars="-50"/>
                    <w:jc w:val="center"/>
                    <w:rPr>
                      <w:color w:val="auto"/>
                      <w:sz w:val="18"/>
                      <w:szCs w:val="18"/>
                      <w:highlight w:val="none"/>
                    </w:rPr>
                  </w:pPr>
                  <w:r>
                    <w:rPr>
                      <w:color w:val="auto"/>
                      <w:sz w:val="18"/>
                      <w:szCs w:val="18"/>
                      <w:highlight w:val="none"/>
                    </w:rPr>
                    <w:t>3</w:t>
                  </w:r>
                </w:p>
              </w:tc>
              <w:tc>
                <w:tcPr>
                  <w:tcW w:w="278" w:type="pct"/>
                  <w:vMerge w:val="restart"/>
                  <w:vAlign w:val="center"/>
                </w:tcPr>
                <w:p>
                  <w:pPr>
                    <w:adjustRightInd w:val="0"/>
                    <w:snapToGrid w:val="0"/>
                    <w:ind w:left="-105" w:leftChars="-50" w:right="-105" w:rightChars="-50"/>
                    <w:jc w:val="center"/>
                    <w:rPr>
                      <w:color w:val="auto"/>
                      <w:sz w:val="18"/>
                      <w:szCs w:val="18"/>
                      <w:highlight w:val="none"/>
                    </w:rPr>
                  </w:pPr>
                  <w:r>
                    <w:rPr>
                      <w:color w:val="auto"/>
                      <w:sz w:val="18"/>
                      <w:szCs w:val="18"/>
                      <w:highlight w:val="none"/>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46" w:type="pct"/>
                  <w:vAlign w:val="center"/>
                </w:tcPr>
                <w:p>
                  <w:pPr>
                    <w:pStyle w:val="105"/>
                    <w:ind w:left="-105" w:leftChars="-50" w:right="-105" w:rightChars="-50"/>
                    <w:rPr>
                      <w:color w:val="auto"/>
                      <w:sz w:val="18"/>
                      <w:szCs w:val="18"/>
                      <w:highlight w:val="none"/>
                    </w:rPr>
                  </w:pPr>
                  <w:r>
                    <w:rPr>
                      <w:color w:val="auto"/>
                      <w:sz w:val="18"/>
                      <w:szCs w:val="18"/>
                      <w:highlight w:val="none"/>
                    </w:rPr>
                    <w:t>HCl</w:t>
                  </w:r>
                </w:p>
              </w:tc>
              <w:tc>
                <w:tcPr>
                  <w:tcW w:w="381" w:type="pct"/>
                  <w:vAlign w:val="center"/>
                </w:tcPr>
                <w:p>
                  <w:pPr>
                    <w:adjustRightInd w:val="0"/>
                    <w:snapToGrid w:val="0"/>
                    <w:ind w:left="-105" w:leftChars="-50" w:right="-105" w:rightChars="-50"/>
                    <w:jc w:val="center"/>
                    <w:rPr>
                      <w:color w:val="auto"/>
                      <w:sz w:val="18"/>
                      <w:szCs w:val="18"/>
                      <w:highlight w:val="none"/>
                    </w:rPr>
                  </w:pPr>
                  <w:r>
                    <w:rPr>
                      <w:color w:val="auto"/>
                      <w:sz w:val="18"/>
                      <w:szCs w:val="18"/>
                      <w:highlight w:val="none"/>
                    </w:rPr>
                    <w:t>0.006</w:t>
                  </w:r>
                </w:p>
              </w:tc>
              <w:tc>
                <w:tcPr>
                  <w:tcW w:w="322" w:type="pct"/>
                  <w:vAlign w:val="center"/>
                </w:tcPr>
                <w:p>
                  <w:pPr>
                    <w:adjustRightInd w:val="0"/>
                    <w:snapToGrid w:val="0"/>
                    <w:ind w:left="-105" w:leftChars="-50" w:right="-105" w:rightChars="-50"/>
                    <w:jc w:val="center"/>
                    <w:rPr>
                      <w:color w:val="auto"/>
                      <w:sz w:val="18"/>
                      <w:szCs w:val="18"/>
                      <w:highlight w:val="none"/>
                    </w:rPr>
                  </w:pPr>
                  <w:r>
                    <w:rPr>
                      <w:rFonts w:hint="eastAsia"/>
                      <w:color w:val="auto"/>
                      <w:sz w:val="18"/>
                      <w:szCs w:val="18"/>
                      <w:highlight w:val="none"/>
                    </w:rPr>
                    <w:t>0.0</w:t>
                  </w:r>
                  <w:r>
                    <w:rPr>
                      <w:color w:val="auto"/>
                      <w:sz w:val="18"/>
                      <w:szCs w:val="18"/>
                      <w:highlight w:val="none"/>
                    </w:rPr>
                    <w:t>15</w:t>
                  </w:r>
                </w:p>
              </w:tc>
              <w:tc>
                <w:tcPr>
                  <w:tcW w:w="310" w:type="pct"/>
                  <w:vAlign w:val="center"/>
                </w:tcPr>
                <w:p>
                  <w:pPr>
                    <w:adjustRightInd w:val="0"/>
                    <w:snapToGrid w:val="0"/>
                    <w:ind w:left="-105" w:leftChars="-50" w:right="-105" w:rightChars="-50"/>
                    <w:jc w:val="center"/>
                    <w:rPr>
                      <w:color w:val="auto"/>
                      <w:sz w:val="18"/>
                      <w:szCs w:val="18"/>
                      <w:highlight w:val="none"/>
                    </w:rPr>
                  </w:pPr>
                  <w:r>
                    <w:rPr>
                      <w:rFonts w:hint="eastAsia"/>
                      <w:color w:val="auto"/>
                      <w:sz w:val="18"/>
                      <w:szCs w:val="18"/>
                      <w:highlight w:val="none"/>
                    </w:rPr>
                    <w:t>0.6</w:t>
                  </w:r>
                </w:p>
              </w:tc>
              <w:tc>
                <w:tcPr>
                  <w:tcW w:w="356" w:type="pct"/>
                  <w:vMerge w:val="continue"/>
                  <w:vAlign w:val="center"/>
                </w:tcPr>
                <w:p>
                  <w:pPr>
                    <w:adjustRightInd w:val="0"/>
                    <w:snapToGrid w:val="0"/>
                    <w:ind w:left="-105" w:leftChars="-50" w:right="-105" w:rightChars="-50"/>
                    <w:jc w:val="center"/>
                    <w:rPr>
                      <w:color w:val="auto"/>
                      <w:sz w:val="18"/>
                      <w:szCs w:val="18"/>
                      <w:highlight w:val="none"/>
                    </w:rPr>
                  </w:pPr>
                </w:p>
              </w:tc>
              <w:tc>
                <w:tcPr>
                  <w:tcW w:w="356" w:type="pct"/>
                  <w:vMerge w:val="continue"/>
                  <w:vAlign w:val="center"/>
                </w:tcPr>
                <w:p>
                  <w:pPr>
                    <w:adjustRightInd w:val="0"/>
                    <w:snapToGrid w:val="0"/>
                    <w:ind w:left="-105" w:leftChars="-50" w:right="-105" w:rightChars="-50"/>
                    <w:jc w:val="center"/>
                    <w:rPr>
                      <w:color w:val="auto"/>
                      <w:sz w:val="18"/>
                      <w:szCs w:val="18"/>
                      <w:highlight w:val="none"/>
                    </w:rPr>
                  </w:pPr>
                </w:p>
              </w:tc>
              <w:tc>
                <w:tcPr>
                  <w:tcW w:w="296" w:type="pct"/>
                  <w:vAlign w:val="center"/>
                </w:tcPr>
                <w:p>
                  <w:pPr>
                    <w:adjustRightInd w:val="0"/>
                    <w:snapToGrid w:val="0"/>
                    <w:ind w:left="-105" w:leftChars="-50" w:right="-105" w:rightChars="-50"/>
                    <w:jc w:val="center"/>
                    <w:rPr>
                      <w:color w:val="auto"/>
                      <w:sz w:val="18"/>
                      <w:szCs w:val="18"/>
                      <w:highlight w:val="none"/>
                    </w:rPr>
                  </w:pPr>
                  <w:r>
                    <w:rPr>
                      <w:rFonts w:hint="eastAsia"/>
                      <w:color w:val="auto"/>
                      <w:sz w:val="18"/>
                      <w:szCs w:val="18"/>
                      <w:highlight w:val="none"/>
                    </w:rPr>
                    <w:t>75</w:t>
                  </w:r>
                </w:p>
              </w:tc>
              <w:tc>
                <w:tcPr>
                  <w:tcW w:w="373" w:type="pct"/>
                  <w:vAlign w:val="center"/>
                </w:tcPr>
                <w:p>
                  <w:pPr>
                    <w:adjustRightInd w:val="0"/>
                    <w:snapToGrid w:val="0"/>
                    <w:ind w:left="-105" w:leftChars="-50" w:right="-105" w:rightChars="-50"/>
                    <w:jc w:val="center"/>
                    <w:rPr>
                      <w:color w:val="auto"/>
                      <w:sz w:val="18"/>
                      <w:szCs w:val="18"/>
                      <w:highlight w:val="none"/>
                    </w:rPr>
                  </w:pPr>
                  <w:r>
                    <w:rPr>
                      <w:color w:val="auto"/>
                      <w:sz w:val="18"/>
                      <w:szCs w:val="18"/>
                      <w:highlight w:val="none"/>
                    </w:rPr>
                    <w:t>0.00</w:t>
                  </w:r>
                  <w:r>
                    <w:rPr>
                      <w:rFonts w:hint="eastAsia"/>
                      <w:color w:val="auto"/>
                      <w:sz w:val="18"/>
                      <w:szCs w:val="18"/>
                      <w:highlight w:val="none"/>
                    </w:rPr>
                    <w:t>2</w:t>
                  </w:r>
                </w:p>
              </w:tc>
              <w:tc>
                <w:tcPr>
                  <w:tcW w:w="413" w:type="pct"/>
                  <w:vAlign w:val="center"/>
                </w:tcPr>
                <w:p>
                  <w:pPr>
                    <w:jc w:val="right"/>
                    <w:rPr>
                      <w:color w:val="auto"/>
                      <w:sz w:val="18"/>
                      <w:szCs w:val="18"/>
                      <w:highlight w:val="none"/>
                    </w:rPr>
                  </w:pPr>
                  <w:r>
                    <w:rPr>
                      <w:rFonts w:hint="eastAsia"/>
                      <w:color w:val="auto"/>
                      <w:sz w:val="18"/>
                      <w:szCs w:val="18"/>
                      <w:highlight w:val="none"/>
                    </w:rPr>
                    <w:t>0.004</w:t>
                  </w:r>
                </w:p>
              </w:tc>
              <w:tc>
                <w:tcPr>
                  <w:tcW w:w="390" w:type="pct"/>
                  <w:vAlign w:val="center"/>
                </w:tcPr>
                <w:p>
                  <w:pPr>
                    <w:adjustRightInd w:val="0"/>
                    <w:snapToGrid w:val="0"/>
                    <w:ind w:left="-105" w:leftChars="-50" w:right="-105" w:rightChars="-50"/>
                    <w:jc w:val="center"/>
                    <w:rPr>
                      <w:color w:val="auto"/>
                      <w:sz w:val="18"/>
                      <w:szCs w:val="18"/>
                      <w:highlight w:val="none"/>
                    </w:rPr>
                  </w:pPr>
                  <w:r>
                    <w:rPr>
                      <w:rFonts w:hint="eastAsia"/>
                      <w:color w:val="auto"/>
                      <w:sz w:val="18"/>
                      <w:szCs w:val="18"/>
                      <w:highlight w:val="none"/>
                    </w:rPr>
                    <w:t>0.2</w:t>
                  </w:r>
                </w:p>
              </w:tc>
              <w:tc>
                <w:tcPr>
                  <w:tcW w:w="500" w:type="pct"/>
                  <w:vMerge w:val="continue"/>
                  <w:vAlign w:val="center"/>
                </w:tcPr>
                <w:p>
                  <w:pPr>
                    <w:adjustRightInd w:val="0"/>
                    <w:snapToGrid w:val="0"/>
                    <w:ind w:left="-105" w:leftChars="-50" w:right="-105" w:rightChars="-50"/>
                    <w:jc w:val="center"/>
                    <w:rPr>
                      <w:color w:val="auto"/>
                      <w:sz w:val="18"/>
                      <w:szCs w:val="18"/>
                      <w:highlight w:val="none"/>
                    </w:rPr>
                  </w:pPr>
                </w:p>
              </w:tc>
              <w:tc>
                <w:tcPr>
                  <w:tcW w:w="373" w:type="pct"/>
                  <w:vAlign w:val="center"/>
                </w:tcPr>
                <w:p>
                  <w:pPr>
                    <w:adjustRightInd w:val="0"/>
                    <w:snapToGrid w:val="0"/>
                    <w:ind w:left="-105" w:leftChars="-50" w:right="-105" w:rightChars="-50"/>
                    <w:jc w:val="center"/>
                    <w:rPr>
                      <w:color w:val="auto"/>
                      <w:sz w:val="18"/>
                      <w:szCs w:val="18"/>
                      <w:highlight w:val="none"/>
                    </w:rPr>
                  </w:pPr>
                  <w:r>
                    <w:rPr>
                      <w:color w:val="auto"/>
                      <w:sz w:val="18"/>
                      <w:szCs w:val="18"/>
                      <w:highlight w:val="none"/>
                    </w:rPr>
                    <w:t>10</w:t>
                  </w:r>
                </w:p>
              </w:tc>
              <w:tc>
                <w:tcPr>
                  <w:tcW w:w="298" w:type="pct"/>
                  <w:vAlign w:val="center"/>
                </w:tcPr>
                <w:p>
                  <w:pPr>
                    <w:adjustRightInd w:val="0"/>
                    <w:snapToGrid w:val="0"/>
                    <w:ind w:left="-105" w:leftChars="-50" w:right="-105" w:rightChars="-50"/>
                    <w:jc w:val="center"/>
                    <w:rPr>
                      <w:color w:val="auto"/>
                      <w:sz w:val="18"/>
                      <w:szCs w:val="18"/>
                      <w:highlight w:val="none"/>
                    </w:rPr>
                  </w:pPr>
                  <w:r>
                    <w:rPr>
                      <w:color w:val="auto"/>
                      <w:sz w:val="18"/>
                      <w:szCs w:val="18"/>
                      <w:highlight w:val="none"/>
                    </w:rPr>
                    <w:t>0.18</w:t>
                  </w:r>
                </w:p>
              </w:tc>
              <w:tc>
                <w:tcPr>
                  <w:tcW w:w="278" w:type="pct"/>
                  <w:vMerge w:val="continue"/>
                  <w:vAlign w:val="center"/>
                </w:tcPr>
                <w:p>
                  <w:pPr>
                    <w:adjustRightInd w:val="0"/>
                    <w:snapToGrid w:val="0"/>
                    <w:ind w:left="-105" w:leftChars="-50" w:right="-105" w:rightChars="-50"/>
                    <w:jc w:val="center"/>
                    <w:rPr>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46" w:type="pct"/>
                  <w:vAlign w:val="center"/>
                </w:tcPr>
                <w:p>
                  <w:pPr>
                    <w:pStyle w:val="105"/>
                    <w:ind w:left="-105" w:leftChars="-50" w:right="-105" w:rightChars="-50"/>
                    <w:rPr>
                      <w:color w:val="auto"/>
                      <w:sz w:val="18"/>
                      <w:szCs w:val="18"/>
                      <w:highlight w:val="none"/>
                    </w:rPr>
                  </w:pPr>
                  <w:r>
                    <w:rPr>
                      <w:color w:val="auto"/>
                      <w:sz w:val="18"/>
                      <w:szCs w:val="18"/>
                      <w:highlight w:val="none"/>
                    </w:rPr>
                    <w:t>非甲烷总烃</w:t>
                  </w:r>
                </w:p>
              </w:tc>
              <w:tc>
                <w:tcPr>
                  <w:tcW w:w="381" w:type="pct"/>
                  <w:vAlign w:val="center"/>
                </w:tcPr>
                <w:p>
                  <w:pPr>
                    <w:adjustRightInd w:val="0"/>
                    <w:snapToGrid w:val="0"/>
                    <w:ind w:left="-105" w:leftChars="-50" w:right="-105" w:rightChars="-50"/>
                    <w:jc w:val="center"/>
                    <w:rPr>
                      <w:color w:val="auto"/>
                      <w:sz w:val="18"/>
                      <w:szCs w:val="18"/>
                      <w:highlight w:val="none"/>
                    </w:rPr>
                  </w:pPr>
                  <w:r>
                    <w:rPr>
                      <w:rFonts w:hint="eastAsia"/>
                      <w:color w:val="auto"/>
                      <w:sz w:val="18"/>
                      <w:szCs w:val="18"/>
                      <w:highlight w:val="none"/>
                    </w:rPr>
                    <w:t>0.003</w:t>
                  </w:r>
                </w:p>
              </w:tc>
              <w:tc>
                <w:tcPr>
                  <w:tcW w:w="322" w:type="pct"/>
                  <w:vAlign w:val="center"/>
                </w:tcPr>
                <w:p>
                  <w:pPr>
                    <w:adjustRightInd w:val="0"/>
                    <w:snapToGrid w:val="0"/>
                    <w:ind w:left="-105" w:leftChars="-50" w:right="-105" w:rightChars="-50"/>
                    <w:jc w:val="center"/>
                    <w:rPr>
                      <w:color w:val="auto"/>
                      <w:sz w:val="18"/>
                      <w:szCs w:val="18"/>
                      <w:highlight w:val="none"/>
                    </w:rPr>
                  </w:pPr>
                  <w:r>
                    <w:rPr>
                      <w:rFonts w:hint="eastAsia"/>
                      <w:color w:val="auto"/>
                      <w:sz w:val="18"/>
                      <w:szCs w:val="18"/>
                      <w:highlight w:val="none"/>
                    </w:rPr>
                    <w:t>0.005</w:t>
                  </w:r>
                </w:p>
              </w:tc>
              <w:tc>
                <w:tcPr>
                  <w:tcW w:w="310" w:type="pct"/>
                  <w:vAlign w:val="center"/>
                </w:tcPr>
                <w:p>
                  <w:pPr>
                    <w:adjustRightInd w:val="0"/>
                    <w:snapToGrid w:val="0"/>
                    <w:ind w:left="-105" w:leftChars="-50" w:right="-105" w:rightChars="-50"/>
                    <w:jc w:val="center"/>
                    <w:rPr>
                      <w:color w:val="auto"/>
                      <w:sz w:val="18"/>
                      <w:szCs w:val="18"/>
                      <w:highlight w:val="none"/>
                    </w:rPr>
                  </w:pPr>
                  <w:r>
                    <w:rPr>
                      <w:rFonts w:hint="eastAsia"/>
                      <w:color w:val="auto"/>
                      <w:sz w:val="18"/>
                      <w:szCs w:val="18"/>
                      <w:highlight w:val="none"/>
                    </w:rPr>
                    <w:t>0.3</w:t>
                  </w:r>
                </w:p>
              </w:tc>
              <w:tc>
                <w:tcPr>
                  <w:tcW w:w="356" w:type="pct"/>
                  <w:vMerge w:val="restart"/>
                  <w:vAlign w:val="center"/>
                </w:tcPr>
                <w:p>
                  <w:pPr>
                    <w:adjustRightInd w:val="0"/>
                    <w:snapToGrid w:val="0"/>
                    <w:ind w:left="-105" w:leftChars="-50" w:right="-105" w:rightChars="-50"/>
                    <w:jc w:val="center"/>
                    <w:rPr>
                      <w:color w:val="auto"/>
                      <w:sz w:val="18"/>
                      <w:szCs w:val="18"/>
                      <w:highlight w:val="none"/>
                    </w:rPr>
                  </w:pPr>
                  <w:r>
                    <w:rPr>
                      <w:rFonts w:hint="eastAsia"/>
                      <w:color w:val="auto"/>
                      <w:sz w:val="18"/>
                      <w:szCs w:val="18"/>
                      <w:highlight w:val="none"/>
                    </w:rPr>
                    <w:t>2000</w:t>
                  </w:r>
                </w:p>
              </w:tc>
              <w:tc>
                <w:tcPr>
                  <w:tcW w:w="356" w:type="pct"/>
                  <w:vMerge w:val="restart"/>
                  <w:vAlign w:val="center"/>
                </w:tcPr>
                <w:p>
                  <w:pPr>
                    <w:adjustRightInd w:val="0"/>
                    <w:snapToGrid w:val="0"/>
                    <w:ind w:left="-105" w:leftChars="-50" w:right="-105" w:rightChars="-50"/>
                    <w:jc w:val="center"/>
                    <w:rPr>
                      <w:color w:val="auto"/>
                      <w:sz w:val="18"/>
                      <w:szCs w:val="18"/>
                      <w:highlight w:val="none"/>
                    </w:rPr>
                  </w:pPr>
                  <w:r>
                    <w:rPr>
                      <w:color w:val="auto"/>
                      <w:sz w:val="18"/>
                      <w:szCs w:val="18"/>
                      <w:highlight w:val="none"/>
                    </w:rPr>
                    <w:t>--</w:t>
                  </w:r>
                </w:p>
              </w:tc>
              <w:tc>
                <w:tcPr>
                  <w:tcW w:w="296" w:type="pct"/>
                  <w:vAlign w:val="center"/>
                </w:tcPr>
                <w:p>
                  <w:pPr>
                    <w:adjustRightInd w:val="0"/>
                    <w:snapToGrid w:val="0"/>
                    <w:ind w:left="-105" w:leftChars="-50" w:right="-105" w:rightChars="-50"/>
                    <w:jc w:val="center"/>
                    <w:rPr>
                      <w:color w:val="auto"/>
                      <w:sz w:val="18"/>
                      <w:szCs w:val="18"/>
                      <w:highlight w:val="none"/>
                    </w:rPr>
                  </w:pPr>
                  <w:r>
                    <w:rPr>
                      <w:rFonts w:hint="eastAsia"/>
                      <w:color w:val="auto"/>
                      <w:sz w:val="18"/>
                      <w:szCs w:val="18"/>
                      <w:highlight w:val="none"/>
                    </w:rPr>
                    <w:t>--</w:t>
                  </w:r>
                </w:p>
              </w:tc>
              <w:tc>
                <w:tcPr>
                  <w:tcW w:w="373" w:type="pct"/>
                  <w:vAlign w:val="center"/>
                </w:tcPr>
                <w:p>
                  <w:pPr>
                    <w:adjustRightInd w:val="0"/>
                    <w:snapToGrid w:val="0"/>
                    <w:ind w:left="-105" w:leftChars="-50" w:right="-105" w:rightChars="-50"/>
                    <w:jc w:val="center"/>
                    <w:rPr>
                      <w:color w:val="auto"/>
                      <w:sz w:val="18"/>
                      <w:szCs w:val="18"/>
                      <w:highlight w:val="none"/>
                    </w:rPr>
                  </w:pPr>
                  <w:r>
                    <w:rPr>
                      <w:rFonts w:hint="eastAsia"/>
                      <w:color w:val="auto"/>
                      <w:sz w:val="18"/>
                      <w:szCs w:val="18"/>
                      <w:highlight w:val="none"/>
                    </w:rPr>
                    <w:t>0.003</w:t>
                  </w:r>
                </w:p>
              </w:tc>
              <w:tc>
                <w:tcPr>
                  <w:tcW w:w="413" w:type="pct"/>
                  <w:vAlign w:val="center"/>
                </w:tcPr>
                <w:p>
                  <w:pPr>
                    <w:adjustRightInd w:val="0"/>
                    <w:snapToGrid w:val="0"/>
                    <w:ind w:left="-105" w:leftChars="-50" w:right="-105" w:rightChars="-50"/>
                    <w:jc w:val="center"/>
                    <w:rPr>
                      <w:color w:val="auto"/>
                      <w:sz w:val="18"/>
                      <w:szCs w:val="18"/>
                      <w:highlight w:val="none"/>
                    </w:rPr>
                  </w:pPr>
                  <w:r>
                    <w:rPr>
                      <w:rFonts w:hint="eastAsia"/>
                      <w:color w:val="auto"/>
                      <w:sz w:val="18"/>
                      <w:szCs w:val="18"/>
                      <w:highlight w:val="none"/>
                    </w:rPr>
                    <w:t>0.005</w:t>
                  </w:r>
                </w:p>
              </w:tc>
              <w:tc>
                <w:tcPr>
                  <w:tcW w:w="390" w:type="pct"/>
                  <w:vAlign w:val="center"/>
                </w:tcPr>
                <w:p>
                  <w:pPr>
                    <w:adjustRightInd w:val="0"/>
                    <w:snapToGrid w:val="0"/>
                    <w:ind w:left="-105" w:leftChars="-50" w:right="-105" w:rightChars="-50"/>
                    <w:jc w:val="center"/>
                    <w:rPr>
                      <w:color w:val="auto"/>
                      <w:sz w:val="18"/>
                      <w:szCs w:val="18"/>
                      <w:highlight w:val="none"/>
                    </w:rPr>
                  </w:pPr>
                  <w:r>
                    <w:rPr>
                      <w:rFonts w:hint="eastAsia"/>
                      <w:color w:val="auto"/>
                      <w:sz w:val="18"/>
                      <w:szCs w:val="18"/>
                      <w:highlight w:val="none"/>
                    </w:rPr>
                    <w:t>0.3</w:t>
                  </w:r>
                </w:p>
              </w:tc>
              <w:tc>
                <w:tcPr>
                  <w:tcW w:w="500" w:type="pct"/>
                  <w:vMerge w:val="continue"/>
                  <w:vAlign w:val="center"/>
                </w:tcPr>
                <w:p>
                  <w:pPr>
                    <w:adjustRightInd w:val="0"/>
                    <w:snapToGrid w:val="0"/>
                    <w:ind w:left="-105" w:leftChars="-50" w:right="-105" w:rightChars="-50"/>
                    <w:jc w:val="center"/>
                    <w:rPr>
                      <w:color w:val="auto"/>
                      <w:sz w:val="18"/>
                      <w:szCs w:val="18"/>
                      <w:highlight w:val="none"/>
                    </w:rPr>
                  </w:pPr>
                </w:p>
              </w:tc>
              <w:tc>
                <w:tcPr>
                  <w:tcW w:w="373" w:type="pct"/>
                  <w:vAlign w:val="center"/>
                </w:tcPr>
                <w:p>
                  <w:pPr>
                    <w:adjustRightInd w:val="0"/>
                    <w:snapToGrid w:val="0"/>
                    <w:ind w:left="-105" w:leftChars="-50" w:right="-105" w:rightChars="-50"/>
                    <w:jc w:val="center"/>
                    <w:rPr>
                      <w:color w:val="auto"/>
                      <w:sz w:val="18"/>
                      <w:szCs w:val="18"/>
                      <w:highlight w:val="none"/>
                    </w:rPr>
                  </w:pPr>
                  <w:r>
                    <w:rPr>
                      <w:rFonts w:hint="eastAsia"/>
                      <w:color w:val="auto"/>
                      <w:sz w:val="18"/>
                      <w:szCs w:val="18"/>
                      <w:highlight w:val="none"/>
                    </w:rPr>
                    <w:t>60</w:t>
                  </w:r>
                </w:p>
              </w:tc>
              <w:tc>
                <w:tcPr>
                  <w:tcW w:w="298" w:type="pct"/>
                  <w:vAlign w:val="center"/>
                </w:tcPr>
                <w:p>
                  <w:pPr>
                    <w:adjustRightInd w:val="0"/>
                    <w:snapToGrid w:val="0"/>
                    <w:ind w:left="-105" w:leftChars="-50" w:right="-105" w:rightChars="-50"/>
                    <w:jc w:val="center"/>
                    <w:rPr>
                      <w:color w:val="auto"/>
                      <w:sz w:val="18"/>
                      <w:szCs w:val="18"/>
                      <w:highlight w:val="none"/>
                    </w:rPr>
                  </w:pPr>
                  <w:r>
                    <w:rPr>
                      <w:rFonts w:hint="eastAsia"/>
                      <w:color w:val="auto"/>
                      <w:sz w:val="18"/>
                      <w:szCs w:val="18"/>
                      <w:highlight w:val="none"/>
                    </w:rPr>
                    <w:t>3</w:t>
                  </w:r>
                </w:p>
              </w:tc>
              <w:tc>
                <w:tcPr>
                  <w:tcW w:w="278" w:type="pct"/>
                  <w:vMerge w:val="continue"/>
                  <w:vAlign w:val="center"/>
                </w:tcPr>
                <w:p>
                  <w:pPr>
                    <w:adjustRightInd w:val="0"/>
                    <w:snapToGrid w:val="0"/>
                    <w:ind w:left="-105" w:leftChars="-50" w:right="-105" w:rightChars="-50"/>
                    <w:jc w:val="center"/>
                    <w:rPr>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 w:hRule="atLeast"/>
              </w:trPr>
              <w:tc>
                <w:tcPr>
                  <w:tcW w:w="346" w:type="pct"/>
                  <w:vAlign w:val="center"/>
                </w:tcPr>
                <w:p>
                  <w:pPr>
                    <w:pStyle w:val="105"/>
                    <w:ind w:left="-105" w:leftChars="-50" w:right="-105" w:rightChars="-50"/>
                    <w:rPr>
                      <w:color w:val="auto"/>
                      <w:sz w:val="18"/>
                      <w:szCs w:val="18"/>
                      <w:highlight w:val="none"/>
                    </w:rPr>
                  </w:pPr>
                  <w:r>
                    <w:rPr>
                      <w:color w:val="auto"/>
                      <w:sz w:val="18"/>
                      <w:szCs w:val="18"/>
                      <w:highlight w:val="none"/>
                    </w:rPr>
                    <w:t>NOx</w:t>
                  </w:r>
                </w:p>
              </w:tc>
              <w:tc>
                <w:tcPr>
                  <w:tcW w:w="381" w:type="pct"/>
                  <w:vAlign w:val="center"/>
                </w:tcPr>
                <w:p>
                  <w:pPr>
                    <w:adjustRightInd w:val="0"/>
                    <w:snapToGrid w:val="0"/>
                    <w:ind w:left="-105" w:leftChars="-50" w:right="-105" w:rightChars="-50"/>
                    <w:jc w:val="center"/>
                    <w:rPr>
                      <w:color w:val="auto"/>
                      <w:sz w:val="18"/>
                      <w:szCs w:val="18"/>
                      <w:highlight w:val="none"/>
                    </w:rPr>
                  </w:pPr>
                  <w:r>
                    <w:rPr>
                      <w:color w:val="auto"/>
                      <w:sz w:val="18"/>
                      <w:szCs w:val="18"/>
                      <w:highlight w:val="none"/>
                    </w:rPr>
                    <w:t>0.00</w:t>
                  </w:r>
                  <w:r>
                    <w:rPr>
                      <w:rFonts w:hint="eastAsia"/>
                      <w:color w:val="auto"/>
                      <w:sz w:val="18"/>
                      <w:szCs w:val="18"/>
                      <w:highlight w:val="none"/>
                    </w:rPr>
                    <w:t>1</w:t>
                  </w:r>
                </w:p>
              </w:tc>
              <w:tc>
                <w:tcPr>
                  <w:tcW w:w="322" w:type="pct"/>
                  <w:vAlign w:val="center"/>
                </w:tcPr>
                <w:p>
                  <w:pPr>
                    <w:adjustRightInd w:val="0"/>
                    <w:snapToGrid w:val="0"/>
                    <w:ind w:left="-105" w:leftChars="-50" w:right="-105" w:rightChars="-50"/>
                    <w:jc w:val="center"/>
                    <w:rPr>
                      <w:color w:val="auto"/>
                      <w:sz w:val="18"/>
                      <w:szCs w:val="18"/>
                      <w:highlight w:val="none"/>
                    </w:rPr>
                  </w:pPr>
                  <w:r>
                    <w:rPr>
                      <w:rFonts w:hint="eastAsia"/>
                      <w:color w:val="auto"/>
                      <w:sz w:val="18"/>
                      <w:szCs w:val="18"/>
                      <w:highlight w:val="none"/>
                    </w:rPr>
                    <w:t>0.002</w:t>
                  </w:r>
                </w:p>
              </w:tc>
              <w:tc>
                <w:tcPr>
                  <w:tcW w:w="310" w:type="pct"/>
                  <w:vAlign w:val="center"/>
                </w:tcPr>
                <w:p>
                  <w:pPr>
                    <w:adjustRightInd w:val="0"/>
                    <w:snapToGrid w:val="0"/>
                    <w:ind w:left="-105" w:leftChars="-50" w:right="-105" w:rightChars="-50"/>
                    <w:jc w:val="center"/>
                    <w:rPr>
                      <w:color w:val="auto"/>
                      <w:sz w:val="18"/>
                      <w:szCs w:val="18"/>
                      <w:highlight w:val="none"/>
                    </w:rPr>
                  </w:pPr>
                  <w:r>
                    <w:rPr>
                      <w:rFonts w:hint="eastAsia"/>
                      <w:color w:val="auto"/>
                      <w:sz w:val="18"/>
                      <w:szCs w:val="18"/>
                      <w:highlight w:val="none"/>
                    </w:rPr>
                    <w:t>0.1</w:t>
                  </w:r>
                </w:p>
              </w:tc>
              <w:tc>
                <w:tcPr>
                  <w:tcW w:w="356" w:type="pct"/>
                  <w:vMerge w:val="continue"/>
                  <w:vAlign w:val="center"/>
                </w:tcPr>
                <w:p>
                  <w:pPr>
                    <w:adjustRightInd w:val="0"/>
                    <w:snapToGrid w:val="0"/>
                    <w:ind w:left="-105" w:leftChars="-50" w:right="-105" w:rightChars="-50"/>
                    <w:jc w:val="center"/>
                    <w:rPr>
                      <w:color w:val="auto"/>
                      <w:sz w:val="18"/>
                      <w:szCs w:val="18"/>
                      <w:highlight w:val="none"/>
                    </w:rPr>
                  </w:pPr>
                </w:p>
              </w:tc>
              <w:tc>
                <w:tcPr>
                  <w:tcW w:w="356" w:type="pct"/>
                  <w:vMerge w:val="continue"/>
                  <w:vAlign w:val="center"/>
                </w:tcPr>
                <w:p>
                  <w:pPr>
                    <w:adjustRightInd w:val="0"/>
                    <w:snapToGrid w:val="0"/>
                    <w:ind w:left="-105" w:leftChars="-50" w:right="-105" w:rightChars="-50"/>
                    <w:jc w:val="center"/>
                    <w:rPr>
                      <w:color w:val="auto"/>
                      <w:sz w:val="18"/>
                      <w:szCs w:val="18"/>
                      <w:highlight w:val="none"/>
                    </w:rPr>
                  </w:pPr>
                </w:p>
              </w:tc>
              <w:tc>
                <w:tcPr>
                  <w:tcW w:w="296" w:type="pct"/>
                  <w:vAlign w:val="center"/>
                </w:tcPr>
                <w:p>
                  <w:pPr>
                    <w:adjustRightInd w:val="0"/>
                    <w:snapToGrid w:val="0"/>
                    <w:ind w:left="-105" w:leftChars="-50" w:right="-105" w:rightChars="-50"/>
                    <w:jc w:val="center"/>
                    <w:rPr>
                      <w:color w:val="auto"/>
                      <w:sz w:val="18"/>
                      <w:szCs w:val="18"/>
                      <w:highlight w:val="none"/>
                    </w:rPr>
                  </w:pPr>
                  <w:r>
                    <w:rPr>
                      <w:color w:val="auto"/>
                      <w:sz w:val="18"/>
                      <w:szCs w:val="18"/>
                      <w:highlight w:val="none"/>
                    </w:rPr>
                    <w:t>--</w:t>
                  </w:r>
                </w:p>
              </w:tc>
              <w:tc>
                <w:tcPr>
                  <w:tcW w:w="373" w:type="pct"/>
                  <w:vAlign w:val="center"/>
                </w:tcPr>
                <w:p>
                  <w:pPr>
                    <w:adjustRightInd w:val="0"/>
                    <w:snapToGrid w:val="0"/>
                    <w:ind w:left="-105" w:leftChars="-50" w:right="-105" w:rightChars="-50"/>
                    <w:jc w:val="center"/>
                    <w:rPr>
                      <w:color w:val="auto"/>
                      <w:sz w:val="18"/>
                      <w:szCs w:val="18"/>
                      <w:highlight w:val="none"/>
                    </w:rPr>
                  </w:pPr>
                  <w:r>
                    <w:rPr>
                      <w:color w:val="auto"/>
                      <w:sz w:val="18"/>
                      <w:szCs w:val="18"/>
                      <w:highlight w:val="none"/>
                    </w:rPr>
                    <w:t>0.00</w:t>
                  </w:r>
                  <w:r>
                    <w:rPr>
                      <w:rFonts w:hint="eastAsia"/>
                      <w:color w:val="auto"/>
                      <w:sz w:val="18"/>
                      <w:szCs w:val="18"/>
                      <w:highlight w:val="none"/>
                    </w:rPr>
                    <w:t>1</w:t>
                  </w:r>
                </w:p>
              </w:tc>
              <w:tc>
                <w:tcPr>
                  <w:tcW w:w="413" w:type="pct"/>
                  <w:vAlign w:val="center"/>
                </w:tcPr>
                <w:p>
                  <w:pPr>
                    <w:adjustRightInd w:val="0"/>
                    <w:snapToGrid w:val="0"/>
                    <w:ind w:left="-105" w:leftChars="-50" w:right="-105" w:rightChars="-50"/>
                    <w:jc w:val="center"/>
                    <w:rPr>
                      <w:color w:val="auto"/>
                      <w:sz w:val="18"/>
                      <w:szCs w:val="18"/>
                      <w:highlight w:val="none"/>
                    </w:rPr>
                  </w:pPr>
                  <w:r>
                    <w:rPr>
                      <w:rFonts w:hint="eastAsia"/>
                      <w:color w:val="auto"/>
                      <w:sz w:val="18"/>
                      <w:szCs w:val="18"/>
                      <w:highlight w:val="none"/>
                    </w:rPr>
                    <w:t>0.002</w:t>
                  </w:r>
                </w:p>
              </w:tc>
              <w:tc>
                <w:tcPr>
                  <w:tcW w:w="390" w:type="pct"/>
                  <w:vAlign w:val="center"/>
                </w:tcPr>
                <w:p>
                  <w:pPr>
                    <w:adjustRightInd w:val="0"/>
                    <w:snapToGrid w:val="0"/>
                    <w:ind w:left="-105" w:leftChars="-50" w:right="-105" w:rightChars="-50"/>
                    <w:jc w:val="center"/>
                    <w:rPr>
                      <w:color w:val="auto"/>
                      <w:sz w:val="18"/>
                      <w:szCs w:val="18"/>
                      <w:highlight w:val="none"/>
                    </w:rPr>
                  </w:pPr>
                  <w:r>
                    <w:rPr>
                      <w:rFonts w:hint="eastAsia"/>
                      <w:color w:val="auto"/>
                      <w:sz w:val="18"/>
                      <w:szCs w:val="18"/>
                      <w:highlight w:val="none"/>
                    </w:rPr>
                    <w:t>0.1</w:t>
                  </w:r>
                </w:p>
              </w:tc>
              <w:tc>
                <w:tcPr>
                  <w:tcW w:w="500" w:type="pct"/>
                  <w:vMerge w:val="continue"/>
                  <w:vAlign w:val="center"/>
                </w:tcPr>
                <w:p>
                  <w:pPr>
                    <w:adjustRightInd w:val="0"/>
                    <w:snapToGrid w:val="0"/>
                    <w:ind w:left="-105" w:leftChars="-50" w:right="-105" w:rightChars="-50"/>
                    <w:jc w:val="center"/>
                    <w:rPr>
                      <w:color w:val="auto"/>
                      <w:sz w:val="18"/>
                      <w:szCs w:val="18"/>
                      <w:highlight w:val="none"/>
                    </w:rPr>
                  </w:pPr>
                </w:p>
              </w:tc>
              <w:tc>
                <w:tcPr>
                  <w:tcW w:w="373" w:type="pct"/>
                  <w:vAlign w:val="center"/>
                </w:tcPr>
                <w:p>
                  <w:pPr>
                    <w:adjustRightInd w:val="0"/>
                    <w:snapToGrid w:val="0"/>
                    <w:ind w:left="-105" w:leftChars="-50" w:right="-105" w:rightChars="-50"/>
                    <w:jc w:val="center"/>
                    <w:rPr>
                      <w:color w:val="auto"/>
                      <w:sz w:val="18"/>
                      <w:szCs w:val="18"/>
                      <w:highlight w:val="none"/>
                    </w:rPr>
                  </w:pPr>
                  <w:r>
                    <w:rPr>
                      <w:color w:val="auto"/>
                      <w:sz w:val="18"/>
                      <w:szCs w:val="18"/>
                      <w:highlight w:val="none"/>
                    </w:rPr>
                    <w:t>200</w:t>
                  </w:r>
                </w:p>
              </w:tc>
              <w:tc>
                <w:tcPr>
                  <w:tcW w:w="298" w:type="pct"/>
                  <w:vAlign w:val="center"/>
                </w:tcPr>
                <w:p>
                  <w:pPr>
                    <w:adjustRightInd w:val="0"/>
                    <w:snapToGrid w:val="0"/>
                    <w:ind w:left="-105" w:leftChars="-50" w:right="-105" w:rightChars="-50"/>
                    <w:jc w:val="center"/>
                    <w:rPr>
                      <w:color w:val="auto"/>
                      <w:sz w:val="18"/>
                      <w:szCs w:val="18"/>
                      <w:highlight w:val="none"/>
                    </w:rPr>
                  </w:pPr>
                  <w:r>
                    <w:rPr>
                      <w:color w:val="auto"/>
                      <w:sz w:val="18"/>
                      <w:szCs w:val="18"/>
                      <w:highlight w:val="none"/>
                    </w:rPr>
                    <w:t>--</w:t>
                  </w:r>
                </w:p>
              </w:tc>
              <w:tc>
                <w:tcPr>
                  <w:tcW w:w="278" w:type="pct"/>
                  <w:vMerge w:val="continue"/>
                  <w:vAlign w:val="center"/>
                </w:tcPr>
                <w:p>
                  <w:pPr>
                    <w:adjustRightInd w:val="0"/>
                    <w:snapToGrid w:val="0"/>
                    <w:ind w:left="-105" w:leftChars="-50" w:right="-105" w:rightChars="-50"/>
                    <w:jc w:val="center"/>
                    <w:rPr>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 w:hRule="atLeast"/>
              </w:trPr>
              <w:tc>
                <w:tcPr>
                  <w:tcW w:w="346" w:type="pct"/>
                  <w:vAlign w:val="center"/>
                </w:tcPr>
                <w:p>
                  <w:pPr>
                    <w:pStyle w:val="105"/>
                    <w:ind w:left="-105" w:leftChars="-50" w:right="-105" w:rightChars="-50"/>
                    <w:rPr>
                      <w:color w:val="auto"/>
                      <w:sz w:val="18"/>
                      <w:szCs w:val="18"/>
                      <w:highlight w:val="none"/>
                    </w:rPr>
                  </w:pPr>
                  <w:r>
                    <w:rPr>
                      <w:rFonts w:hint="eastAsia"/>
                      <w:color w:val="auto"/>
                      <w:sz w:val="18"/>
                      <w:szCs w:val="18"/>
                      <w:highlight w:val="none"/>
                    </w:rPr>
                    <w:t>非甲烷总烃</w:t>
                  </w:r>
                </w:p>
              </w:tc>
              <w:tc>
                <w:tcPr>
                  <w:tcW w:w="381" w:type="pct"/>
                  <w:vAlign w:val="center"/>
                </w:tcPr>
                <w:p>
                  <w:pPr>
                    <w:adjustRightInd w:val="0"/>
                    <w:snapToGrid w:val="0"/>
                    <w:ind w:left="-105" w:leftChars="-50" w:right="-105" w:rightChars="-50"/>
                    <w:jc w:val="center"/>
                    <w:rPr>
                      <w:color w:val="auto"/>
                      <w:sz w:val="18"/>
                      <w:szCs w:val="18"/>
                      <w:highlight w:val="none"/>
                    </w:rPr>
                  </w:pPr>
                  <w:r>
                    <w:rPr>
                      <w:rFonts w:hint="eastAsia"/>
                      <w:color w:val="auto"/>
                      <w:sz w:val="18"/>
                      <w:szCs w:val="18"/>
                      <w:highlight w:val="none"/>
                    </w:rPr>
                    <w:t>0.008</w:t>
                  </w:r>
                </w:p>
              </w:tc>
              <w:tc>
                <w:tcPr>
                  <w:tcW w:w="322" w:type="pct"/>
                  <w:vAlign w:val="center"/>
                </w:tcPr>
                <w:p>
                  <w:pPr>
                    <w:adjustRightInd w:val="0"/>
                    <w:snapToGrid w:val="0"/>
                    <w:ind w:left="-105" w:leftChars="-50" w:right="-105" w:rightChars="-50"/>
                    <w:jc w:val="center"/>
                    <w:rPr>
                      <w:color w:val="auto"/>
                      <w:sz w:val="18"/>
                      <w:szCs w:val="18"/>
                      <w:highlight w:val="none"/>
                    </w:rPr>
                  </w:pPr>
                  <w:r>
                    <w:rPr>
                      <w:rFonts w:hint="eastAsia"/>
                      <w:color w:val="auto"/>
                      <w:sz w:val="18"/>
                      <w:szCs w:val="18"/>
                      <w:highlight w:val="none"/>
                    </w:rPr>
                    <w:t>0.072</w:t>
                  </w:r>
                </w:p>
              </w:tc>
              <w:tc>
                <w:tcPr>
                  <w:tcW w:w="310" w:type="pct"/>
                  <w:vAlign w:val="center"/>
                </w:tcPr>
                <w:p>
                  <w:pPr>
                    <w:adjustRightInd w:val="0"/>
                    <w:snapToGrid w:val="0"/>
                    <w:ind w:left="-105" w:leftChars="-50" w:right="-105" w:rightChars="-50"/>
                    <w:jc w:val="center"/>
                    <w:rPr>
                      <w:color w:val="auto"/>
                      <w:sz w:val="18"/>
                      <w:szCs w:val="18"/>
                      <w:highlight w:val="none"/>
                    </w:rPr>
                  </w:pPr>
                  <w:r>
                    <w:rPr>
                      <w:rFonts w:hint="eastAsia"/>
                      <w:color w:val="auto"/>
                      <w:sz w:val="18"/>
                      <w:szCs w:val="18"/>
                      <w:highlight w:val="none"/>
                    </w:rPr>
                    <w:t>4</w:t>
                  </w:r>
                </w:p>
              </w:tc>
              <w:tc>
                <w:tcPr>
                  <w:tcW w:w="356" w:type="pct"/>
                  <w:vAlign w:val="center"/>
                </w:tcPr>
                <w:p>
                  <w:pPr>
                    <w:adjustRightInd w:val="0"/>
                    <w:snapToGrid w:val="0"/>
                    <w:ind w:left="-105" w:leftChars="-50" w:right="-105" w:rightChars="-50"/>
                    <w:jc w:val="center"/>
                    <w:rPr>
                      <w:color w:val="auto"/>
                      <w:sz w:val="18"/>
                      <w:szCs w:val="18"/>
                      <w:highlight w:val="none"/>
                    </w:rPr>
                  </w:pPr>
                  <w:r>
                    <w:rPr>
                      <w:rFonts w:hint="eastAsia"/>
                      <w:color w:val="auto"/>
                      <w:sz w:val="18"/>
                      <w:szCs w:val="18"/>
                      <w:highlight w:val="none"/>
                    </w:rPr>
                    <w:t>8760</w:t>
                  </w:r>
                </w:p>
              </w:tc>
              <w:tc>
                <w:tcPr>
                  <w:tcW w:w="356" w:type="pct"/>
                  <w:vAlign w:val="center"/>
                </w:tcPr>
                <w:p>
                  <w:pPr>
                    <w:adjustRightInd w:val="0"/>
                    <w:snapToGrid w:val="0"/>
                    <w:ind w:left="-105" w:leftChars="-50" w:right="-105" w:rightChars="-50"/>
                    <w:jc w:val="center"/>
                    <w:rPr>
                      <w:color w:val="auto"/>
                      <w:sz w:val="18"/>
                      <w:szCs w:val="18"/>
                      <w:highlight w:val="none"/>
                    </w:rPr>
                  </w:pPr>
                  <w:r>
                    <w:rPr>
                      <w:rFonts w:hint="eastAsia"/>
                      <w:color w:val="auto"/>
                      <w:sz w:val="18"/>
                      <w:szCs w:val="18"/>
                      <w:highlight w:val="none"/>
                    </w:rPr>
                    <w:t>负压收集+一级活性炭吸附</w:t>
                  </w:r>
                </w:p>
              </w:tc>
              <w:tc>
                <w:tcPr>
                  <w:tcW w:w="296" w:type="pct"/>
                  <w:vAlign w:val="center"/>
                </w:tcPr>
                <w:p>
                  <w:pPr>
                    <w:adjustRightInd w:val="0"/>
                    <w:snapToGrid w:val="0"/>
                    <w:ind w:left="-105" w:leftChars="-50" w:right="-105" w:rightChars="-50"/>
                    <w:jc w:val="center"/>
                    <w:rPr>
                      <w:color w:val="auto"/>
                      <w:sz w:val="18"/>
                      <w:szCs w:val="18"/>
                      <w:highlight w:val="none"/>
                    </w:rPr>
                  </w:pPr>
                  <w:r>
                    <w:rPr>
                      <w:rFonts w:hint="eastAsia"/>
                      <w:color w:val="auto"/>
                      <w:sz w:val="18"/>
                      <w:szCs w:val="18"/>
                      <w:highlight w:val="none"/>
                    </w:rPr>
                    <w:t>75</w:t>
                  </w:r>
                </w:p>
              </w:tc>
              <w:tc>
                <w:tcPr>
                  <w:tcW w:w="373" w:type="pct"/>
                  <w:vAlign w:val="center"/>
                </w:tcPr>
                <w:p>
                  <w:pPr>
                    <w:adjustRightInd w:val="0"/>
                    <w:snapToGrid w:val="0"/>
                    <w:ind w:left="-105" w:leftChars="-50" w:right="-105" w:rightChars="-50"/>
                    <w:jc w:val="center"/>
                    <w:rPr>
                      <w:color w:val="auto"/>
                      <w:sz w:val="18"/>
                      <w:szCs w:val="18"/>
                      <w:highlight w:val="none"/>
                    </w:rPr>
                  </w:pPr>
                  <w:r>
                    <w:rPr>
                      <w:rFonts w:hint="eastAsia"/>
                      <w:color w:val="auto"/>
                      <w:sz w:val="18"/>
                      <w:szCs w:val="18"/>
                      <w:highlight w:val="none"/>
                    </w:rPr>
                    <w:t>0.002</w:t>
                  </w:r>
                </w:p>
              </w:tc>
              <w:tc>
                <w:tcPr>
                  <w:tcW w:w="413" w:type="pct"/>
                  <w:vAlign w:val="center"/>
                </w:tcPr>
                <w:p>
                  <w:pPr>
                    <w:adjustRightInd w:val="0"/>
                    <w:snapToGrid w:val="0"/>
                    <w:ind w:left="-105" w:leftChars="-50" w:right="-105" w:rightChars="-50"/>
                    <w:jc w:val="center"/>
                    <w:rPr>
                      <w:color w:val="auto"/>
                      <w:sz w:val="18"/>
                      <w:szCs w:val="18"/>
                      <w:highlight w:val="none"/>
                    </w:rPr>
                  </w:pPr>
                  <w:r>
                    <w:rPr>
                      <w:rFonts w:hint="eastAsia"/>
                      <w:color w:val="auto"/>
                      <w:sz w:val="18"/>
                      <w:szCs w:val="18"/>
                      <w:highlight w:val="none"/>
                    </w:rPr>
                    <w:t>0.018</w:t>
                  </w:r>
                </w:p>
              </w:tc>
              <w:tc>
                <w:tcPr>
                  <w:tcW w:w="390" w:type="pct"/>
                  <w:vAlign w:val="center"/>
                </w:tcPr>
                <w:p>
                  <w:pPr>
                    <w:adjustRightInd w:val="0"/>
                    <w:snapToGrid w:val="0"/>
                    <w:ind w:left="-105" w:leftChars="-50" w:right="-105" w:rightChars="-50"/>
                    <w:jc w:val="center"/>
                    <w:rPr>
                      <w:color w:val="auto"/>
                      <w:sz w:val="18"/>
                      <w:szCs w:val="18"/>
                      <w:highlight w:val="none"/>
                    </w:rPr>
                  </w:pPr>
                  <w:r>
                    <w:rPr>
                      <w:rFonts w:hint="eastAsia"/>
                      <w:color w:val="auto"/>
                      <w:sz w:val="18"/>
                      <w:szCs w:val="18"/>
                      <w:highlight w:val="none"/>
                    </w:rPr>
                    <w:t>1</w:t>
                  </w:r>
                </w:p>
              </w:tc>
              <w:tc>
                <w:tcPr>
                  <w:tcW w:w="500" w:type="pct"/>
                  <w:vAlign w:val="center"/>
                </w:tcPr>
                <w:p>
                  <w:pPr>
                    <w:adjustRightInd w:val="0"/>
                    <w:snapToGrid w:val="0"/>
                    <w:ind w:left="-105" w:leftChars="-50" w:right="-105" w:rightChars="-50"/>
                    <w:jc w:val="center"/>
                    <w:rPr>
                      <w:color w:val="auto"/>
                      <w:sz w:val="18"/>
                      <w:szCs w:val="18"/>
                      <w:highlight w:val="none"/>
                    </w:rPr>
                  </w:pPr>
                  <w:r>
                    <w:rPr>
                      <w:rFonts w:hint="eastAsia"/>
                      <w:color w:val="auto"/>
                      <w:sz w:val="18"/>
                      <w:szCs w:val="18"/>
                      <w:highlight w:val="none"/>
                    </w:rPr>
                    <w:t>2</w:t>
                  </w:r>
                  <w:r>
                    <w:rPr>
                      <w:color w:val="auto"/>
                      <w:sz w:val="18"/>
                      <w:szCs w:val="18"/>
                      <w:highlight w:val="none"/>
                    </w:rPr>
                    <w:t>000m</w:t>
                  </w:r>
                  <w:r>
                    <w:rPr>
                      <w:color w:val="auto"/>
                      <w:sz w:val="18"/>
                      <w:szCs w:val="18"/>
                      <w:highlight w:val="none"/>
                      <w:vertAlign w:val="superscript"/>
                    </w:rPr>
                    <w:t>3</w:t>
                  </w:r>
                  <w:r>
                    <w:rPr>
                      <w:color w:val="auto"/>
                      <w:sz w:val="18"/>
                      <w:szCs w:val="18"/>
                      <w:highlight w:val="none"/>
                    </w:rPr>
                    <w:t>/h</w:t>
                  </w:r>
                  <w:r>
                    <w:rPr>
                      <w:rFonts w:hint="eastAsia"/>
                      <w:color w:val="auto"/>
                      <w:sz w:val="18"/>
                      <w:szCs w:val="18"/>
                      <w:highlight w:val="none"/>
                    </w:rPr>
                    <w:t>（P3）</w:t>
                  </w:r>
                </w:p>
              </w:tc>
              <w:tc>
                <w:tcPr>
                  <w:tcW w:w="373" w:type="pct"/>
                  <w:vAlign w:val="center"/>
                </w:tcPr>
                <w:p>
                  <w:pPr>
                    <w:adjustRightInd w:val="0"/>
                    <w:snapToGrid w:val="0"/>
                    <w:ind w:left="-105" w:leftChars="-50" w:right="-105" w:rightChars="-50"/>
                    <w:jc w:val="center"/>
                    <w:rPr>
                      <w:color w:val="auto"/>
                      <w:sz w:val="18"/>
                      <w:szCs w:val="18"/>
                      <w:highlight w:val="none"/>
                    </w:rPr>
                  </w:pPr>
                  <w:r>
                    <w:rPr>
                      <w:color w:val="auto"/>
                      <w:sz w:val="18"/>
                      <w:szCs w:val="18"/>
                      <w:highlight w:val="none"/>
                    </w:rPr>
                    <w:t>60</w:t>
                  </w:r>
                </w:p>
              </w:tc>
              <w:tc>
                <w:tcPr>
                  <w:tcW w:w="298" w:type="pct"/>
                  <w:vAlign w:val="center"/>
                </w:tcPr>
                <w:p>
                  <w:pPr>
                    <w:adjustRightInd w:val="0"/>
                    <w:snapToGrid w:val="0"/>
                    <w:ind w:left="-105" w:leftChars="-50" w:right="-105" w:rightChars="-50"/>
                    <w:jc w:val="center"/>
                    <w:rPr>
                      <w:color w:val="auto"/>
                      <w:sz w:val="18"/>
                      <w:szCs w:val="18"/>
                      <w:highlight w:val="none"/>
                    </w:rPr>
                  </w:pPr>
                  <w:r>
                    <w:rPr>
                      <w:color w:val="auto"/>
                      <w:sz w:val="18"/>
                      <w:szCs w:val="18"/>
                      <w:highlight w:val="none"/>
                    </w:rPr>
                    <w:t>3</w:t>
                  </w:r>
                </w:p>
              </w:tc>
              <w:tc>
                <w:tcPr>
                  <w:tcW w:w="278" w:type="pct"/>
                  <w:vMerge w:val="continue"/>
                  <w:vAlign w:val="center"/>
                </w:tcPr>
                <w:p>
                  <w:pPr>
                    <w:adjustRightInd w:val="0"/>
                    <w:snapToGrid w:val="0"/>
                    <w:ind w:left="-105" w:leftChars="-50" w:right="-105" w:rightChars="-50"/>
                    <w:jc w:val="center"/>
                    <w:rPr>
                      <w:color w:val="auto"/>
                      <w:sz w:val="18"/>
                      <w:szCs w:val="18"/>
                      <w:highlight w:val="none"/>
                    </w:rPr>
                  </w:pPr>
                </w:p>
              </w:tc>
            </w:tr>
          </w:tbl>
          <w:p>
            <w:pPr>
              <w:adjustRightInd w:val="0"/>
              <w:snapToGrid w:val="0"/>
              <w:spacing w:beforeLines="50"/>
              <w:jc w:val="left"/>
              <w:rPr>
                <w:color w:val="auto"/>
                <w:szCs w:val="21"/>
                <w:highlight w:val="none"/>
              </w:rPr>
            </w:pPr>
            <w:r>
              <w:rPr>
                <w:color w:val="auto"/>
                <w:szCs w:val="21"/>
                <w:highlight w:val="none"/>
              </w:rPr>
              <w:t>*非甲烷总烃、HCl经</w:t>
            </w:r>
            <w:r>
              <w:rPr>
                <w:rFonts w:hint="eastAsia"/>
                <w:color w:val="auto"/>
                <w:szCs w:val="21"/>
                <w:highlight w:val="none"/>
              </w:rPr>
              <w:t>废气经收集+</w:t>
            </w:r>
            <w:r>
              <w:rPr>
                <w:color w:val="auto"/>
                <w:szCs w:val="21"/>
                <w:highlight w:val="none"/>
              </w:rPr>
              <w:t>碱液喷淋+除雾+活性炭处理（风量8000m</w:t>
            </w:r>
            <w:r>
              <w:rPr>
                <w:color w:val="auto"/>
                <w:szCs w:val="21"/>
                <w:highlight w:val="none"/>
                <w:vertAlign w:val="superscript"/>
              </w:rPr>
              <w:t>3</w:t>
            </w:r>
            <w:r>
              <w:rPr>
                <w:color w:val="auto"/>
                <w:szCs w:val="21"/>
                <w:highlight w:val="none"/>
              </w:rPr>
              <w:t>/h）同液化石油气燃烧废气（2</w:t>
            </w:r>
            <w:r>
              <w:rPr>
                <w:rFonts w:hint="eastAsia"/>
                <w:color w:val="auto"/>
                <w:szCs w:val="21"/>
                <w:highlight w:val="none"/>
              </w:rPr>
              <w:t>0</w:t>
            </w:r>
            <w:r>
              <w:rPr>
                <w:color w:val="auto"/>
                <w:szCs w:val="21"/>
                <w:highlight w:val="none"/>
              </w:rPr>
              <w:t>00</w:t>
            </w:r>
            <w:r>
              <w:rPr>
                <w:rFonts w:hint="eastAsia"/>
                <w:color w:val="auto"/>
                <w:szCs w:val="21"/>
                <w:highlight w:val="none"/>
              </w:rPr>
              <w:t>m</w:t>
            </w:r>
            <w:r>
              <w:rPr>
                <w:rFonts w:hint="eastAsia"/>
                <w:color w:val="auto"/>
                <w:szCs w:val="21"/>
                <w:highlight w:val="none"/>
                <w:vertAlign w:val="superscript"/>
              </w:rPr>
              <w:t>3</w:t>
            </w:r>
            <w:r>
              <w:rPr>
                <w:color w:val="auto"/>
                <w:szCs w:val="21"/>
                <w:highlight w:val="none"/>
              </w:rPr>
              <w:t>/h）一同送P2排气筒排放</w:t>
            </w:r>
            <w:r>
              <w:rPr>
                <w:rFonts w:hint="eastAsia"/>
                <w:color w:val="auto"/>
                <w:szCs w:val="21"/>
                <w:highlight w:val="none"/>
              </w:rPr>
              <w:t>，监测点位于排气筒。</w:t>
            </w:r>
          </w:p>
          <w:p>
            <w:pPr>
              <w:adjustRightInd w:val="0"/>
              <w:snapToGrid w:val="0"/>
              <w:spacing w:beforeLines="50"/>
              <w:jc w:val="center"/>
              <w:rPr>
                <w:rStyle w:val="43"/>
                <w:color w:val="auto"/>
                <w:kern w:val="0"/>
                <w:szCs w:val="20"/>
                <w:highlight w:val="none"/>
              </w:rPr>
            </w:pPr>
            <w:r>
              <w:rPr>
                <w:b/>
                <w:color w:val="auto"/>
                <w:kern w:val="21"/>
                <w:sz w:val="24"/>
                <w:highlight w:val="none"/>
              </w:rPr>
              <w:t>表4-</w:t>
            </w:r>
            <w:r>
              <w:rPr>
                <w:rFonts w:hint="eastAsia"/>
                <w:b/>
                <w:color w:val="auto"/>
                <w:kern w:val="21"/>
                <w:sz w:val="24"/>
                <w:highlight w:val="none"/>
              </w:rPr>
              <w:t>3</w:t>
            </w:r>
            <w:r>
              <w:rPr>
                <w:rFonts w:hint="eastAsia"/>
                <w:b/>
                <w:bCs/>
                <w:color w:val="auto"/>
                <w:sz w:val="24"/>
                <w:highlight w:val="none"/>
              </w:rPr>
              <w:t>改造后的废气处理装置达标排放情况</w:t>
            </w:r>
          </w:p>
          <w:tbl>
            <w:tblPr>
              <w:tblStyle w:val="34"/>
              <w:tblpPr w:leftFromText="180" w:rightFromText="180" w:vertAnchor="text" w:horzAnchor="page" w:tblpX="1783" w:tblpY="188"/>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2"/>
              <w:gridCol w:w="663"/>
              <w:gridCol w:w="560"/>
              <w:gridCol w:w="539"/>
              <w:gridCol w:w="619"/>
              <w:gridCol w:w="619"/>
              <w:gridCol w:w="516"/>
              <w:gridCol w:w="649"/>
              <w:gridCol w:w="718"/>
              <w:gridCol w:w="680"/>
              <w:gridCol w:w="870"/>
              <w:gridCol w:w="651"/>
              <w:gridCol w:w="518"/>
              <w:gridCol w:w="4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46" w:type="pct"/>
                  <w:vMerge w:val="restart"/>
                  <w:vAlign w:val="center"/>
                </w:tcPr>
                <w:p>
                  <w:pPr>
                    <w:adjustRightInd w:val="0"/>
                    <w:snapToGrid w:val="0"/>
                    <w:ind w:left="-105" w:leftChars="-50" w:right="-105" w:rightChars="-50"/>
                    <w:jc w:val="center"/>
                    <w:rPr>
                      <w:color w:val="auto"/>
                      <w:sz w:val="18"/>
                      <w:szCs w:val="18"/>
                      <w:highlight w:val="none"/>
                    </w:rPr>
                  </w:pPr>
                  <w:r>
                    <w:rPr>
                      <w:color w:val="auto"/>
                      <w:sz w:val="18"/>
                      <w:szCs w:val="18"/>
                      <w:highlight w:val="none"/>
                    </w:rPr>
                    <w:t>污染物</w:t>
                  </w:r>
                </w:p>
              </w:tc>
              <w:tc>
                <w:tcPr>
                  <w:tcW w:w="1013" w:type="pct"/>
                  <w:gridSpan w:val="3"/>
                  <w:vAlign w:val="center"/>
                </w:tcPr>
                <w:p>
                  <w:pPr>
                    <w:adjustRightInd w:val="0"/>
                    <w:snapToGrid w:val="0"/>
                    <w:ind w:left="-105" w:leftChars="-50" w:right="-105" w:rightChars="-50"/>
                    <w:jc w:val="center"/>
                    <w:rPr>
                      <w:color w:val="auto"/>
                      <w:sz w:val="18"/>
                      <w:szCs w:val="18"/>
                      <w:highlight w:val="none"/>
                    </w:rPr>
                  </w:pPr>
                  <w:r>
                    <w:rPr>
                      <w:color w:val="auto"/>
                      <w:sz w:val="18"/>
                      <w:szCs w:val="18"/>
                      <w:highlight w:val="none"/>
                    </w:rPr>
                    <w:t>产生状况</w:t>
                  </w:r>
                </w:p>
              </w:tc>
              <w:tc>
                <w:tcPr>
                  <w:tcW w:w="356" w:type="pct"/>
                  <w:vMerge w:val="restart"/>
                  <w:vAlign w:val="center"/>
                </w:tcPr>
                <w:p>
                  <w:pPr>
                    <w:adjustRightInd w:val="0"/>
                    <w:snapToGrid w:val="0"/>
                    <w:ind w:left="-105" w:leftChars="-50" w:right="-105" w:rightChars="-50"/>
                    <w:jc w:val="center"/>
                    <w:rPr>
                      <w:color w:val="auto"/>
                      <w:sz w:val="18"/>
                      <w:szCs w:val="18"/>
                      <w:highlight w:val="none"/>
                    </w:rPr>
                  </w:pPr>
                  <w:r>
                    <w:rPr>
                      <w:rFonts w:hint="eastAsia"/>
                      <w:color w:val="auto"/>
                      <w:sz w:val="18"/>
                      <w:szCs w:val="18"/>
                      <w:highlight w:val="none"/>
                    </w:rPr>
                    <w:t>工作</w:t>
                  </w:r>
                </w:p>
                <w:p>
                  <w:pPr>
                    <w:adjustRightInd w:val="0"/>
                    <w:snapToGrid w:val="0"/>
                    <w:ind w:left="-105" w:leftChars="-50" w:right="-105" w:rightChars="-50"/>
                    <w:jc w:val="center"/>
                    <w:rPr>
                      <w:color w:val="auto"/>
                      <w:sz w:val="18"/>
                      <w:szCs w:val="18"/>
                      <w:highlight w:val="none"/>
                    </w:rPr>
                  </w:pPr>
                  <w:r>
                    <w:rPr>
                      <w:rFonts w:hint="eastAsia"/>
                      <w:color w:val="auto"/>
                      <w:sz w:val="18"/>
                      <w:szCs w:val="18"/>
                      <w:highlight w:val="none"/>
                    </w:rPr>
                    <w:t>时间</w:t>
                  </w:r>
                </w:p>
              </w:tc>
              <w:tc>
                <w:tcPr>
                  <w:tcW w:w="356" w:type="pct"/>
                  <w:vMerge w:val="restart"/>
                  <w:vAlign w:val="center"/>
                </w:tcPr>
                <w:p>
                  <w:pPr>
                    <w:adjustRightInd w:val="0"/>
                    <w:snapToGrid w:val="0"/>
                    <w:ind w:left="-105" w:leftChars="-50" w:right="-105" w:rightChars="-50"/>
                    <w:jc w:val="center"/>
                    <w:rPr>
                      <w:color w:val="auto"/>
                      <w:sz w:val="18"/>
                      <w:szCs w:val="18"/>
                      <w:highlight w:val="none"/>
                    </w:rPr>
                  </w:pPr>
                  <w:r>
                    <w:rPr>
                      <w:color w:val="auto"/>
                      <w:sz w:val="18"/>
                      <w:szCs w:val="18"/>
                      <w:highlight w:val="none"/>
                    </w:rPr>
                    <w:t>处理方式</w:t>
                  </w:r>
                </w:p>
              </w:tc>
              <w:tc>
                <w:tcPr>
                  <w:tcW w:w="296" w:type="pct"/>
                  <w:vMerge w:val="restart"/>
                  <w:vAlign w:val="center"/>
                </w:tcPr>
                <w:p>
                  <w:pPr>
                    <w:adjustRightInd w:val="0"/>
                    <w:snapToGrid w:val="0"/>
                    <w:ind w:left="-105" w:leftChars="-50" w:right="-105" w:rightChars="-50"/>
                    <w:jc w:val="center"/>
                    <w:rPr>
                      <w:color w:val="auto"/>
                      <w:sz w:val="18"/>
                      <w:szCs w:val="18"/>
                      <w:highlight w:val="none"/>
                    </w:rPr>
                  </w:pPr>
                  <w:r>
                    <w:rPr>
                      <w:color w:val="auto"/>
                      <w:sz w:val="18"/>
                      <w:szCs w:val="18"/>
                      <w:highlight w:val="none"/>
                    </w:rPr>
                    <w:t>处理效率（%）</w:t>
                  </w:r>
                </w:p>
              </w:tc>
              <w:tc>
                <w:tcPr>
                  <w:tcW w:w="1177" w:type="pct"/>
                  <w:gridSpan w:val="3"/>
                  <w:vAlign w:val="center"/>
                </w:tcPr>
                <w:p>
                  <w:pPr>
                    <w:adjustRightInd w:val="0"/>
                    <w:snapToGrid w:val="0"/>
                    <w:ind w:left="-105" w:leftChars="-50" w:right="-105" w:rightChars="-50"/>
                    <w:jc w:val="center"/>
                    <w:rPr>
                      <w:color w:val="auto"/>
                      <w:sz w:val="18"/>
                      <w:szCs w:val="18"/>
                      <w:highlight w:val="none"/>
                    </w:rPr>
                  </w:pPr>
                  <w:r>
                    <w:rPr>
                      <w:color w:val="auto"/>
                      <w:sz w:val="18"/>
                      <w:szCs w:val="18"/>
                      <w:highlight w:val="none"/>
                    </w:rPr>
                    <w:t>排放状况</w:t>
                  </w:r>
                </w:p>
              </w:tc>
              <w:tc>
                <w:tcPr>
                  <w:tcW w:w="500" w:type="pct"/>
                  <w:vMerge w:val="restart"/>
                  <w:vAlign w:val="center"/>
                </w:tcPr>
                <w:p>
                  <w:pPr>
                    <w:adjustRightInd w:val="0"/>
                    <w:snapToGrid w:val="0"/>
                    <w:ind w:left="-105" w:leftChars="-50" w:right="-105" w:rightChars="-50"/>
                    <w:jc w:val="center"/>
                    <w:rPr>
                      <w:color w:val="auto"/>
                      <w:sz w:val="18"/>
                      <w:szCs w:val="18"/>
                      <w:highlight w:val="none"/>
                    </w:rPr>
                  </w:pPr>
                  <w:r>
                    <w:rPr>
                      <w:color w:val="auto"/>
                      <w:sz w:val="18"/>
                      <w:szCs w:val="18"/>
                      <w:highlight w:val="none"/>
                    </w:rPr>
                    <w:t>风量</w:t>
                  </w:r>
                </w:p>
                <w:p>
                  <w:pPr>
                    <w:adjustRightInd w:val="0"/>
                    <w:snapToGrid w:val="0"/>
                    <w:ind w:left="-105" w:leftChars="-50" w:right="-105" w:rightChars="-50"/>
                    <w:jc w:val="center"/>
                    <w:rPr>
                      <w:color w:val="auto"/>
                      <w:sz w:val="18"/>
                      <w:szCs w:val="18"/>
                      <w:highlight w:val="none"/>
                    </w:rPr>
                  </w:pPr>
                  <w:r>
                    <w:rPr>
                      <w:color w:val="auto"/>
                      <w:sz w:val="18"/>
                      <w:szCs w:val="18"/>
                      <w:highlight w:val="none"/>
                    </w:rPr>
                    <w:t>m</w:t>
                  </w:r>
                  <w:r>
                    <w:rPr>
                      <w:color w:val="auto"/>
                      <w:sz w:val="18"/>
                      <w:szCs w:val="18"/>
                      <w:highlight w:val="none"/>
                      <w:vertAlign w:val="superscript"/>
                    </w:rPr>
                    <w:t>3</w:t>
                  </w:r>
                  <w:r>
                    <w:rPr>
                      <w:color w:val="auto"/>
                      <w:sz w:val="18"/>
                      <w:szCs w:val="18"/>
                      <w:highlight w:val="none"/>
                    </w:rPr>
                    <w:t>/h</w:t>
                  </w:r>
                </w:p>
              </w:tc>
              <w:tc>
                <w:tcPr>
                  <w:tcW w:w="672" w:type="pct"/>
                  <w:gridSpan w:val="2"/>
                  <w:vAlign w:val="center"/>
                </w:tcPr>
                <w:p>
                  <w:pPr>
                    <w:adjustRightInd w:val="0"/>
                    <w:snapToGrid w:val="0"/>
                    <w:ind w:left="-105" w:leftChars="-50" w:right="-105" w:rightChars="-50"/>
                    <w:jc w:val="center"/>
                    <w:rPr>
                      <w:color w:val="auto"/>
                      <w:sz w:val="18"/>
                      <w:szCs w:val="18"/>
                      <w:highlight w:val="none"/>
                    </w:rPr>
                  </w:pPr>
                  <w:r>
                    <w:rPr>
                      <w:color w:val="auto"/>
                      <w:sz w:val="18"/>
                      <w:szCs w:val="18"/>
                      <w:highlight w:val="none"/>
                    </w:rPr>
                    <w:t>排放标准</w:t>
                  </w:r>
                </w:p>
              </w:tc>
              <w:tc>
                <w:tcPr>
                  <w:tcW w:w="279" w:type="pct"/>
                  <w:vMerge w:val="restart"/>
                  <w:vAlign w:val="center"/>
                </w:tcPr>
                <w:p>
                  <w:pPr>
                    <w:adjustRightInd w:val="0"/>
                    <w:snapToGrid w:val="0"/>
                    <w:ind w:left="-105" w:leftChars="-50" w:right="-105" w:rightChars="-50"/>
                    <w:jc w:val="center"/>
                    <w:rPr>
                      <w:color w:val="auto"/>
                      <w:sz w:val="18"/>
                      <w:szCs w:val="18"/>
                      <w:highlight w:val="none"/>
                    </w:rPr>
                  </w:pPr>
                  <w:r>
                    <w:rPr>
                      <w:color w:val="auto"/>
                      <w:sz w:val="18"/>
                      <w:szCs w:val="18"/>
                      <w:highlight w:val="none"/>
                    </w:rPr>
                    <w:t>达标性分析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46" w:type="pct"/>
                  <w:vMerge w:val="continue"/>
                  <w:vAlign w:val="center"/>
                </w:tcPr>
                <w:p>
                  <w:pPr>
                    <w:adjustRightInd w:val="0"/>
                    <w:snapToGrid w:val="0"/>
                    <w:ind w:left="-105" w:leftChars="-50" w:right="-105" w:rightChars="-50"/>
                    <w:jc w:val="center"/>
                    <w:rPr>
                      <w:color w:val="auto"/>
                      <w:sz w:val="18"/>
                      <w:szCs w:val="18"/>
                      <w:highlight w:val="none"/>
                    </w:rPr>
                  </w:pPr>
                </w:p>
              </w:tc>
              <w:tc>
                <w:tcPr>
                  <w:tcW w:w="381" w:type="pct"/>
                  <w:vAlign w:val="center"/>
                </w:tcPr>
                <w:p>
                  <w:pPr>
                    <w:adjustRightInd w:val="0"/>
                    <w:snapToGrid w:val="0"/>
                    <w:ind w:left="-105" w:leftChars="-50" w:right="-105" w:rightChars="-50"/>
                    <w:jc w:val="center"/>
                    <w:rPr>
                      <w:color w:val="auto"/>
                      <w:sz w:val="18"/>
                      <w:szCs w:val="18"/>
                      <w:highlight w:val="none"/>
                    </w:rPr>
                  </w:pPr>
                  <w:r>
                    <w:rPr>
                      <w:color w:val="auto"/>
                      <w:sz w:val="18"/>
                      <w:szCs w:val="18"/>
                      <w:highlight w:val="none"/>
                    </w:rPr>
                    <w:t>速率kg/h</w:t>
                  </w:r>
                </w:p>
              </w:tc>
              <w:tc>
                <w:tcPr>
                  <w:tcW w:w="322" w:type="pct"/>
                  <w:vAlign w:val="center"/>
                </w:tcPr>
                <w:p>
                  <w:pPr>
                    <w:adjustRightInd w:val="0"/>
                    <w:snapToGrid w:val="0"/>
                    <w:ind w:left="-105" w:leftChars="-50" w:right="-105" w:rightChars="-50"/>
                    <w:jc w:val="center"/>
                    <w:rPr>
                      <w:color w:val="auto"/>
                      <w:sz w:val="18"/>
                      <w:szCs w:val="18"/>
                      <w:highlight w:val="none"/>
                    </w:rPr>
                  </w:pPr>
                  <w:r>
                    <w:rPr>
                      <w:color w:val="auto"/>
                      <w:sz w:val="18"/>
                      <w:szCs w:val="18"/>
                      <w:highlight w:val="none"/>
                    </w:rPr>
                    <w:t>产生量</w:t>
                  </w:r>
                  <w:r>
                    <w:rPr>
                      <w:rFonts w:hint="eastAsia"/>
                      <w:color w:val="auto"/>
                      <w:sz w:val="18"/>
                      <w:szCs w:val="18"/>
                      <w:highlight w:val="none"/>
                    </w:rPr>
                    <w:t>t</w:t>
                  </w:r>
                  <w:r>
                    <w:rPr>
                      <w:color w:val="auto"/>
                      <w:sz w:val="18"/>
                      <w:szCs w:val="18"/>
                      <w:highlight w:val="none"/>
                    </w:rPr>
                    <w:t>/a</w:t>
                  </w:r>
                </w:p>
              </w:tc>
              <w:tc>
                <w:tcPr>
                  <w:tcW w:w="310" w:type="pct"/>
                  <w:vAlign w:val="center"/>
                </w:tcPr>
                <w:p>
                  <w:pPr>
                    <w:adjustRightInd w:val="0"/>
                    <w:snapToGrid w:val="0"/>
                    <w:ind w:left="-105" w:leftChars="-50" w:right="-105" w:rightChars="-50"/>
                    <w:jc w:val="center"/>
                    <w:rPr>
                      <w:color w:val="auto"/>
                      <w:sz w:val="18"/>
                      <w:szCs w:val="18"/>
                      <w:highlight w:val="none"/>
                    </w:rPr>
                  </w:pPr>
                  <w:r>
                    <w:rPr>
                      <w:color w:val="auto"/>
                      <w:sz w:val="18"/>
                      <w:szCs w:val="18"/>
                      <w:highlight w:val="none"/>
                    </w:rPr>
                    <w:t>浓度mg/m</w:t>
                  </w:r>
                  <w:r>
                    <w:rPr>
                      <w:color w:val="auto"/>
                      <w:sz w:val="18"/>
                      <w:szCs w:val="18"/>
                      <w:highlight w:val="none"/>
                      <w:vertAlign w:val="superscript"/>
                    </w:rPr>
                    <w:t>3</w:t>
                  </w:r>
                </w:p>
              </w:tc>
              <w:tc>
                <w:tcPr>
                  <w:tcW w:w="356" w:type="pct"/>
                  <w:vMerge w:val="continue"/>
                  <w:vAlign w:val="center"/>
                </w:tcPr>
                <w:p>
                  <w:pPr>
                    <w:adjustRightInd w:val="0"/>
                    <w:snapToGrid w:val="0"/>
                    <w:ind w:left="-105" w:leftChars="-50" w:right="-105" w:rightChars="-50"/>
                    <w:jc w:val="center"/>
                    <w:rPr>
                      <w:color w:val="auto"/>
                      <w:sz w:val="18"/>
                      <w:szCs w:val="18"/>
                      <w:highlight w:val="none"/>
                    </w:rPr>
                  </w:pPr>
                </w:p>
              </w:tc>
              <w:tc>
                <w:tcPr>
                  <w:tcW w:w="356" w:type="pct"/>
                  <w:vMerge w:val="continue"/>
                  <w:vAlign w:val="center"/>
                </w:tcPr>
                <w:p>
                  <w:pPr>
                    <w:adjustRightInd w:val="0"/>
                    <w:snapToGrid w:val="0"/>
                    <w:ind w:left="-105" w:leftChars="-50" w:right="-105" w:rightChars="-50"/>
                    <w:jc w:val="center"/>
                    <w:rPr>
                      <w:color w:val="auto"/>
                      <w:sz w:val="18"/>
                      <w:szCs w:val="18"/>
                      <w:highlight w:val="none"/>
                    </w:rPr>
                  </w:pPr>
                </w:p>
              </w:tc>
              <w:tc>
                <w:tcPr>
                  <w:tcW w:w="296" w:type="pct"/>
                  <w:vMerge w:val="continue"/>
                  <w:vAlign w:val="center"/>
                </w:tcPr>
                <w:p>
                  <w:pPr>
                    <w:adjustRightInd w:val="0"/>
                    <w:snapToGrid w:val="0"/>
                    <w:ind w:left="-105" w:leftChars="-50" w:right="-105" w:rightChars="-50"/>
                    <w:jc w:val="center"/>
                    <w:rPr>
                      <w:color w:val="auto"/>
                      <w:sz w:val="18"/>
                      <w:szCs w:val="18"/>
                      <w:highlight w:val="none"/>
                    </w:rPr>
                  </w:pPr>
                </w:p>
              </w:tc>
              <w:tc>
                <w:tcPr>
                  <w:tcW w:w="373" w:type="pct"/>
                  <w:vAlign w:val="center"/>
                </w:tcPr>
                <w:p>
                  <w:pPr>
                    <w:adjustRightInd w:val="0"/>
                    <w:snapToGrid w:val="0"/>
                    <w:ind w:left="-105" w:leftChars="-50" w:right="-105" w:rightChars="-50"/>
                    <w:jc w:val="center"/>
                    <w:rPr>
                      <w:color w:val="auto"/>
                      <w:sz w:val="18"/>
                      <w:szCs w:val="18"/>
                      <w:highlight w:val="none"/>
                    </w:rPr>
                  </w:pPr>
                  <w:r>
                    <w:rPr>
                      <w:color w:val="auto"/>
                      <w:sz w:val="18"/>
                      <w:szCs w:val="18"/>
                      <w:highlight w:val="none"/>
                    </w:rPr>
                    <w:t>速率kg/h</w:t>
                  </w:r>
                </w:p>
              </w:tc>
              <w:tc>
                <w:tcPr>
                  <w:tcW w:w="413" w:type="pct"/>
                  <w:vAlign w:val="center"/>
                </w:tcPr>
                <w:p>
                  <w:pPr>
                    <w:adjustRightInd w:val="0"/>
                    <w:snapToGrid w:val="0"/>
                    <w:ind w:left="-105" w:leftChars="-50" w:right="-105" w:rightChars="-50"/>
                    <w:jc w:val="center"/>
                    <w:rPr>
                      <w:color w:val="auto"/>
                      <w:sz w:val="18"/>
                      <w:szCs w:val="18"/>
                      <w:highlight w:val="none"/>
                    </w:rPr>
                  </w:pPr>
                  <w:r>
                    <w:rPr>
                      <w:color w:val="auto"/>
                      <w:sz w:val="18"/>
                      <w:szCs w:val="18"/>
                      <w:highlight w:val="none"/>
                    </w:rPr>
                    <w:t>排放量</w:t>
                  </w:r>
                  <w:r>
                    <w:rPr>
                      <w:rFonts w:hint="eastAsia"/>
                      <w:color w:val="auto"/>
                      <w:sz w:val="18"/>
                      <w:szCs w:val="18"/>
                      <w:highlight w:val="none"/>
                    </w:rPr>
                    <w:t>t</w:t>
                  </w:r>
                  <w:r>
                    <w:rPr>
                      <w:color w:val="auto"/>
                      <w:sz w:val="18"/>
                      <w:szCs w:val="18"/>
                      <w:highlight w:val="none"/>
                    </w:rPr>
                    <w:t>/a</w:t>
                  </w:r>
                </w:p>
              </w:tc>
              <w:tc>
                <w:tcPr>
                  <w:tcW w:w="391" w:type="pct"/>
                  <w:vAlign w:val="center"/>
                </w:tcPr>
                <w:p>
                  <w:pPr>
                    <w:adjustRightInd w:val="0"/>
                    <w:snapToGrid w:val="0"/>
                    <w:ind w:left="-105" w:leftChars="-50" w:right="-105" w:rightChars="-50"/>
                    <w:jc w:val="center"/>
                    <w:rPr>
                      <w:color w:val="auto"/>
                      <w:sz w:val="18"/>
                      <w:szCs w:val="18"/>
                      <w:highlight w:val="none"/>
                    </w:rPr>
                  </w:pPr>
                  <w:r>
                    <w:rPr>
                      <w:color w:val="auto"/>
                      <w:sz w:val="18"/>
                      <w:szCs w:val="18"/>
                      <w:highlight w:val="none"/>
                    </w:rPr>
                    <w:t>排放*</w:t>
                  </w:r>
                </w:p>
                <w:p>
                  <w:pPr>
                    <w:adjustRightInd w:val="0"/>
                    <w:snapToGrid w:val="0"/>
                    <w:ind w:left="-105" w:leftChars="-50" w:right="-105" w:rightChars="-50"/>
                    <w:jc w:val="center"/>
                    <w:rPr>
                      <w:color w:val="auto"/>
                      <w:sz w:val="18"/>
                      <w:szCs w:val="18"/>
                      <w:highlight w:val="none"/>
                    </w:rPr>
                  </w:pPr>
                  <w:r>
                    <w:rPr>
                      <w:color w:val="auto"/>
                      <w:sz w:val="18"/>
                      <w:szCs w:val="18"/>
                      <w:highlight w:val="none"/>
                    </w:rPr>
                    <w:t>浓度mg/m</w:t>
                  </w:r>
                  <w:r>
                    <w:rPr>
                      <w:color w:val="auto"/>
                      <w:sz w:val="18"/>
                      <w:szCs w:val="18"/>
                      <w:highlight w:val="none"/>
                      <w:vertAlign w:val="superscript"/>
                    </w:rPr>
                    <w:t>3</w:t>
                  </w:r>
                </w:p>
              </w:tc>
              <w:tc>
                <w:tcPr>
                  <w:tcW w:w="500" w:type="pct"/>
                  <w:vMerge w:val="continue"/>
                  <w:vAlign w:val="center"/>
                </w:tcPr>
                <w:p>
                  <w:pPr>
                    <w:adjustRightInd w:val="0"/>
                    <w:snapToGrid w:val="0"/>
                    <w:ind w:left="-105" w:leftChars="-50" w:right="-105" w:rightChars="-50"/>
                    <w:jc w:val="center"/>
                    <w:rPr>
                      <w:color w:val="auto"/>
                      <w:sz w:val="18"/>
                      <w:szCs w:val="18"/>
                      <w:highlight w:val="none"/>
                    </w:rPr>
                  </w:pPr>
                </w:p>
              </w:tc>
              <w:tc>
                <w:tcPr>
                  <w:tcW w:w="374" w:type="pct"/>
                  <w:vAlign w:val="center"/>
                </w:tcPr>
                <w:p>
                  <w:pPr>
                    <w:adjustRightInd w:val="0"/>
                    <w:snapToGrid w:val="0"/>
                    <w:ind w:left="-105" w:leftChars="-50" w:right="-105" w:rightChars="-50"/>
                    <w:jc w:val="center"/>
                    <w:rPr>
                      <w:color w:val="auto"/>
                      <w:sz w:val="18"/>
                      <w:szCs w:val="18"/>
                      <w:highlight w:val="none"/>
                    </w:rPr>
                  </w:pPr>
                  <w:r>
                    <w:rPr>
                      <w:color w:val="auto"/>
                      <w:sz w:val="18"/>
                      <w:szCs w:val="18"/>
                      <w:highlight w:val="none"/>
                    </w:rPr>
                    <w:t>浓度限值mg/m</w:t>
                  </w:r>
                  <w:r>
                    <w:rPr>
                      <w:color w:val="auto"/>
                      <w:sz w:val="18"/>
                      <w:szCs w:val="18"/>
                      <w:highlight w:val="none"/>
                      <w:vertAlign w:val="superscript"/>
                    </w:rPr>
                    <w:t>3</w:t>
                  </w:r>
                </w:p>
              </w:tc>
              <w:tc>
                <w:tcPr>
                  <w:tcW w:w="298" w:type="pct"/>
                  <w:vAlign w:val="center"/>
                </w:tcPr>
                <w:p>
                  <w:pPr>
                    <w:adjustRightInd w:val="0"/>
                    <w:snapToGrid w:val="0"/>
                    <w:ind w:left="-105" w:leftChars="-50" w:right="-105" w:rightChars="-50"/>
                    <w:jc w:val="center"/>
                    <w:rPr>
                      <w:color w:val="auto"/>
                      <w:sz w:val="18"/>
                      <w:szCs w:val="18"/>
                      <w:highlight w:val="none"/>
                    </w:rPr>
                  </w:pPr>
                  <w:r>
                    <w:rPr>
                      <w:color w:val="auto"/>
                      <w:sz w:val="18"/>
                      <w:szCs w:val="18"/>
                      <w:highlight w:val="none"/>
                    </w:rPr>
                    <w:t>速率限值kg/h</w:t>
                  </w:r>
                </w:p>
              </w:tc>
              <w:tc>
                <w:tcPr>
                  <w:tcW w:w="279" w:type="pct"/>
                  <w:vMerge w:val="continue"/>
                  <w:vAlign w:val="center"/>
                </w:tcPr>
                <w:p>
                  <w:pPr>
                    <w:adjustRightInd w:val="0"/>
                    <w:snapToGrid w:val="0"/>
                    <w:ind w:left="-105" w:leftChars="-50" w:right="-105" w:rightChars="-50"/>
                    <w:jc w:val="center"/>
                    <w:rPr>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346" w:type="pct"/>
                  <w:vAlign w:val="center"/>
                </w:tcPr>
                <w:p>
                  <w:pPr>
                    <w:pStyle w:val="105"/>
                    <w:ind w:left="-105" w:leftChars="-50" w:right="-105" w:rightChars="-50"/>
                    <w:rPr>
                      <w:color w:val="auto"/>
                      <w:sz w:val="18"/>
                      <w:szCs w:val="18"/>
                      <w:highlight w:val="none"/>
                    </w:rPr>
                  </w:pPr>
                  <w:r>
                    <w:rPr>
                      <w:color w:val="auto"/>
                      <w:sz w:val="18"/>
                      <w:szCs w:val="18"/>
                      <w:highlight w:val="none"/>
                    </w:rPr>
                    <w:t>非甲烷总烃</w:t>
                  </w:r>
                  <w:r>
                    <w:rPr>
                      <w:rFonts w:hint="eastAsia"/>
                      <w:color w:val="auto"/>
                      <w:sz w:val="18"/>
                      <w:szCs w:val="18"/>
                      <w:highlight w:val="none"/>
                    </w:rPr>
                    <w:t>b</w:t>
                  </w:r>
                </w:p>
              </w:tc>
              <w:tc>
                <w:tcPr>
                  <w:tcW w:w="381" w:type="pct"/>
                  <w:vAlign w:val="center"/>
                </w:tcPr>
                <w:p>
                  <w:pPr>
                    <w:adjustRightInd w:val="0"/>
                    <w:snapToGrid w:val="0"/>
                    <w:ind w:left="-105" w:leftChars="-50" w:right="-105" w:rightChars="-50"/>
                    <w:jc w:val="center"/>
                    <w:rPr>
                      <w:color w:val="auto"/>
                      <w:sz w:val="18"/>
                      <w:szCs w:val="18"/>
                      <w:highlight w:val="none"/>
                    </w:rPr>
                  </w:pPr>
                  <w:r>
                    <w:rPr>
                      <w:color w:val="auto"/>
                      <w:sz w:val="18"/>
                      <w:szCs w:val="18"/>
                      <w:highlight w:val="none"/>
                    </w:rPr>
                    <w:t>0.230</w:t>
                  </w:r>
                </w:p>
              </w:tc>
              <w:tc>
                <w:tcPr>
                  <w:tcW w:w="322" w:type="pct"/>
                  <w:vAlign w:val="center"/>
                </w:tcPr>
                <w:p>
                  <w:pPr>
                    <w:adjustRightInd w:val="0"/>
                    <w:snapToGrid w:val="0"/>
                    <w:ind w:left="-105" w:leftChars="-50" w:right="-105" w:rightChars="-50"/>
                    <w:jc w:val="center"/>
                    <w:rPr>
                      <w:color w:val="auto"/>
                      <w:sz w:val="18"/>
                      <w:szCs w:val="18"/>
                      <w:highlight w:val="none"/>
                    </w:rPr>
                  </w:pPr>
                  <w:r>
                    <w:rPr>
                      <w:rFonts w:hint="eastAsia"/>
                      <w:color w:val="auto"/>
                      <w:sz w:val="18"/>
                      <w:szCs w:val="18"/>
                      <w:highlight w:val="none"/>
                    </w:rPr>
                    <w:t>0.552</w:t>
                  </w:r>
                </w:p>
              </w:tc>
              <w:tc>
                <w:tcPr>
                  <w:tcW w:w="310" w:type="pct"/>
                  <w:vAlign w:val="center"/>
                </w:tcPr>
                <w:p>
                  <w:pPr>
                    <w:adjustRightInd w:val="0"/>
                    <w:snapToGrid w:val="0"/>
                    <w:ind w:left="-105" w:leftChars="-50" w:right="-105" w:rightChars="-50"/>
                    <w:jc w:val="center"/>
                    <w:rPr>
                      <w:color w:val="auto"/>
                      <w:sz w:val="18"/>
                      <w:szCs w:val="18"/>
                      <w:highlight w:val="none"/>
                    </w:rPr>
                  </w:pPr>
                  <w:r>
                    <w:rPr>
                      <w:rFonts w:hint="eastAsia"/>
                      <w:color w:val="auto"/>
                      <w:sz w:val="18"/>
                      <w:szCs w:val="18"/>
                      <w:highlight w:val="none"/>
                    </w:rPr>
                    <w:t>23</w:t>
                  </w:r>
                </w:p>
              </w:tc>
              <w:tc>
                <w:tcPr>
                  <w:tcW w:w="356" w:type="pct"/>
                  <w:vMerge w:val="restart"/>
                  <w:vAlign w:val="center"/>
                </w:tcPr>
                <w:p>
                  <w:pPr>
                    <w:adjustRightInd w:val="0"/>
                    <w:snapToGrid w:val="0"/>
                    <w:ind w:left="-105" w:leftChars="-50" w:right="-105" w:rightChars="-50"/>
                    <w:jc w:val="center"/>
                    <w:rPr>
                      <w:color w:val="auto"/>
                      <w:sz w:val="18"/>
                      <w:szCs w:val="18"/>
                      <w:highlight w:val="none"/>
                    </w:rPr>
                  </w:pPr>
                  <w:r>
                    <w:rPr>
                      <w:rFonts w:hint="eastAsia"/>
                      <w:color w:val="auto"/>
                      <w:sz w:val="18"/>
                      <w:szCs w:val="18"/>
                      <w:highlight w:val="none"/>
                    </w:rPr>
                    <w:t>2400</w:t>
                  </w:r>
                </w:p>
              </w:tc>
              <w:tc>
                <w:tcPr>
                  <w:tcW w:w="356" w:type="pct"/>
                  <w:vMerge w:val="restart"/>
                  <w:vAlign w:val="center"/>
                </w:tcPr>
                <w:p>
                  <w:pPr>
                    <w:adjustRightInd w:val="0"/>
                    <w:snapToGrid w:val="0"/>
                    <w:ind w:left="-105" w:leftChars="-50" w:right="-105" w:rightChars="-50"/>
                    <w:jc w:val="center"/>
                    <w:rPr>
                      <w:color w:val="auto"/>
                      <w:sz w:val="18"/>
                      <w:szCs w:val="18"/>
                      <w:highlight w:val="none"/>
                    </w:rPr>
                  </w:pPr>
                  <w:r>
                    <w:rPr>
                      <w:rFonts w:hint="eastAsia"/>
                      <w:color w:val="auto"/>
                      <w:sz w:val="18"/>
                      <w:szCs w:val="18"/>
                      <w:highlight w:val="none"/>
                    </w:rPr>
                    <w:t>废气收集+</w:t>
                  </w:r>
                  <w:r>
                    <w:rPr>
                      <w:color w:val="auto"/>
                      <w:sz w:val="18"/>
                      <w:szCs w:val="18"/>
                      <w:highlight w:val="none"/>
                    </w:rPr>
                    <w:t>碱液喷淋+除雾+</w:t>
                  </w:r>
                  <w:r>
                    <w:rPr>
                      <w:rFonts w:hint="eastAsia"/>
                      <w:color w:val="auto"/>
                      <w:sz w:val="18"/>
                      <w:szCs w:val="18"/>
                      <w:highlight w:val="none"/>
                    </w:rPr>
                    <w:t>一级</w:t>
                  </w:r>
                  <w:r>
                    <w:rPr>
                      <w:color w:val="auto"/>
                      <w:sz w:val="18"/>
                      <w:szCs w:val="18"/>
                      <w:highlight w:val="none"/>
                    </w:rPr>
                    <w:t>活性炭</w:t>
                  </w:r>
                </w:p>
              </w:tc>
              <w:tc>
                <w:tcPr>
                  <w:tcW w:w="296" w:type="pct"/>
                  <w:vMerge w:val="restart"/>
                  <w:vAlign w:val="center"/>
                </w:tcPr>
                <w:p>
                  <w:pPr>
                    <w:adjustRightInd w:val="0"/>
                    <w:snapToGrid w:val="0"/>
                    <w:ind w:left="-105" w:leftChars="-50" w:right="-105" w:rightChars="-50"/>
                    <w:jc w:val="center"/>
                    <w:rPr>
                      <w:color w:val="auto"/>
                      <w:sz w:val="18"/>
                      <w:szCs w:val="18"/>
                      <w:highlight w:val="none"/>
                    </w:rPr>
                  </w:pPr>
                  <w:r>
                    <w:rPr>
                      <w:color w:val="auto"/>
                      <w:sz w:val="18"/>
                      <w:szCs w:val="18"/>
                      <w:highlight w:val="none"/>
                    </w:rPr>
                    <w:t>75</w:t>
                  </w:r>
                </w:p>
              </w:tc>
              <w:tc>
                <w:tcPr>
                  <w:tcW w:w="373" w:type="pct"/>
                  <w:vMerge w:val="restart"/>
                  <w:vAlign w:val="center"/>
                </w:tcPr>
                <w:p>
                  <w:pPr>
                    <w:adjustRightInd w:val="0"/>
                    <w:snapToGrid w:val="0"/>
                    <w:ind w:left="-105" w:leftChars="-50" w:right="-105" w:rightChars="-50"/>
                    <w:jc w:val="center"/>
                    <w:rPr>
                      <w:color w:val="auto"/>
                      <w:sz w:val="18"/>
                      <w:szCs w:val="18"/>
                      <w:highlight w:val="none"/>
                    </w:rPr>
                  </w:pPr>
                  <w:r>
                    <w:rPr>
                      <w:color w:val="auto"/>
                      <w:sz w:val="18"/>
                      <w:szCs w:val="18"/>
                      <w:highlight w:val="none"/>
                    </w:rPr>
                    <w:t>0.05</w:t>
                  </w:r>
                  <w:r>
                    <w:rPr>
                      <w:rFonts w:hint="eastAsia"/>
                      <w:color w:val="auto"/>
                      <w:sz w:val="18"/>
                      <w:szCs w:val="18"/>
                      <w:highlight w:val="none"/>
                    </w:rPr>
                    <w:t>8</w:t>
                  </w:r>
                </w:p>
              </w:tc>
              <w:tc>
                <w:tcPr>
                  <w:tcW w:w="413" w:type="pct"/>
                  <w:vMerge w:val="restart"/>
                  <w:vAlign w:val="center"/>
                </w:tcPr>
                <w:p>
                  <w:pPr>
                    <w:jc w:val="right"/>
                    <w:rPr>
                      <w:color w:val="auto"/>
                      <w:sz w:val="18"/>
                      <w:szCs w:val="18"/>
                      <w:highlight w:val="none"/>
                    </w:rPr>
                  </w:pPr>
                  <w:r>
                    <w:rPr>
                      <w:rFonts w:hint="eastAsia"/>
                      <w:color w:val="auto"/>
                      <w:sz w:val="18"/>
                      <w:szCs w:val="18"/>
                      <w:highlight w:val="none"/>
                    </w:rPr>
                    <w:t>0.139</w:t>
                  </w:r>
                </w:p>
              </w:tc>
              <w:tc>
                <w:tcPr>
                  <w:tcW w:w="391" w:type="pct"/>
                  <w:vMerge w:val="restart"/>
                  <w:vAlign w:val="center"/>
                </w:tcPr>
                <w:p>
                  <w:pPr>
                    <w:adjustRightInd w:val="0"/>
                    <w:snapToGrid w:val="0"/>
                    <w:ind w:left="-105" w:leftChars="-50" w:right="-105" w:rightChars="-50"/>
                    <w:jc w:val="center"/>
                    <w:rPr>
                      <w:color w:val="auto"/>
                      <w:sz w:val="18"/>
                      <w:szCs w:val="18"/>
                      <w:highlight w:val="none"/>
                    </w:rPr>
                  </w:pPr>
                  <w:r>
                    <w:rPr>
                      <w:rFonts w:hint="eastAsia"/>
                      <w:color w:val="auto"/>
                      <w:sz w:val="18"/>
                      <w:szCs w:val="18"/>
                      <w:highlight w:val="none"/>
                    </w:rPr>
                    <w:t>5.8</w:t>
                  </w:r>
                </w:p>
              </w:tc>
              <w:tc>
                <w:tcPr>
                  <w:tcW w:w="500" w:type="pct"/>
                  <w:vMerge w:val="restart"/>
                  <w:vAlign w:val="center"/>
                </w:tcPr>
                <w:p>
                  <w:pPr>
                    <w:adjustRightInd w:val="0"/>
                    <w:snapToGrid w:val="0"/>
                    <w:ind w:left="-105" w:leftChars="-50" w:right="-105" w:rightChars="-50"/>
                    <w:jc w:val="center"/>
                    <w:rPr>
                      <w:color w:val="auto"/>
                      <w:sz w:val="18"/>
                      <w:szCs w:val="18"/>
                      <w:highlight w:val="none"/>
                    </w:rPr>
                  </w:pPr>
                  <w:r>
                    <w:rPr>
                      <w:color w:val="auto"/>
                      <w:sz w:val="18"/>
                      <w:szCs w:val="18"/>
                      <w:highlight w:val="none"/>
                    </w:rPr>
                    <w:t>8000m</w:t>
                  </w:r>
                  <w:r>
                    <w:rPr>
                      <w:color w:val="auto"/>
                      <w:sz w:val="18"/>
                      <w:szCs w:val="18"/>
                      <w:highlight w:val="none"/>
                      <w:vertAlign w:val="superscript"/>
                    </w:rPr>
                    <w:t>3</w:t>
                  </w:r>
                  <w:r>
                    <w:rPr>
                      <w:color w:val="auto"/>
                      <w:sz w:val="18"/>
                      <w:szCs w:val="18"/>
                      <w:highlight w:val="none"/>
                    </w:rPr>
                    <w:t>/h</w:t>
                  </w:r>
                  <w:r>
                    <w:rPr>
                      <w:rFonts w:hint="eastAsia"/>
                      <w:color w:val="auto"/>
                      <w:sz w:val="18"/>
                      <w:szCs w:val="18"/>
                      <w:highlight w:val="none"/>
                    </w:rPr>
                    <w:t>+</w:t>
                  </w:r>
                </w:p>
                <w:p>
                  <w:pPr>
                    <w:adjustRightInd w:val="0"/>
                    <w:snapToGrid w:val="0"/>
                    <w:ind w:left="-105" w:leftChars="-50" w:right="-105" w:rightChars="-50"/>
                    <w:jc w:val="center"/>
                    <w:rPr>
                      <w:color w:val="auto"/>
                      <w:sz w:val="18"/>
                      <w:szCs w:val="18"/>
                      <w:highlight w:val="none"/>
                    </w:rPr>
                  </w:pPr>
                  <w:r>
                    <w:rPr>
                      <w:rFonts w:hint="eastAsia"/>
                      <w:color w:val="auto"/>
                      <w:sz w:val="18"/>
                      <w:szCs w:val="18"/>
                      <w:highlight w:val="none"/>
                    </w:rPr>
                    <w:t>2000</w:t>
                  </w:r>
                  <w:r>
                    <w:rPr>
                      <w:color w:val="auto"/>
                      <w:sz w:val="18"/>
                      <w:szCs w:val="18"/>
                      <w:highlight w:val="none"/>
                    </w:rPr>
                    <w:t>m</w:t>
                  </w:r>
                  <w:r>
                    <w:rPr>
                      <w:color w:val="auto"/>
                      <w:sz w:val="18"/>
                      <w:szCs w:val="18"/>
                      <w:highlight w:val="none"/>
                      <w:vertAlign w:val="superscript"/>
                    </w:rPr>
                    <w:t>3</w:t>
                  </w:r>
                  <w:r>
                    <w:rPr>
                      <w:color w:val="auto"/>
                      <w:sz w:val="18"/>
                      <w:szCs w:val="18"/>
                      <w:highlight w:val="none"/>
                    </w:rPr>
                    <w:t>/h</w:t>
                  </w:r>
                </w:p>
              </w:tc>
              <w:tc>
                <w:tcPr>
                  <w:tcW w:w="374" w:type="pct"/>
                  <w:vMerge w:val="restart"/>
                  <w:vAlign w:val="center"/>
                </w:tcPr>
                <w:p>
                  <w:pPr>
                    <w:adjustRightInd w:val="0"/>
                    <w:snapToGrid w:val="0"/>
                    <w:ind w:left="-105" w:leftChars="-50" w:right="-105" w:rightChars="-50"/>
                    <w:jc w:val="center"/>
                    <w:rPr>
                      <w:color w:val="auto"/>
                      <w:sz w:val="18"/>
                      <w:szCs w:val="18"/>
                      <w:highlight w:val="none"/>
                    </w:rPr>
                  </w:pPr>
                  <w:r>
                    <w:rPr>
                      <w:color w:val="auto"/>
                      <w:sz w:val="18"/>
                      <w:szCs w:val="18"/>
                      <w:highlight w:val="none"/>
                    </w:rPr>
                    <w:t>60</w:t>
                  </w:r>
                </w:p>
              </w:tc>
              <w:tc>
                <w:tcPr>
                  <w:tcW w:w="298" w:type="pct"/>
                  <w:vMerge w:val="restart"/>
                  <w:vAlign w:val="center"/>
                </w:tcPr>
                <w:p>
                  <w:pPr>
                    <w:adjustRightInd w:val="0"/>
                    <w:snapToGrid w:val="0"/>
                    <w:ind w:left="-105" w:leftChars="-50" w:right="-105" w:rightChars="-50"/>
                    <w:jc w:val="center"/>
                    <w:rPr>
                      <w:color w:val="auto"/>
                      <w:sz w:val="18"/>
                      <w:szCs w:val="18"/>
                      <w:highlight w:val="none"/>
                    </w:rPr>
                  </w:pPr>
                  <w:r>
                    <w:rPr>
                      <w:color w:val="auto"/>
                      <w:sz w:val="18"/>
                      <w:szCs w:val="18"/>
                      <w:highlight w:val="none"/>
                    </w:rPr>
                    <w:t>3</w:t>
                  </w:r>
                </w:p>
              </w:tc>
              <w:tc>
                <w:tcPr>
                  <w:tcW w:w="279" w:type="pct"/>
                  <w:vMerge w:val="restart"/>
                  <w:vAlign w:val="center"/>
                </w:tcPr>
                <w:p>
                  <w:pPr>
                    <w:adjustRightInd w:val="0"/>
                    <w:snapToGrid w:val="0"/>
                    <w:ind w:left="-105" w:leftChars="-50" w:right="-105" w:rightChars="-50"/>
                    <w:jc w:val="center"/>
                    <w:rPr>
                      <w:color w:val="auto"/>
                      <w:sz w:val="18"/>
                      <w:szCs w:val="18"/>
                      <w:highlight w:val="none"/>
                    </w:rPr>
                  </w:pPr>
                  <w:r>
                    <w:rPr>
                      <w:color w:val="auto"/>
                      <w:sz w:val="18"/>
                      <w:szCs w:val="18"/>
                      <w:highlight w:val="none"/>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46" w:type="pct"/>
                  <w:vAlign w:val="center"/>
                </w:tcPr>
                <w:p>
                  <w:pPr>
                    <w:pStyle w:val="105"/>
                    <w:ind w:left="-105" w:leftChars="-50" w:right="-105" w:rightChars="-50"/>
                    <w:rPr>
                      <w:color w:val="auto"/>
                      <w:sz w:val="18"/>
                      <w:szCs w:val="18"/>
                      <w:highlight w:val="none"/>
                    </w:rPr>
                  </w:pPr>
                  <w:r>
                    <w:rPr>
                      <w:color w:val="auto"/>
                      <w:sz w:val="18"/>
                      <w:szCs w:val="18"/>
                      <w:highlight w:val="none"/>
                    </w:rPr>
                    <w:t>非甲烷总烃</w:t>
                  </w:r>
                  <w:r>
                    <w:rPr>
                      <w:rFonts w:hint="eastAsia"/>
                      <w:color w:val="auto"/>
                      <w:sz w:val="18"/>
                      <w:szCs w:val="18"/>
                      <w:highlight w:val="none"/>
                    </w:rPr>
                    <w:t>x</w:t>
                  </w:r>
                </w:p>
              </w:tc>
              <w:tc>
                <w:tcPr>
                  <w:tcW w:w="381" w:type="pct"/>
                  <w:vAlign w:val="center"/>
                </w:tcPr>
                <w:p>
                  <w:pPr>
                    <w:adjustRightInd w:val="0"/>
                    <w:snapToGrid w:val="0"/>
                    <w:ind w:left="-105" w:leftChars="-50" w:right="-105" w:rightChars="-50"/>
                    <w:jc w:val="center"/>
                    <w:rPr>
                      <w:color w:val="auto"/>
                      <w:sz w:val="18"/>
                      <w:szCs w:val="18"/>
                      <w:highlight w:val="none"/>
                    </w:rPr>
                  </w:pPr>
                  <w:r>
                    <w:rPr>
                      <w:rFonts w:hint="eastAsia"/>
                      <w:color w:val="auto"/>
                      <w:sz w:val="18"/>
                      <w:szCs w:val="18"/>
                      <w:highlight w:val="none"/>
                    </w:rPr>
                    <w:t>0.001</w:t>
                  </w:r>
                </w:p>
              </w:tc>
              <w:tc>
                <w:tcPr>
                  <w:tcW w:w="322" w:type="pct"/>
                  <w:vAlign w:val="center"/>
                </w:tcPr>
                <w:p>
                  <w:pPr>
                    <w:adjustRightInd w:val="0"/>
                    <w:snapToGrid w:val="0"/>
                    <w:ind w:left="-105" w:leftChars="-50" w:right="-105" w:rightChars="-50"/>
                    <w:jc w:val="center"/>
                    <w:rPr>
                      <w:color w:val="auto"/>
                      <w:sz w:val="18"/>
                      <w:szCs w:val="18"/>
                      <w:highlight w:val="none"/>
                    </w:rPr>
                  </w:pPr>
                  <w:r>
                    <w:rPr>
                      <w:rFonts w:hint="eastAsia"/>
                      <w:color w:val="auto"/>
                      <w:sz w:val="18"/>
                      <w:szCs w:val="18"/>
                      <w:highlight w:val="none"/>
                    </w:rPr>
                    <w:t>0.0024</w:t>
                  </w:r>
                </w:p>
              </w:tc>
              <w:tc>
                <w:tcPr>
                  <w:tcW w:w="310" w:type="pct"/>
                  <w:vAlign w:val="center"/>
                </w:tcPr>
                <w:p>
                  <w:pPr>
                    <w:adjustRightInd w:val="0"/>
                    <w:snapToGrid w:val="0"/>
                    <w:ind w:left="-105" w:leftChars="-50" w:right="-105" w:rightChars="-50"/>
                    <w:jc w:val="center"/>
                    <w:rPr>
                      <w:color w:val="auto"/>
                      <w:sz w:val="18"/>
                      <w:szCs w:val="18"/>
                      <w:highlight w:val="none"/>
                    </w:rPr>
                  </w:pPr>
                  <w:r>
                    <w:rPr>
                      <w:rFonts w:hint="eastAsia"/>
                      <w:color w:val="auto"/>
                      <w:sz w:val="18"/>
                      <w:szCs w:val="18"/>
                      <w:highlight w:val="none"/>
                    </w:rPr>
                    <w:t>0.1</w:t>
                  </w:r>
                </w:p>
              </w:tc>
              <w:tc>
                <w:tcPr>
                  <w:tcW w:w="356" w:type="pct"/>
                  <w:vMerge w:val="continue"/>
                  <w:vAlign w:val="center"/>
                </w:tcPr>
                <w:p>
                  <w:pPr>
                    <w:adjustRightInd w:val="0"/>
                    <w:snapToGrid w:val="0"/>
                    <w:ind w:left="-105" w:leftChars="-50" w:right="-105" w:rightChars="-50"/>
                    <w:jc w:val="center"/>
                    <w:rPr>
                      <w:color w:val="auto"/>
                      <w:sz w:val="18"/>
                      <w:szCs w:val="18"/>
                      <w:highlight w:val="none"/>
                    </w:rPr>
                  </w:pPr>
                </w:p>
              </w:tc>
              <w:tc>
                <w:tcPr>
                  <w:tcW w:w="356" w:type="pct"/>
                  <w:vMerge w:val="continue"/>
                  <w:vAlign w:val="center"/>
                </w:tcPr>
                <w:p>
                  <w:pPr>
                    <w:adjustRightInd w:val="0"/>
                    <w:snapToGrid w:val="0"/>
                    <w:ind w:left="-105" w:leftChars="-50" w:right="-105" w:rightChars="-50"/>
                    <w:jc w:val="center"/>
                    <w:rPr>
                      <w:color w:val="auto"/>
                      <w:sz w:val="18"/>
                      <w:szCs w:val="18"/>
                      <w:highlight w:val="none"/>
                    </w:rPr>
                  </w:pPr>
                </w:p>
              </w:tc>
              <w:tc>
                <w:tcPr>
                  <w:tcW w:w="296" w:type="pct"/>
                  <w:vMerge w:val="continue"/>
                  <w:vAlign w:val="center"/>
                </w:tcPr>
                <w:p>
                  <w:pPr>
                    <w:adjustRightInd w:val="0"/>
                    <w:snapToGrid w:val="0"/>
                    <w:ind w:left="-105" w:leftChars="-50" w:right="-105" w:rightChars="-50"/>
                    <w:jc w:val="center"/>
                    <w:rPr>
                      <w:color w:val="auto"/>
                      <w:sz w:val="18"/>
                      <w:szCs w:val="18"/>
                      <w:highlight w:val="none"/>
                    </w:rPr>
                  </w:pPr>
                </w:p>
              </w:tc>
              <w:tc>
                <w:tcPr>
                  <w:tcW w:w="373" w:type="pct"/>
                  <w:vMerge w:val="continue"/>
                  <w:vAlign w:val="center"/>
                </w:tcPr>
                <w:p>
                  <w:pPr>
                    <w:adjustRightInd w:val="0"/>
                    <w:snapToGrid w:val="0"/>
                    <w:ind w:left="-105" w:leftChars="-50" w:right="-105" w:rightChars="-50"/>
                    <w:jc w:val="center"/>
                    <w:rPr>
                      <w:color w:val="auto"/>
                      <w:sz w:val="18"/>
                      <w:szCs w:val="18"/>
                      <w:highlight w:val="none"/>
                    </w:rPr>
                  </w:pPr>
                </w:p>
              </w:tc>
              <w:tc>
                <w:tcPr>
                  <w:tcW w:w="413" w:type="pct"/>
                  <w:vMerge w:val="continue"/>
                  <w:vAlign w:val="center"/>
                </w:tcPr>
                <w:p>
                  <w:pPr>
                    <w:jc w:val="right"/>
                    <w:rPr>
                      <w:color w:val="auto"/>
                      <w:sz w:val="18"/>
                      <w:szCs w:val="18"/>
                      <w:highlight w:val="none"/>
                    </w:rPr>
                  </w:pPr>
                </w:p>
              </w:tc>
              <w:tc>
                <w:tcPr>
                  <w:tcW w:w="391" w:type="pct"/>
                  <w:vMerge w:val="continue"/>
                  <w:vAlign w:val="center"/>
                </w:tcPr>
                <w:p>
                  <w:pPr>
                    <w:adjustRightInd w:val="0"/>
                    <w:snapToGrid w:val="0"/>
                    <w:ind w:left="-105" w:leftChars="-50" w:right="-105" w:rightChars="-50"/>
                    <w:jc w:val="center"/>
                    <w:rPr>
                      <w:color w:val="auto"/>
                      <w:sz w:val="18"/>
                      <w:szCs w:val="18"/>
                      <w:highlight w:val="none"/>
                    </w:rPr>
                  </w:pPr>
                </w:p>
              </w:tc>
              <w:tc>
                <w:tcPr>
                  <w:tcW w:w="500" w:type="pct"/>
                  <w:vMerge w:val="continue"/>
                  <w:vAlign w:val="center"/>
                </w:tcPr>
                <w:p>
                  <w:pPr>
                    <w:adjustRightInd w:val="0"/>
                    <w:snapToGrid w:val="0"/>
                    <w:ind w:left="-105" w:leftChars="-50" w:right="-105" w:rightChars="-50"/>
                    <w:jc w:val="center"/>
                    <w:rPr>
                      <w:color w:val="auto"/>
                      <w:sz w:val="18"/>
                      <w:szCs w:val="18"/>
                      <w:highlight w:val="none"/>
                    </w:rPr>
                  </w:pPr>
                </w:p>
              </w:tc>
              <w:tc>
                <w:tcPr>
                  <w:tcW w:w="374" w:type="pct"/>
                  <w:vMerge w:val="continue"/>
                  <w:vAlign w:val="center"/>
                </w:tcPr>
                <w:p>
                  <w:pPr>
                    <w:adjustRightInd w:val="0"/>
                    <w:snapToGrid w:val="0"/>
                    <w:ind w:left="-105" w:leftChars="-50" w:right="-105" w:rightChars="-50"/>
                    <w:jc w:val="center"/>
                    <w:rPr>
                      <w:color w:val="auto"/>
                      <w:sz w:val="18"/>
                      <w:szCs w:val="18"/>
                      <w:highlight w:val="none"/>
                    </w:rPr>
                  </w:pPr>
                </w:p>
              </w:tc>
              <w:tc>
                <w:tcPr>
                  <w:tcW w:w="298" w:type="pct"/>
                  <w:vMerge w:val="continue"/>
                  <w:vAlign w:val="center"/>
                </w:tcPr>
                <w:p>
                  <w:pPr>
                    <w:adjustRightInd w:val="0"/>
                    <w:snapToGrid w:val="0"/>
                    <w:ind w:left="-105" w:leftChars="-50" w:right="-105" w:rightChars="-50"/>
                    <w:jc w:val="center"/>
                    <w:rPr>
                      <w:color w:val="auto"/>
                      <w:sz w:val="18"/>
                      <w:szCs w:val="18"/>
                      <w:highlight w:val="none"/>
                    </w:rPr>
                  </w:pPr>
                </w:p>
              </w:tc>
              <w:tc>
                <w:tcPr>
                  <w:tcW w:w="279" w:type="pct"/>
                  <w:vMerge w:val="continue"/>
                  <w:vAlign w:val="center"/>
                </w:tcPr>
                <w:p>
                  <w:pPr>
                    <w:adjustRightInd w:val="0"/>
                    <w:snapToGrid w:val="0"/>
                    <w:ind w:left="-105" w:leftChars="-50" w:right="-105" w:rightChars="-50"/>
                    <w:jc w:val="center"/>
                    <w:rPr>
                      <w:color w:val="auto"/>
                      <w:sz w:val="18"/>
                      <w:szCs w:val="18"/>
                      <w:highlight w:val="none"/>
                    </w:rPr>
                  </w:pPr>
                </w:p>
              </w:tc>
            </w:tr>
          </w:tbl>
          <w:p>
            <w:pPr>
              <w:adjustRightInd w:val="0"/>
              <w:snapToGrid w:val="0"/>
              <w:jc w:val="left"/>
              <w:rPr>
                <w:rStyle w:val="43"/>
                <w:rFonts w:hint="default" w:eastAsia="宋体"/>
                <w:color w:val="auto"/>
                <w:kern w:val="0"/>
                <w:szCs w:val="20"/>
                <w:highlight w:val="none"/>
                <w:lang w:val="en-US" w:eastAsia="zh-CN"/>
              </w:rPr>
            </w:pPr>
            <w:r>
              <w:rPr>
                <w:rStyle w:val="43"/>
                <w:rFonts w:hint="eastAsia"/>
                <w:color w:val="auto"/>
                <w:kern w:val="0"/>
                <w:szCs w:val="20"/>
                <w:highlight w:val="none"/>
              </w:rPr>
              <w:t>注：b代表本项，X代表现有项目。</w:t>
            </w:r>
            <w:r>
              <w:rPr>
                <w:rStyle w:val="43"/>
                <w:rFonts w:hint="eastAsia"/>
                <w:color w:val="auto"/>
                <w:kern w:val="0"/>
                <w:szCs w:val="20"/>
                <w:highlight w:val="none"/>
                <w:lang w:eastAsia="zh-CN"/>
              </w:rPr>
              <w:t>非甲烷总烃“以新带老”</w:t>
            </w:r>
            <w:r>
              <w:rPr>
                <w:rStyle w:val="43"/>
                <w:rFonts w:hint="eastAsia"/>
                <w:color w:val="auto"/>
                <w:kern w:val="0"/>
                <w:szCs w:val="20"/>
                <w:highlight w:val="none"/>
                <w:lang w:val="en-US" w:eastAsia="zh-CN"/>
              </w:rPr>
              <w:t>0.002</w:t>
            </w:r>
            <w:r>
              <w:rPr>
                <w:rStyle w:val="43"/>
                <w:rFonts w:hint="default" w:ascii="Times New Roman" w:hAnsi="Times New Roman" w:cs="Times New Roman"/>
                <w:color w:val="auto"/>
                <w:kern w:val="0"/>
                <w:szCs w:val="20"/>
                <w:highlight w:val="none"/>
                <w:lang w:val="en-US" w:eastAsia="zh-CN"/>
              </w:rPr>
              <w:t>t/a</w:t>
            </w:r>
            <w:r>
              <w:rPr>
                <w:rStyle w:val="43"/>
                <w:rFonts w:hint="eastAsia" w:cs="Times New Roman"/>
                <w:color w:val="auto"/>
                <w:kern w:val="0"/>
                <w:szCs w:val="20"/>
                <w:highlight w:val="none"/>
                <w:lang w:val="en-US" w:eastAsia="zh-CN"/>
              </w:rPr>
              <w:t>。</w:t>
            </w:r>
          </w:p>
          <w:p>
            <w:pPr>
              <w:adjustRightInd w:val="0"/>
              <w:snapToGrid w:val="0"/>
              <w:spacing w:beforeLines="50" w:line="360" w:lineRule="auto"/>
              <w:jc w:val="center"/>
              <w:rPr>
                <w:b/>
                <w:color w:val="auto"/>
                <w:kern w:val="21"/>
                <w:sz w:val="24"/>
                <w:highlight w:val="none"/>
              </w:rPr>
            </w:pPr>
            <w:r>
              <w:rPr>
                <w:b/>
                <w:color w:val="auto"/>
                <w:kern w:val="21"/>
                <w:sz w:val="24"/>
                <w:highlight w:val="none"/>
              </w:rPr>
              <w:t>表4-</w:t>
            </w:r>
            <w:r>
              <w:rPr>
                <w:rFonts w:hint="eastAsia"/>
                <w:b/>
                <w:color w:val="auto"/>
                <w:kern w:val="21"/>
                <w:sz w:val="24"/>
                <w:highlight w:val="none"/>
              </w:rPr>
              <w:t>4</w:t>
            </w:r>
            <w:r>
              <w:rPr>
                <w:b/>
                <w:color w:val="auto"/>
                <w:kern w:val="21"/>
                <w:sz w:val="24"/>
                <w:highlight w:val="none"/>
              </w:rPr>
              <w:t xml:space="preserve">  本项目无组织废气排放情况</w:t>
            </w:r>
          </w:p>
          <w:tbl>
            <w:tblPr>
              <w:tblStyle w:val="3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5"/>
              <w:gridCol w:w="1304"/>
              <w:gridCol w:w="1012"/>
              <w:gridCol w:w="1154"/>
              <w:gridCol w:w="1149"/>
              <w:gridCol w:w="810"/>
              <w:gridCol w:w="874"/>
              <w:gridCol w:w="8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895" w:type="pct"/>
                  <w:vMerge w:val="restart"/>
                  <w:vAlign w:val="center"/>
                </w:tcPr>
                <w:p>
                  <w:pPr>
                    <w:jc w:val="center"/>
                    <w:rPr>
                      <w:color w:val="auto"/>
                      <w:highlight w:val="none"/>
                    </w:rPr>
                  </w:pPr>
                  <w:r>
                    <w:rPr>
                      <w:color w:val="auto"/>
                      <w:highlight w:val="none"/>
                    </w:rPr>
                    <w:t>污染源</w:t>
                  </w:r>
                </w:p>
              </w:tc>
              <w:tc>
                <w:tcPr>
                  <w:tcW w:w="750" w:type="pct"/>
                  <w:vMerge w:val="restart"/>
                  <w:vAlign w:val="center"/>
                </w:tcPr>
                <w:p>
                  <w:pPr>
                    <w:jc w:val="center"/>
                    <w:rPr>
                      <w:color w:val="auto"/>
                      <w:highlight w:val="none"/>
                    </w:rPr>
                  </w:pPr>
                  <w:r>
                    <w:rPr>
                      <w:color w:val="auto"/>
                      <w:highlight w:val="none"/>
                    </w:rPr>
                    <w:t>污染物名称</w:t>
                  </w:r>
                </w:p>
              </w:tc>
              <w:tc>
                <w:tcPr>
                  <w:tcW w:w="582" w:type="pct"/>
                  <w:vMerge w:val="restart"/>
                  <w:vAlign w:val="center"/>
                </w:tcPr>
                <w:p>
                  <w:pPr>
                    <w:jc w:val="center"/>
                    <w:rPr>
                      <w:color w:val="auto"/>
                      <w:highlight w:val="none"/>
                    </w:rPr>
                  </w:pPr>
                  <w:r>
                    <w:rPr>
                      <w:color w:val="auto"/>
                      <w:highlight w:val="none"/>
                    </w:rPr>
                    <w:t>排放量（t/a）</w:t>
                  </w:r>
                </w:p>
              </w:tc>
              <w:tc>
                <w:tcPr>
                  <w:tcW w:w="664" w:type="pct"/>
                  <w:vMerge w:val="restart"/>
                  <w:vAlign w:val="center"/>
                </w:tcPr>
                <w:p>
                  <w:pPr>
                    <w:jc w:val="center"/>
                    <w:rPr>
                      <w:color w:val="auto"/>
                      <w:highlight w:val="none"/>
                    </w:rPr>
                  </w:pPr>
                  <w:r>
                    <w:rPr>
                      <w:color w:val="auto"/>
                      <w:highlight w:val="none"/>
                    </w:rPr>
                    <w:t>排放速率（kg/h）</w:t>
                  </w:r>
                </w:p>
              </w:tc>
              <w:tc>
                <w:tcPr>
                  <w:tcW w:w="661" w:type="pct"/>
                  <w:vMerge w:val="restart"/>
                  <w:vAlign w:val="center"/>
                </w:tcPr>
                <w:p>
                  <w:pPr>
                    <w:widowControl/>
                    <w:jc w:val="center"/>
                    <w:rPr>
                      <w:color w:val="auto"/>
                      <w:highlight w:val="none"/>
                    </w:rPr>
                  </w:pPr>
                  <w:r>
                    <w:rPr>
                      <w:color w:val="auto"/>
                      <w:highlight w:val="none"/>
                    </w:rPr>
                    <w:t>排放时间</w:t>
                  </w:r>
                </w:p>
                <w:p>
                  <w:pPr>
                    <w:jc w:val="center"/>
                    <w:rPr>
                      <w:color w:val="auto"/>
                      <w:highlight w:val="none"/>
                    </w:rPr>
                  </w:pPr>
                  <w:r>
                    <w:rPr>
                      <w:color w:val="auto"/>
                      <w:highlight w:val="none"/>
                    </w:rPr>
                    <w:t>(h/a)</w:t>
                  </w:r>
                </w:p>
              </w:tc>
              <w:tc>
                <w:tcPr>
                  <w:tcW w:w="1447" w:type="pct"/>
                  <w:gridSpan w:val="3"/>
                  <w:vAlign w:val="center"/>
                </w:tcPr>
                <w:p>
                  <w:pPr>
                    <w:jc w:val="center"/>
                    <w:rPr>
                      <w:color w:val="auto"/>
                      <w:highlight w:val="none"/>
                    </w:rPr>
                  </w:pPr>
                  <w:r>
                    <w:rPr>
                      <w:color w:val="auto"/>
                      <w:highlight w:val="none"/>
                    </w:rPr>
                    <w:t>污染源参数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895" w:type="pct"/>
                  <w:vMerge w:val="continue"/>
                  <w:vAlign w:val="center"/>
                </w:tcPr>
                <w:p>
                  <w:pPr>
                    <w:jc w:val="center"/>
                    <w:rPr>
                      <w:color w:val="auto"/>
                      <w:highlight w:val="none"/>
                    </w:rPr>
                  </w:pPr>
                </w:p>
              </w:tc>
              <w:tc>
                <w:tcPr>
                  <w:tcW w:w="750" w:type="pct"/>
                  <w:vMerge w:val="continue"/>
                  <w:vAlign w:val="center"/>
                </w:tcPr>
                <w:p>
                  <w:pPr>
                    <w:jc w:val="center"/>
                    <w:rPr>
                      <w:color w:val="auto"/>
                      <w:highlight w:val="none"/>
                    </w:rPr>
                  </w:pPr>
                </w:p>
              </w:tc>
              <w:tc>
                <w:tcPr>
                  <w:tcW w:w="582" w:type="pct"/>
                  <w:vMerge w:val="continue"/>
                  <w:vAlign w:val="center"/>
                </w:tcPr>
                <w:p>
                  <w:pPr>
                    <w:jc w:val="center"/>
                    <w:rPr>
                      <w:color w:val="auto"/>
                      <w:highlight w:val="none"/>
                    </w:rPr>
                  </w:pPr>
                </w:p>
              </w:tc>
              <w:tc>
                <w:tcPr>
                  <w:tcW w:w="664" w:type="pct"/>
                  <w:vMerge w:val="continue"/>
                </w:tcPr>
                <w:p>
                  <w:pPr>
                    <w:jc w:val="center"/>
                    <w:rPr>
                      <w:color w:val="auto"/>
                      <w:highlight w:val="none"/>
                    </w:rPr>
                  </w:pPr>
                </w:p>
              </w:tc>
              <w:tc>
                <w:tcPr>
                  <w:tcW w:w="661" w:type="pct"/>
                  <w:vMerge w:val="continue"/>
                </w:tcPr>
                <w:p>
                  <w:pPr>
                    <w:jc w:val="center"/>
                    <w:rPr>
                      <w:color w:val="auto"/>
                      <w:highlight w:val="none"/>
                    </w:rPr>
                  </w:pPr>
                </w:p>
              </w:tc>
              <w:tc>
                <w:tcPr>
                  <w:tcW w:w="466" w:type="pct"/>
                  <w:vAlign w:val="center"/>
                </w:tcPr>
                <w:p>
                  <w:pPr>
                    <w:jc w:val="center"/>
                    <w:rPr>
                      <w:color w:val="auto"/>
                      <w:highlight w:val="none"/>
                    </w:rPr>
                  </w:pPr>
                  <w:r>
                    <w:rPr>
                      <w:color w:val="auto"/>
                      <w:highlight w:val="none"/>
                    </w:rPr>
                    <w:t>长度(m)</w:t>
                  </w:r>
                </w:p>
              </w:tc>
              <w:tc>
                <w:tcPr>
                  <w:tcW w:w="503" w:type="pct"/>
                  <w:vAlign w:val="center"/>
                </w:tcPr>
                <w:p>
                  <w:pPr>
                    <w:jc w:val="center"/>
                    <w:rPr>
                      <w:color w:val="auto"/>
                      <w:highlight w:val="none"/>
                    </w:rPr>
                  </w:pPr>
                  <w:r>
                    <w:rPr>
                      <w:color w:val="auto"/>
                      <w:highlight w:val="none"/>
                    </w:rPr>
                    <w:t>宽度(m)</w:t>
                  </w:r>
                </w:p>
              </w:tc>
              <w:tc>
                <w:tcPr>
                  <w:tcW w:w="478" w:type="pct"/>
                  <w:vAlign w:val="center"/>
                </w:tcPr>
                <w:p>
                  <w:pPr>
                    <w:jc w:val="center"/>
                    <w:rPr>
                      <w:color w:val="auto"/>
                      <w:highlight w:val="none"/>
                    </w:rPr>
                  </w:pPr>
                  <w:r>
                    <w:rPr>
                      <w:color w:val="auto"/>
                      <w:highlight w:val="none"/>
                    </w:rPr>
                    <w:t>高度(m)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95" w:type="pct"/>
                  <w:vMerge w:val="restart"/>
                  <w:vAlign w:val="center"/>
                </w:tcPr>
                <w:p>
                  <w:pPr>
                    <w:jc w:val="center"/>
                    <w:rPr>
                      <w:color w:val="auto"/>
                      <w:highlight w:val="none"/>
                    </w:rPr>
                  </w:pPr>
                  <w:r>
                    <w:rPr>
                      <w:color w:val="auto"/>
                      <w:highlight w:val="none"/>
                    </w:rPr>
                    <w:t>零部件</w:t>
                  </w:r>
                </w:p>
                <w:p>
                  <w:pPr>
                    <w:jc w:val="center"/>
                    <w:rPr>
                      <w:color w:val="auto"/>
                      <w:highlight w:val="none"/>
                    </w:rPr>
                  </w:pPr>
                  <w:r>
                    <w:rPr>
                      <w:color w:val="auto"/>
                      <w:highlight w:val="none"/>
                    </w:rPr>
                    <w:t>清洗废气</w:t>
                  </w:r>
                </w:p>
              </w:tc>
              <w:tc>
                <w:tcPr>
                  <w:tcW w:w="750" w:type="pct"/>
                  <w:vAlign w:val="center"/>
                </w:tcPr>
                <w:p>
                  <w:pPr>
                    <w:jc w:val="center"/>
                    <w:rPr>
                      <w:color w:val="auto"/>
                      <w:highlight w:val="none"/>
                    </w:rPr>
                  </w:pPr>
                  <w:r>
                    <w:rPr>
                      <w:color w:val="auto"/>
                      <w:highlight w:val="none"/>
                    </w:rPr>
                    <w:t>非甲烷总烃</w:t>
                  </w:r>
                </w:p>
              </w:tc>
              <w:tc>
                <w:tcPr>
                  <w:tcW w:w="582" w:type="pct"/>
                  <w:vAlign w:val="center"/>
                </w:tcPr>
                <w:p>
                  <w:pPr>
                    <w:jc w:val="center"/>
                    <w:rPr>
                      <w:color w:val="auto"/>
                      <w:highlight w:val="none"/>
                    </w:rPr>
                  </w:pPr>
                  <w:r>
                    <w:rPr>
                      <w:color w:val="auto"/>
                      <w:highlight w:val="none"/>
                    </w:rPr>
                    <w:t>0.061</w:t>
                  </w:r>
                </w:p>
              </w:tc>
              <w:tc>
                <w:tcPr>
                  <w:tcW w:w="664" w:type="pct"/>
                  <w:vAlign w:val="center"/>
                </w:tcPr>
                <w:p>
                  <w:pPr>
                    <w:jc w:val="center"/>
                    <w:rPr>
                      <w:color w:val="auto"/>
                      <w:sz w:val="22"/>
                      <w:szCs w:val="22"/>
                      <w:highlight w:val="none"/>
                    </w:rPr>
                  </w:pPr>
                  <w:r>
                    <w:rPr>
                      <w:color w:val="auto"/>
                      <w:sz w:val="22"/>
                      <w:szCs w:val="22"/>
                      <w:highlight w:val="none"/>
                    </w:rPr>
                    <w:t>0.025</w:t>
                  </w:r>
                </w:p>
              </w:tc>
              <w:tc>
                <w:tcPr>
                  <w:tcW w:w="661" w:type="pct"/>
                  <w:vAlign w:val="center"/>
                </w:tcPr>
                <w:p>
                  <w:pPr>
                    <w:jc w:val="center"/>
                    <w:rPr>
                      <w:color w:val="auto"/>
                      <w:highlight w:val="none"/>
                    </w:rPr>
                  </w:pPr>
                  <w:r>
                    <w:rPr>
                      <w:color w:val="auto"/>
                      <w:highlight w:val="none"/>
                    </w:rPr>
                    <w:t>2400</w:t>
                  </w:r>
                </w:p>
              </w:tc>
              <w:tc>
                <w:tcPr>
                  <w:tcW w:w="466" w:type="pct"/>
                  <w:vMerge w:val="restart"/>
                  <w:vAlign w:val="center"/>
                </w:tcPr>
                <w:p>
                  <w:pPr>
                    <w:jc w:val="center"/>
                    <w:rPr>
                      <w:color w:val="auto"/>
                      <w:highlight w:val="none"/>
                    </w:rPr>
                  </w:pPr>
                  <w:r>
                    <w:rPr>
                      <w:color w:val="auto"/>
                      <w:highlight w:val="none"/>
                    </w:rPr>
                    <w:t>89.77</w:t>
                  </w:r>
                </w:p>
              </w:tc>
              <w:tc>
                <w:tcPr>
                  <w:tcW w:w="503" w:type="pct"/>
                  <w:vMerge w:val="restart"/>
                  <w:vAlign w:val="center"/>
                </w:tcPr>
                <w:p>
                  <w:pPr>
                    <w:jc w:val="center"/>
                    <w:rPr>
                      <w:color w:val="auto"/>
                      <w:highlight w:val="none"/>
                    </w:rPr>
                  </w:pPr>
                  <w:r>
                    <w:rPr>
                      <w:color w:val="auto"/>
                      <w:highlight w:val="none"/>
                    </w:rPr>
                    <w:t>50.78</w:t>
                  </w:r>
                </w:p>
              </w:tc>
              <w:tc>
                <w:tcPr>
                  <w:tcW w:w="478" w:type="pct"/>
                  <w:vMerge w:val="restart"/>
                  <w:vAlign w:val="center"/>
                </w:tcPr>
                <w:p>
                  <w:pPr>
                    <w:jc w:val="center"/>
                    <w:rPr>
                      <w:color w:val="auto"/>
                      <w:highlight w:val="none"/>
                    </w:rPr>
                  </w:pPr>
                  <w:r>
                    <w:rPr>
                      <w:color w:val="auto"/>
                      <w:highlight w:val="none"/>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895" w:type="pct"/>
                  <w:vMerge w:val="continue"/>
                  <w:vAlign w:val="center"/>
                </w:tcPr>
                <w:p>
                  <w:pPr>
                    <w:jc w:val="center"/>
                    <w:rPr>
                      <w:color w:val="auto"/>
                      <w:highlight w:val="none"/>
                    </w:rPr>
                  </w:pPr>
                </w:p>
              </w:tc>
              <w:tc>
                <w:tcPr>
                  <w:tcW w:w="750" w:type="pct"/>
                  <w:vAlign w:val="center"/>
                </w:tcPr>
                <w:p>
                  <w:pPr>
                    <w:jc w:val="center"/>
                    <w:rPr>
                      <w:color w:val="auto"/>
                      <w:highlight w:val="none"/>
                    </w:rPr>
                  </w:pPr>
                  <w:r>
                    <w:rPr>
                      <w:color w:val="auto"/>
                      <w:highlight w:val="none"/>
                    </w:rPr>
                    <w:t>HCl</w:t>
                  </w:r>
                </w:p>
              </w:tc>
              <w:tc>
                <w:tcPr>
                  <w:tcW w:w="582" w:type="pct"/>
                  <w:vAlign w:val="center"/>
                </w:tcPr>
                <w:p>
                  <w:pPr>
                    <w:jc w:val="center"/>
                    <w:rPr>
                      <w:color w:val="auto"/>
                      <w:highlight w:val="none"/>
                    </w:rPr>
                  </w:pPr>
                  <w:r>
                    <w:rPr>
                      <w:color w:val="auto"/>
                      <w:highlight w:val="none"/>
                    </w:rPr>
                    <w:t>0.002</w:t>
                  </w:r>
                </w:p>
              </w:tc>
              <w:tc>
                <w:tcPr>
                  <w:tcW w:w="664" w:type="pct"/>
                  <w:vAlign w:val="center"/>
                </w:tcPr>
                <w:p>
                  <w:pPr>
                    <w:jc w:val="center"/>
                    <w:rPr>
                      <w:color w:val="auto"/>
                      <w:sz w:val="22"/>
                      <w:szCs w:val="22"/>
                      <w:highlight w:val="none"/>
                    </w:rPr>
                  </w:pPr>
                  <w:r>
                    <w:rPr>
                      <w:color w:val="auto"/>
                      <w:sz w:val="22"/>
                      <w:szCs w:val="22"/>
                      <w:highlight w:val="none"/>
                    </w:rPr>
                    <w:t>0.001</w:t>
                  </w:r>
                </w:p>
              </w:tc>
              <w:tc>
                <w:tcPr>
                  <w:tcW w:w="661" w:type="pct"/>
                  <w:vAlign w:val="center"/>
                </w:tcPr>
                <w:p>
                  <w:pPr>
                    <w:jc w:val="center"/>
                    <w:rPr>
                      <w:color w:val="auto"/>
                      <w:highlight w:val="none"/>
                    </w:rPr>
                  </w:pPr>
                  <w:r>
                    <w:rPr>
                      <w:color w:val="auto"/>
                      <w:highlight w:val="none"/>
                    </w:rPr>
                    <w:t>2400</w:t>
                  </w:r>
                </w:p>
              </w:tc>
              <w:tc>
                <w:tcPr>
                  <w:tcW w:w="466" w:type="pct"/>
                  <w:vMerge w:val="continue"/>
                  <w:vAlign w:val="center"/>
                </w:tcPr>
                <w:p>
                  <w:pPr>
                    <w:jc w:val="center"/>
                    <w:rPr>
                      <w:color w:val="auto"/>
                      <w:highlight w:val="none"/>
                    </w:rPr>
                  </w:pPr>
                </w:p>
              </w:tc>
              <w:tc>
                <w:tcPr>
                  <w:tcW w:w="503" w:type="pct"/>
                  <w:vMerge w:val="continue"/>
                  <w:vAlign w:val="center"/>
                </w:tcPr>
                <w:p>
                  <w:pPr>
                    <w:jc w:val="center"/>
                    <w:rPr>
                      <w:color w:val="auto"/>
                      <w:highlight w:val="none"/>
                    </w:rPr>
                  </w:pPr>
                </w:p>
              </w:tc>
              <w:tc>
                <w:tcPr>
                  <w:tcW w:w="478" w:type="pct"/>
                  <w:vMerge w:val="continue"/>
                  <w:vAlign w:val="center"/>
                </w:tcPr>
                <w:p>
                  <w:pPr>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93" w:hRule="atLeast"/>
                <w:jc w:val="center"/>
              </w:trPr>
              <w:tc>
                <w:tcPr>
                  <w:tcW w:w="895" w:type="pct"/>
                  <w:vMerge w:val="restart"/>
                  <w:vAlign w:val="center"/>
                </w:tcPr>
                <w:p>
                  <w:pPr>
                    <w:jc w:val="center"/>
                    <w:rPr>
                      <w:color w:val="auto"/>
                      <w:highlight w:val="none"/>
                    </w:rPr>
                  </w:pPr>
                  <w:r>
                    <w:rPr>
                      <w:color w:val="auto"/>
                      <w:highlight w:val="none"/>
                    </w:rPr>
                    <w:t>液化石油气燃烧废气</w:t>
                  </w:r>
                </w:p>
              </w:tc>
              <w:tc>
                <w:tcPr>
                  <w:tcW w:w="750" w:type="pct"/>
                  <w:vAlign w:val="center"/>
                </w:tcPr>
                <w:p>
                  <w:pPr>
                    <w:pStyle w:val="105"/>
                    <w:rPr>
                      <w:color w:val="auto"/>
                      <w:szCs w:val="21"/>
                      <w:highlight w:val="none"/>
                    </w:rPr>
                  </w:pPr>
                  <w:r>
                    <w:rPr>
                      <w:color w:val="auto"/>
                      <w:highlight w:val="none"/>
                    </w:rPr>
                    <w:t>非甲烷总烃</w:t>
                  </w:r>
                </w:p>
              </w:tc>
              <w:tc>
                <w:tcPr>
                  <w:tcW w:w="582" w:type="pct"/>
                  <w:vAlign w:val="center"/>
                </w:tcPr>
                <w:p>
                  <w:pPr>
                    <w:jc w:val="center"/>
                    <w:rPr>
                      <w:color w:val="auto"/>
                      <w:highlight w:val="none"/>
                    </w:rPr>
                  </w:pPr>
                  <w:r>
                    <w:rPr>
                      <w:color w:val="auto"/>
                      <w:highlight w:val="none"/>
                    </w:rPr>
                    <w:t>0.001</w:t>
                  </w:r>
                </w:p>
              </w:tc>
              <w:tc>
                <w:tcPr>
                  <w:tcW w:w="664" w:type="pct"/>
                  <w:vAlign w:val="center"/>
                </w:tcPr>
                <w:p>
                  <w:pPr>
                    <w:jc w:val="center"/>
                    <w:rPr>
                      <w:color w:val="auto"/>
                      <w:sz w:val="22"/>
                      <w:szCs w:val="22"/>
                      <w:highlight w:val="none"/>
                    </w:rPr>
                  </w:pPr>
                  <w:r>
                    <w:rPr>
                      <w:color w:val="auto"/>
                      <w:sz w:val="22"/>
                      <w:szCs w:val="22"/>
                      <w:highlight w:val="none"/>
                    </w:rPr>
                    <w:t>0.001</w:t>
                  </w:r>
                </w:p>
              </w:tc>
              <w:tc>
                <w:tcPr>
                  <w:tcW w:w="661" w:type="pct"/>
                  <w:vAlign w:val="center"/>
                </w:tcPr>
                <w:p>
                  <w:pPr>
                    <w:jc w:val="center"/>
                    <w:rPr>
                      <w:color w:val="auto"/>
                      <w:highlight w:val="none"/>
                    </w:rPr>
                  </w:pPr>
                  <w:r>
                    <w:rPr>
                      <w:color w:val="auto"/>
                      <w:highlight w:val="none"/>
                    </w:rPr>
                    <w:t>2000</w:t>
                  </w:r>
                </w:p>
              </w:tc>
              <w:tc>
                <w:tcPr>
                  <w:tcW w:w="466" w:type="pct"/>
                  <w:vMerge w:val="continue"/>
                  <w:vAlign w:val="center"/>
                </w:tcPr>
                <w:p>
                  <w:pPr>
                    <w:jc w:val="center"/>
                    <w:rPr>
                      <w:color w:val="auto"/>
                      <w:highlight w:val="none"/>
                    </w:rPr>
                  </w:pPr>
                </w:p>
              </w:tc>
              <w:tc>
                <w:tcPr>
                  <w:tcW w:w="503" w:type="pct"/>
                  <w:vMerge w:val="continue"/>
                  <w:vAlign w:val="center"/>
                </w:tcPr>
                <w:p>
                  <w:pPr>
                    <w:jc w:val="center"/>
                    <w:rPr>
                      <w:color w:val="auto"/>
                      <w:highlight w:val="none"/>
                    </w:rPr>
                  </w:pPr>
                </w:p>
              </w:tc>
              <w:tc>
                <w:tcPr>
                  <w:tcW w:w="478" w:type="pct"/>
                  <w:vMerge w:val="continue"/>
                  <w:vAlign w:val="center"/>
                </w:tcPr>
                <w:p>
                  <w:pPr>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68" w:hRule="atLeast"/>
                <w:jc w:val="center"/>
              </w:trPr>
              <w:tc>
                <w:tcPr>
                  <w:tcW w:w="895" w:type="pct"/>
                  <w:vMerge w:val="continue"/>
                  <w:vAlign w:val="center"/>
                </w:tcPr>
                <w:p>
                  <w:pPr>
                    <w:jc w:val="center"/>
                    <w:rPr>
                      <w:color w:val="auto"/>
                      <w:highlight w:val="none"/>
                    </w:rPr>
                  </w:pPr>
                </w:p>
              </w:tc>
              <w:tc>
                <w:tcPr>
                  <w:tcW w:w="750" w:type="pct"/>
                  <w:vAlign w:val="center"/>
                </w:tcPr>
                <w:p>
                  <w:pPr>
                    <w:pStyle w:val="105"/>
                    <w:rPr>
                      <w:color w:val="auto"/>
                      <w:szCs w:val="21"/>
                      <w:highlight w:val="none"/>
                    </w:rPr>
                  </w:pPr>
                  <w:r>
                    <w:rPr>
                      <w:color w:val="auto"/>
                      <w:szCs w:val="21"/>
                      <w:highlight w:val="none"/>
                    </w:rPr>
                    <w:t>NOx</w:t>
                  </w:r>
                </w:p>
              </w:tc>
              <w:tc>
                <w:tcPr>
                  <w:tcW w:w="582" w:type="pct"/>
                  <w:vAlign w:val="center"/>
                </w:tcPr>
                <w:p>
                  <w:pPr>
                    <w:jc w:val="center"/>
                    <w:rPr>
                      <w:color w:val="auto"/>
                      <w:highlight w:val="none"/>
                    </w:rPr>
                  </w:pPr>
                  <w:r>
                    <w:rPr>
                      <w:color w:val="auto"/>
                      <w:highlight w:val="none"/>
                    </w:rPr>
                    <w:t>0.00</w:t>
                  </w:r>
                  <w:r>
                    <w:rPr>
                      <w:rFonts w:hint="eastAsia"/>
                      <w:color w:val="auto"/>
                      <w:highlight w:val="none"/>
                    </w:rPr>
                    <w:t>0</w:t>
                  </w:r>
                </w:p>
              </w:tc>
              <w:tc>
                <w:tcPr>
                  <w:tcW w:w="664" w:type="pct"/>
                  <w:vAlign w:val="center"/>
                </w:tcPr>
                <w:p>
                  <w:pPr>
                    <w:jc w:val="center"/>
                    <w:rPr>
                      <w:color w:val="auto"/>
                      <w:sz w:val="22"/>
                      <w:szCs w:val="22"/>
                      <w:highlight w:val="none"/>
                    </w:rPr>
                  </w:pPr>
                  <w:r>
                    <w:rPr>
                      <w:color w:val="auto"/>
                      <w:sz w:val="22"/>
                      <w:szCs w:val="22"/>
                      <w:highlight w:val="none"/>
                    </w:rPr>
                    <w:t>0.00</w:t>
                  </w:r>
                  <w:r>
                    <w:rPr>
                      <w:rFonts w:hint="eastAsia"/>
                      <w:color w:val="auto"/>
                      <w:sz w:val="22"/>
                      <w:szCs w:val="22"/>
                      <w:highlight w:val="none"/>
                    </w:rPr>
                    <w:t>0</w:t>
                  </w:r>
                </w:p>
              </w:tc>
              <w:tc>
                <w:tcPr>
                  <w:tcW w:w="661" w:type="pct"/>
                  <w:vAlign w:val="center"/>
                </w:tcPr>
                <w:p>
                  <w:pPr>
                    <w:jc w:val="center"/>
                    <w:rPr>
                      <w:color w:val="auto"/>
                      <w:highlight w:val="none"/>
                    </w:rPr>
                  </w:pPr>
                  <w:r>
                    <w:rPr>
                      <w:color w:val="auto"/>
                      <w:highlight w:val="none"/>
                    </w:rPr>
                    <w:t>2000</w:t>
                  </w:r>
                </w:p>
              </w:tc>
              <w:tc>
                <w:tcPr>
                  <w:tcW w:w="466" w:type="pct"/>
                  <w:vMerge w:val="continue"/>
                  <w:vAlign w:val="center"/>
                </w:tcPr>
                <w:p>
                  <w:pPr>
                    <w:jc w:val="center"/>
                    <w:rPr>
                      <w:color w:val="auto"/>
                      <w:highlight w:val="none"/>
                    </w:rPr>
                  </w:pPr>
                </w:p>
              </w:tc>
              <w:tc>
                <w:tcPr>
                  <w:tcW w:w="503" w:type="pct"/>
                  <w:vMerge w:val="continue"/>
                  <w:vAlign w:val="center"/>
                </w:tcPr>
                <w:p>
                  <w:pPr>
                    <w:jc w:val="center"/>
                    <w:rPr>
                      <w:color w:val="auto"/>
                      <w:highlight w:val="none"/>
                    </w:rPr>
                  </w:pPr>
                </w:p>
              </w:tc>
              <w:tc>
                <w:tcPr>
                  <w:tcW w:w="478" w:type="pct"/>
                  <w:vMerge w:val="continue"/>
                  <w:vAlign w:val="center"/>
                </w:tcPr>
                <w:p>
                  <w:pPr>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8" w:hRule="atLeast"/>
                <w:jc w:val="center"/>
              </w:trPr>
              <w:tc>
                <w:tcPr>
                  <w:tcW w:w="895" w:type="pct"/>
                  <w:vAlign w:val="center"/>
                </w:tcPr>
                <w:p>
                  <w:pPr>
                    <w:jc w:val="center"/>
                    <w:rPr>
                      <w:color w:val="auto"/>
                      <w:highlight w:val="none"/>
                    </w:rPr>
                  </w:pPr>
                  <w:r>
                    <w:rPr>
                      <w:color w:val="auto"/>
                      <w:highlight w:val="none"/>
                    </w:rPr>
                    <w:t>危废库房</w:t>
                  </w:r>
                </w:p>
              </w:tc>
              <w:tc>
                <w:tcPr>
                  <w:tcW w:w="750" w:type="pct"/>
                  <w:vAlign w:val="center"/>
                </w:tcPr>
                <w:p>
                  <w:pPr>
                    <w:pStyle w:val="105"/>
                    <w:rPr>
                      <w:color w:val="auto"/>
                      <w:szCs w:val="21"/>
                      <w:highlight w:val="none"/>
                    </w:rPr>
                  </w:pPr>
                  <w:r>
                    <w:rPr>
                      <w:color w:val="auto"/>
                      <w:highlight w:val="none"/>
                    </w:rPr>
                    <w:t>非甲烷总烃</w:t>
                  </w:r>
                </w:p>
              </w:tc>
              <w:tc>
                <w:tcPr>
                  <w:tcW w:w="582" w:type="pct"/>
                  <w:vAlign w:val="center"/>
                </w:tcPr>
                <w:p>
                  <w:pPr>
                    <w:jc w:val="center"/>
                    <w:rPr>
                      <w:color w:val="auto"/>
                      <w:highlight w:val="none"/>
                    </w:rPr>
                  </w:pPr>
                  <w:r>
                    <w:rPr>
                      <w:color w:val="auto"/>
                      <w:highlight w:val="none"/>
                    </w:rPr>
                    <w:t>0.00</w:t>
                  </w:r>
                  <w:r>
                    <w:rPr>
                      <w:rFonts w:hint="eastAsia"/>
                      <w:color w:val="auto"/>
                      <w:highlight w:val="none"/>
                    </w:rPr>
                    <w:t>8</w:t>
                  </w:r>
                </w:p>
              </w:tc>
              <w:tc>
                <w:tcPr>
                  <w:tcW w:w="664" w:type="pct"/>
                  <w:vAlign w:val="center"/>
                </w:tcPr>
                <w:p>
                  <w:pPr>
                    <w:jc w:val="center"/>
                    <w:rPr>
                      <w:color w:val="auto"/>
                      <w:sz w:val="22"/>
                      <w:szCs w:val="22"/>
                      <w:highlight w:val="none"/>
                    </w:rPr>
                  </w:pPr>
                  <w:r>
                    <w:rPr>
                      <w:color w:val="auto"/>
                      <w:sz w:val="22"/>
                      <w:szCs w:val="22"/>
                      <w:highlight w:val="none"/>
                    </w:rPr>
                    <w:t>0.001</w:t>
                  </w:r>
                </w:p>
              </w:tc>
              <w:tc>
                <w:tcPr>
                  <w:tcW w:w="661" w:type="pct"/>
                  <w:vAlign w:val="center"/>
                </w:tcPr>
                <w:p>
                  <w:pPr>
                    <w:jc w:val="center"/>
                    <w:rPr>
                      <w:color w:val="auto"/>
                      <w:highlight w:val="none"/>
                    </w:rPr>
                  </w:pPr>
                  <w:r>
                    <w:rPr>
                      <w:rFonts w:hint="eastAsia"/>
                      <w:color w:val="auto"/>
                      <w:highlight w:val="none"/>
                    </w:rPr>
                    <w:t>8760</w:t>
                  </w:r>
                </w:p>
              </w:tc>
              <w:tc>
                <w:tcPr>
                  <w:tcW w:w="466" w:type="pct"/>
                  <w:vAlign w:val="center"/>
                </w:tcPr>
                <w:p>
                  <w:pPr>
                    <w:jc w:val="center"/>
                    <w:rPr>
                      <w:color w:val="auto"/>
                      <w:highlight w:val="none"/>
                    </w:rPr>
                  </w:pPr>
                  <w:r>
                    <w:rPr>
                      <w:color w:val="auto"/>
                      <w:highlight w:val="none"/>
                    </w:rPr>
                    <w:t>7</w:t>
                  </w:r>
                </w:p>
              </w:tc>
              <w:tc>
                <w:tcPr>
                  <w:tcW w:w="503" w:type="pct"/>
                  <w:vAlign w:val="center"/>
                </w:tcPr>
                <w:p>
                  <w:pPr>
                    <w:jc w:val="center"/>
                    <w:rPr>
                      <w:color w:val="auto"/>
                      <w:highlight w:val="none"/>
                    </w:rPr>
                  </w:pPr>
                  <w:r>
                    <w:rPr>
                      <w:color w:val="auto"/>
                      <w:highlight w:val="none"/>
                    </w:rPr>
                    <w:t>6</w:t>
                  </w:r>
                </w:p>
              </w:tc>
              <w:tc>
                <w:tcPr>
                  <w:tcW w:w="478" w:type="pct"/>
                  <w:vAlign w:val="center"/>
                </w:tcPr>
                <w:p>
                  <w:pPr>
                    <w:jc w:val="center"/>
                    <w:rPr>
                      <w:color w:val="auto"/>
                      <w:highlight w:val="none"/>
                    </w:rPr>
                  </w:pPr>
                  <w:r>
                    <w:rPr>
                      <w:color w:val="auto"/>
                      <w:highlight w:val="none"/>
                    </w:rPr>
                    <w:t>3.5</w:t>
                  </w:r>
                </w:p>
              </w:tc>
            </w:tr>
          </w:tbl>
          <w:p>
            <w:pPr>
              <w:spacing w:beforeLines="50" w:line="360" w:lineRule="auto"/>
              <w:jc w:val="center"/>
              <w:rPr>
                <w:b/>
                <w:color w:val="auto"/>
                <w:sz w:val="24"/>
                <w:szCs w:val="22"/>
                <w:highlight w:val="none"/>
              </w:rPr>
            </w:pPr>
            <w:r>
              <w:rPr>
                <w:b/>
                <w:color w:val="auto"/>
                <w:sz w:val="24"/>
                <w:szCs w:val="22"/>
                <w:highlight w:val="none"/>
              </w:rPr>
              <w:t>表4-</w:t>
            </w:r>
            <w:r>
              <w:rPr>
                <w:rFonts w:hint="eastAsia"/>
                <w:b/>
                <w:color w:val="auto"/>
                <w:sz w:val="24"/>
                <w:szCs w:val="22"/>
                <w:highlight w:val="none"/>
              </w:rPr>
              <w:t>5</w:t>
            </w:r>
            <w:r>
              <w:rPr>
                <w:b/>
                <w:color w:val="auto"/>
                <w:sz w:val="24"/>
                <w:szCs w:val="22"/>
                <w:highlight w:val="none"/>
              </w:rPr>
              <w:t xml:space="preserve">  大气污染物有组织排放量核算表</w:t>
            </w:r>
          </w:p>
          <w:tbl>
            <w:tblPr>
              <w:tblStyle w:val="3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60"/>
              <w:gridCol w:w="1305"/>
              <w:gridCol w:w="1300"/>
              <w:gridCol w:w="1507"/>
              <w:gridCol w:w="1656"/>
              <w:gridCol w:w="16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rPr>
              <w:tc>
                <w:tcPr>
                  <w:tcW w:w="725" w:type="pct"/>
                  <w:vAlign w:val="center"/>
                </w:tcPr>
                <w:p>
                  <w:pPr>
                    <w:jc w:val="center"/>
                    <w:rPr>
                      <w:color w:val="auto"/>
                      <w:szCs w:val="21"/>
                      <w:highlight w:val="none"/>
                    </w:rPr>
                  </w:pPr>
                  <w:r>
                    <w:rPr>
                      <w:color w:val="auto"/>
                      <w:szCs w:val="21"/>
                      <w:highlight w:val="none"/>
                    </w:rPr>
                    <w:t>序号</w:t>
                  </w:r>
                </w:p>
              </w:tc>
              <w:tc>
                <w:tcPr>
                  <w:tcW w:w="750" w:type="pct"/>
                  <w:vAlign w:val="center"/>
                </w:tcPr>
                <w:p>
                  <w:pPr>
                    <w:jc w:val="center"/>
                    <w:rPr>
                      <w:color w:val="auto"/>
                      <w:szCs w:val="21"/>
                      <w:highlight w:val="none"/>
                    </w:rPr>
                  </w:pPr>
                  <w:r>
                    <w:rPr>
                      <w:color w:val="auto"/>
                      <w:szCs w:val="21"/>
                      <w:highlight w:val="none"/>
                    </w:rPr>
                    <w:t>排放口</w:t>
                  </w:r>
                </w:p>
                <w:p>
                  <w:pPr>
                    <w:jc w:val="center"/>
                    <w:rPr>
                      <w:color w:val="auto"/>
                      <w:szCs w:val="21"/>
                      <w:highlight w:val="none"/>
                    </w:rPr>
                  </w:pPr>
                  <w:r>
                    <w:rPr>
                      <w:color w:val="auto"/>
                      <w:szCs w:val="21"/>
                      <w:highlight w:val="none"/>
                    </w:rPr>
                    <w:t>编号</w:t>
                  </w:r>
                </w:p>
              </w:tc>
              <w:tc>
                <w:tcPr>
                  <w:tcW w:w="748" w:type="pct"/>
                  <w:vAlign w:val="center"/>
                </w:tcPr>
                <w:p>
                  <w:pPr>
                    <w:jc w:val="center"/>
                    <w:rPr>
                      <w:color w:val="auto"/>
                      <w:szCs w:val="21"/>
                      <w:highlight w:val="none"/>
                    </w:rPr>
                  </w:pPr>
                  <w:r>
                    <w:rPr>
                      <w:color w:val="auto"/>
                      <w:szCs w:val="21"/>
                      <w:highlight w:val="none"/>
                    </w:rPr>
                    <w:t>污染物</w:t>
                  </w:r>
                </w:p>
              </w:tc>
              <w:tc>
                <w:tcPr>
                  <w:tcW w:w="867" w:type="pct"/>
                  <w:vAlign w:val="center"/>
                </w:tcPr>
                <w:p>
                  <w:pPr>
                    <w:jc w:val="center"/>
                    <w:rPr>
                      <w:color w:val="auto"/>
                      <w:szCs w:val="21"/>
                      <w:highlight w:val="none"/>
                    </w:rPr>
                  </w:pPr>
                  <w:r>
                    <w:rPr>
                      <w:color w:val="auto"/>
                      <w:szCs w:val="21"/>
                      <w:highlight w:val="none"/>
                    </w:rPr>
                    <w:t>核算排放浓度（mg/m</w:t>
                  </w:r>
                  <w:r>
                    <w:rPr>
                      <w:color w:val="auto"/>
                      <w:szCs w:val="21"/>
                      <w:highlight w:val="none"/>
                      <w:vertAlign w:val="superscript"/>
                    </w:rPr>
                    <w:t>3</w:t>
                  </w:r>
                  <w:r>
                    <w:rPr>
                      <w:color w:val="auto"/>
                      <w:szCs w:val="21"/>
                      <w:highlight w:val="none"/>
                    </w:rPr>
                    <w:t>）</w:t>
                  </w:r>
                </w:p>
              </w:tc>
              <w:tc>
                <w:tcPr>
                  <w:tcW w:w="952" w:type="pct"/>
                  <w:vAlign w:val="center"/>
                </w:tcPr>
                <w:p>
                  <w:pPr>
                    <w:jc w:val="center"/>
                    <w:rPr>
                      <w:color w:val="auto"/>
                      <w:szCs w:val="21"/>
                      <w:highlight w:val="none"/>
                    </w:rPr>
                  </w:pPr>
                  <w:r>
                    <w:rPr>
                      <w:color w:val="auto"/>
                      <w:szCs w:val="21"/>
                      <w:highlight w:val="none"/>
                    </w:rPr>
                    <w:t>核算排放速率（kg/h）</w:t>
                  </w:r>
                </w:p>
              </w:tc>
              <w:tc>
                <w:tcPr>
                  <w:tcW w:w="955" w:type="pct"/>
                  <w:vAlign w:val="center"/>
                </w:tcPr>
                <w:p>
                  <w:pPr>
                    <w:jc w:val="center"/>
                    <w:rPr>
                      <w:color w:val="auto"/>
                      <w:szCs w:val="21"/>
                      <w:highlight w:val="none"/>
                    </w:rPr>
                  </w:pPr>
                  <w:r>
                    <w:rPr>
                      <w:color w:val="auto"/>
                      <w:szCs w:val="21"/>
                      <w:highlight w:val="none"/>
                    </w:rPr>
                    <w:t>核算年排放量（</w:t>
                  </w:r>
                  <w:r>
                    <w:rPr>
                      <w:rFonts w:hint="eastAsia"/>
                      <w:color w:val="auto"/>
                      <w:szCs w:val="21"/>
                      <w:highlight w:val="none"/>
                    </w:rPr>
                    <w:t>t</w:t>
                  </w:r>
                  <w:r>
                    <w:rPr>
                      <w:color w:val="auto"/>
                      <w:szCs w:val="21"/>
                      <w:highlight w:val="none"/>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000" w:type="pct"/>
                  <w:gridSpan w:val="6"/>
                  <w:vAlign w:val="center"/>
                </w:tcPr>
                <w:p>
                  <w:pPr>
                    <w:jc w:val="center"/>
                    <w:rPr>
                      <w:color w:val="auto"/>
                      <w:szCs w:val="21"/>
                      <w:highlight w:val="none"/>
                    </w:rPr>
                  </w:pPr>
                  <w:r>
                    <w:rPr>
                      <w:color w:val="auto"/>
                      <w:szCs w:val="21"/>
                      <w:highlight w:val="none"/>
                    </w:rPr>
                    <w:t>主要排放口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25" w:type="pct"/>
                  <w:vAlign w:val="center"/>
                </w:tcPr>
                <w:p>
                  <w:pPr>
                    <w:jc w:val="center"/>
                    <w:rPr>
                      <w:color w:val="auto"/>
                      <w:szCs w:val="21"/>
                      <w:highlight w:val="none"/>
                    </w:rPr>
                  </w:pPr>
                  <w:r>
                    <w:rPr>
                      <w:color w:val="auto"/>
                      <w:szCs w:val="21"/>
                      <w:highlight w:val="none"/>
                    </w:rPr>
                    <w:t>--</w:t>
                  </w:r>
                </w:p>
              </w:tc>
              <w:tc>
                <w:tcPr>
                  <w:tcW w:w="750" w:type="pct"/>
                  <w:vAlign w:val="center"/>
                </w:tcPr>
                <w:p>
                  <w:pPr>
                    <w:jc w:val="center"/>
                    <w:rPr>
                      <w:color w:val="auto"/>
                      <w:szCs w:val="21"/>
                      <w:highlight w:val="none"/>
                    </w:rPr>
                  </w:pPr>
                  <w:r>
                    <w:rPr>
                      <w:color w:val="auto"/>
                      <w:szCs w:val="21"/>
                      <w:highlight w:val="none"/>
                    </w:rPr>
                    <w:t>--</w:t>
                  </w:r>
                </w:p>
              </w:tc>
              <w:tc>
                <w:tcPr>
                  <w:tcW w:w="748" w:type="pct"/>
                  <w:vAlign w:val="center"/>
                </w:tcPr>
                <w:p>
                  <w:pPr>
                    <w:jc w:val="center"/>
                    <w:rPr>
                      <w:color w:val="auto"/>
                      <w:szCs w:val="21"/>
                      <w:highlight w:val="none"/>
                    </w:rPr>
                  </w:pPr>
                  <w:r>
                    <w:rPr>
                      <w:color w:val="auto"/>
                      <w:szCs w:val="21"/>
                      <w:highlight w:val="none"/>
                    </w:rPr>
                    <w:t>--</w:t>
                  </w:r>
                </w:p>
              </w:tc>
              <w:tc>
                <w:tcPr>
                  <w:tcW w:w="867" w:type="pct"/>
                  <w:vAlign w:val="center"/>
                </w:tcPr>
                <w:p>
                  <w:pPr>
                    <w:jc w:val="center"/>
                    <w:rPr>
                      <w:color w:val="auto"/>
                      <w:szCs w:val="21"/>
                      <w:highlight w:val="none"/>
                    </w:rPr>
                  </w:pPr>
                  <w:r>
                    <w:rPr>
                      <w:color w:val="auto"/>
                      <w:szCs w:val="21"/>
                      <w:highlight w:val="none"/>
                    </w:rPr>
                    <w:t>--</w:t>
                  </w:r>
                </w:p>
              </w:tc>
              <w:tc>
                <w:tcPr>
                  <w:tcW w:w="952" w:type="pct"/>
                  <w:vAlign w:val="center"/>
                </w:tcPr>
                <w:p>
                  <w:pPr>
                    <w:jc w:val="center"/>
                    <w:rPr>
                      <w:color w:val="auto"/>
                      <w:szCs w:val="21"/>
                      <w:highlight w:val="none"/>
                    </w:rPr>
                  </w:pPr>
                  <w:r>
                    <w:rPr>
                      <w:color w:val="auto"/>
                      <w:szCs w:val="21"/>
                      <w:highlight w:val="none"/>
                    </w:rPr>
                    <w:t>--</w:t>
                  </w:r>
                </w:p>
              </w:tc>
              <w:tc>
                <w:tcPr>
                  <w:tcW w:w="955" w:type="pct"/>
                  <w:vAlign w:val="center"/>
                </w:tcPr>
                <w:p>
                  <w:pPr>
                    <w:jc w:val="center"/>
                    <w:rPr>
                      <w:color w:val="auto"/>
                      <w:szCs w:val="21"/>
                      <w:highlight w:val="none"/>
                    </w:rPr>
                  </w:pPr>
                  <w:r>
                    <w:rPr>
                      <w:color w:val="auto"/>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000" w:type="pct"/>
                  <w:gridSpan w:val="6"/>
                  <w:vAlign w:val="center"/>
                </w:tcPr>
                <w:p>
                  <w:pPr>
                    <w:jc w:val="center"/>
                    <w:rPr>
                      <w:color w:val="auto"/>
                      <w:szCs w:val="21"/>
                      <w:highlight w:val="none"/>
                    </w:rPr>
                  </w:pPr>
                  <w:r>
                    <w:rPr>
                      <w:color w:val="auto"/>
                      <w:szCs w:val="21"/>
                      <w:highlight w:val="none"/>
                    </w:rPr>
                    <w:t>一般排放口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25" w:type="pct"/>
                  <w:vMerge w:val="restart"/>
                  <w:vAlign w:val="center"/>
                </w:tcPr>
                <w:p>
                  <w:pPr>
                    <w:jc w:val="center"/>
                    <w:rPr>
                      <w:color w:val="auto"/>
                      <w:szCs w:val="21"/>
                      <w:highlight w:val="none"/>
                    </w:rPr>
                  </w:pPr>
                  <w:r>
                    <w:rPr>
                      <w:color w:val="auto"/>
                      <w:szCs w:val="21"/>
                      <w:highlight w:val="none"/>
                    </w:rPr>
                    <w:t>1</w:t>
                  </w:r>
                </w:p>
              </w:tc>
              <w:tc>
                <w:tcPr>
                  <w:tcW w:w="750" w:type="pct"/>
                  <w:vMerge w:val="restart"/>
                  <w:vAlign w:val="center"/>
                </w:tcPr>
                <w:p>
                  <w:pPr>
                    <w:jc w:val="center"/>
                    <w:rPr>
                      <w:color w:val="auto"/>
                      <w:szCs w:val="21"/>
                      <w:highlight w:val="none"/>
                    </w:rPr>
                  </w:pPr>
                  <w:r>
                    <w:rPr>
                      <w:color w:val="auto"/>
                      <w:szCs w:val="21"/>
                      <w:highlight w:val="none"/>
                    </w:rPr>
                    <w:t>零部件清洗废气</w:t>
                  </w:r>
                </w:p>
              </w:tc>
              <w:tc>
                <w:tcPr>
                  <w:tcW w:w="748" w:type="pct"/>
                  <w:vAlign w:val="center"/>
                </w:tcPr>
                <w:p>
                  <w:pPr>
                    <w:jc w:val="center"/>
                    <w:rPr>
                      <w:color w:val="auto"/>
                      <w:szCs w:val="21"/>
                      <w:highlight w:val="none"/>
                    </w:rPr>
                  </w:pPr>
                  <w:r>
                    <w:rPr>
                      <w:color w:val="auto"/>
                      <w:szCs w:val="21"/>
                      <w:highlight w:val="none"/>
                    </w:rPr>
                    <w:t>非甲烷总烃</w:t>
                  </w:r>
                </w:p>
              </w:tc>
              <w:tc>
                <w:tcPr>
                  <w:tcW w:w="867" w:type="pct"/>
                  <w:vAlign w:val="center"/>
                </w:tcPr>
                <w:p>
                  <w:pPr>
                    <w:adjustRightInd w:val="0"/>
                    <w:snapToGrid w:val="0"/>
                    <w:ind w:left="-105" w:leftChars="-50" w:right="-105" w:rightChars="-50"/>
                    <w:jc w:val="center"/>
                    <w:rPr>
                      <w:color w:val="auto"/>
                      <w:szCs w:val="21"/>
                      <w:highlight w:val="none"/>
                    </w:rPr>
                  </w:pPr>
                  <w:r>
                    <w:rPr>
                      <w:rFonts w:hint="eastAsia"/>
                      <w:color w:val="auto"/>
                      <w:szCs w:val="21"/>
                      <w:highlight w:val="none"/>
                    </w:rPr>
                    <w:t>5.8</w:t>
                  </w:r>
                </w:p>
              </w:tc>
              <w:tc>
                <w:tcPr>
                  <w:tcW w:w="952" w:type="pct"/>
                  <w:vAlign w:val="center"/>
                </w:tcPr>
                <w:p>
                  <w:pPr>
                    <w:adjustRightInd w:val="0"/>
                    <w:snapToGrid w:val="0"/>
                    <w:ind w:left="-105" w:leftChars="-50" w:right="-105" w:rightChars="-50"/>
                    <w:jc w:val="center"/>
                    <w:rPr>
                      <w:color w:val="auto"/>
                      <w:szCs w:val="21"/>
                      <w:highlight w:val="none"/>
                    </w:rPr>
                  </w:pPr>
                  <w:r>
                    <w:rPr>
                      <w:color w:val="auto"/>
                      <w:szCs w:val="21"/>
                      <w:highlight w:val="none"/>
                    </w:rPr>
                    <w:t>0.05</w:t>
                  </w:r>
                  <w:r>
                    <w:rPr>
                      <w:rFonts w:hint="eastAsia"/>
                      <w:color w:val="auto"/>
                      <w:szCs w:val="21"/>
                      <w:highlight w:val="none"/>
                    </w:rPr>
                    <w:t>8</w:t>
                  </w:r>
                </w:p>
              </w:tc>
              <w:tc>
                <w:tcPr>
                  <w:tcW w:w="955" w:type="pct"/>
                  <w:vAlign w:val="center"/>
                </w:tcPr>
                <w:p>
                  <w:pPr>
                    <w:jc w:val="center"/>
                    <w:rPr>
                      <w:color w:val="auto"/>
                      <w:szCs w:val="21"/>
                      <w:highlight w:val="none"/>
                    </w:rPr>
                  </w:pPr>
                  <w:r>
                    <w:rPr>
                      <w:rFonts w:hint="eastAsia"/>
                      <w:color w:val="auto"/>
                      <w:szCs w:val="21"/>
                      <w:highlight w:val="none"/>
                    </w:rPr>
                    <w:t>0.138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25" w:type="pct"/>
                  <w:vMerge w:val="continue"/>
                  <w:vAlign w:val="center"/>
                </w:tcPr>
                <w:p>
                  <w:pPr>
                    <w:jc w:val="center"/>
                    <w:rPr>
                      <w:color w:val="auto"/>
                      <w:szCs w:val="21"/>
                      <w:highlight w:val="none"/>
                    </w:rPr>
                  </w:pPr>
                </w:p>
              </w:tc>
              <w:tc>
                <w:tcPr>
                  <w:tcW w:w="750" w:type="pct"/>
                  <w:vMerge w:val="continue"/>
                  <w:vAlign w:val="center"/>
                </w:tcPr>
                <w:p>
                  <w:pPr>
                    <w:jc w:val="center"/>
                    <w:rPr>
                      <w:color w:val="auto"/>
                      <w:szCs w:val="21"/>
                      <w:highlight w:val="none"/>
                    </w:rPr>
                  </w:pPr>
                </w:p>
              </w:tc>
              <w:tc>
                <w:tcPr>
                  <w:tcW w:w="748" w:type="pct"/>
                  <w:vAlign w:val="center"/>
                </w:tcPr>
                <w:p>
                  <w:pPr>
                    <w:jc w:val="center"/>
                    <w:rPr>
                      <w:color w:val="auto"/>
                      <w:szCs w:val="21"/>
                      <w:highlight w:val="none"/>
                    </w:rPr>
                  </w:pPr>
                  <w:r>
                    <w:rPr>
                      <w:color w:val="auto"/>
                      <w:szCs w:val="21"/>
                      <w:highlight w:val="none"/>
                    </w:rPr>
                    <w:t>HCl</w:t>
                  </w:r>
                </w:p>
              </w:tc>
              <w:tc>
                <w:tcPr>
                  <w:tcW w:w="867" w:type="pct"/>
                  <w:vAlign w:val="center"/>
                </w:tcPr>
                <w:p>
                  <w:pPr>
                    <w:adjustRightInd w:val="0"/>
                    <w:snapToGrid w:val="0"/>
                    <w:ind w:left="-105" w:leftChars="-50" w:right="-105" w:rightChars="-50"/>
                    <w:jc w:val="center"/>
                    <w:rPr>
                      <w:color w:val="auto"/>
                      <w:szCs w:val="21"/>
                      <w:highlight w:val="none"/>
                    </w:rPr>
                  </w:pPr>
                  <w:r>
                    <w:rPr>
                      <w:rFonts w:hint="eastAsia"/>
                      <w:color w:val="auto"/>
                      <w:szCs w:val="21"/>
                      <w:highlight w:val="none"/>
                    </w:rPr>
                    <w:t>0.2</w:t>
                  </w:r>
                </w:p>
              </w:tc>
              <w:tc>
                <w:tcPr>
                  <w:tcW w:w="952" w:type="pct"/>
                  <w:vAlign w:val="center"/>
                </w:tcPr>
                <w:p>
                  <w:pPr>
                    <w:adjustRightInd w:val="0"/>
                    <w:snapToGrid w:val="0"/>
                    <w:ind w:left="-105" w:leftChars="-50" w:right="-105" w:rightChars="-50"/>
                    <w:jc w:val="center"/>
                    <w:rPr>
                      <w:color w:val="auto"/>
                      <w:szCs w:val="21"/>
                      <w:highlight w:val="none"/>
                    </w:rPr>
                  </w:pPr>
                  <w:r>
                    <w:rPr>
                      <w:color w:val="auto"/>
                      <w:szCs w:val="21"/>
                      <w:highlight w:val="none"/>
                    </w:rPr>
                    <w:t>0.00</w:t>
                  </w:r>
                  <w:r>
                    <w:rPr>
                      <w:rFonts w:hint="eastAsia"/>
                      <w:color w:val="auto"/>
                      <w:szCs w:val="21"/>
                      <w:highlight w:val="none"/>
                    </w:rPr>
                    <w:t>2</w:t>
                  </w:r>
                </w:p>
              </w:tc>
              <w:tc>
                <w:tcPr>
                  <w:tcW w:w="955" w:type="pct"/>
                  <w:vAlign w:val="center"/>
                </w:tcPr>
                <w:p>
                  <w:pPr>
                    <w:jc w:val="center"/>
                    <w:rPr>
                      <w:color w:val="auto"/>
                      <w:szCs w:val="21"/>
                      <w:highlight w:val="none"/>
                    </w:rPr>
                  </w:pPr>
                  <w:r>
                    <w:rPr>
                      <w:rFonts w:hint="eastAsia"/>
                      <w:color w:val="auto"/>
                      <w:szCs w:val="21"/>
                      <w:highlight w:val="none"/>
                    </w:rPr>
                    <w:t>0.004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25" w:type="pct"/>
                  <w:vMerge w:val="restart"/>
                  <w:vAlign w:val="center"/>
                </w:tcPr>
                <w:p>
                  <w:pPr>
                    <w:jc w:val="center"/>
                    <w:rPr>
                      <w:color w:val="auto"/>
                      <w:szCs w:val="21"/>
                      <w:highlight w:val="none"/>
                    </w:rPr>
                  </w:pPr>
                  <w:r>
                    <w:rPr>
                      <w:color w:val="auto"/>
                      <w:szCs w:val="21"/>
                      <w:highlight w:val="none"/>
                    </w:rPr>
                    <w:t>2</w:t>
                  </w:r>
                </w:p>
              </w:tc>
              <w:tc>
                <w:tcPr>
                  <w:tcW w:w="750" w:type="pct"/>
                  <w:vMerge w:val="restart"/>
                  <w:vAlign w:val="center"/>
                </w:tcPr>
                <w:p>
                  <w:pPr>
                    <w:jc w:val="center"/>
                    <w:rPr>
                      <w:color w:val="auto"/>
                      <w:szCs w:val="21"/>
                      <w:highlight w:val="none"/>
                    </w:rPr>
                  </w:pPr>
                  <w:r>
                    <w:rPr>
                      <w:color w:val="auto"/>
                      <w:szCs w:val="21"/>
                      <w:highlight w:val="none"/>
                    </w:rPr>
                    <w:t>液化石油气燃烧废气</w:t>
                  </w:r>
                </w:p>
              </w:tc>
              <w:tc>
                <w:tcPr>
                  <w:tcW w:w="748" w:type="pct"/>
                  <w:vAlign w:val="center"/>
                </w:tcPr>
                <w:p>
                  <w:pPr>
                    <w:jc w:val="center"/>
                    <w:rPr>
                      <w:color w:val="auto"/>
                      <w:szCs w:val="21"/>
                      <w:highlight w:val="none"/>
                    </w:rPr>
                  </w:pPr>
                  <w:r>
                    <w:rPr>
                      <w:color w:val="auto"/>
                      <w:szCs w:val="21"/>
                      <w:highlight w:val="none"/>
                    </w:rPr>
                    <w:t>非甲烷总烃</w:t>
                  </w:r>
                </w:p>
              </w:tc>
              <w:tc>
                <w:tcPr>
                  <w:tcW w:w="867" w:type="pct"/>
                  <w:vAlign w:val="center"/>
                </w:tcPr>
                <w:p>
                  <w:pPr>
                    <w:adjustRightInd w:val="0"/>
                    <w:snapToGrid w:val="0"/>
                    <w:ind w:left="-105" w:leftChars="-50" w:right="-105" w:rightChars="-50"/>
                    <w:jc w:val="center"/>
                    <w:rPr>
                      <w:color w:val="auto"/>
                      <w:szCs w:val="21"/>
                      <w:highlight w:val="none"/>
                    </w:rPr>
                  </w:pPr>
                  <w:r>
                    <w:rPr>
                      <w:rFonts w:hint="eastAsia"/>
                      <w:color w:val="auto"/>
                      <w:szCs w:val="21"/>
                      <w:highlight w:val="none"/>
                    </w:rPr>
                    <w:t>0.3</w:t>
                  </w:r>
                </w:p>
              </w:tc>
              <w:tc>
                <w:tcPr>
                  <w:tcW w:w="952" w:type="pct"/>
                  <w:vAlign w:val="center"/>
                </w:tcPr>
                <w:p>
                  <w:pPr>
                    <w:adjustRightInd w:val="0"/>
                    <w:snapToGrid w:val="0"/>
                    <w:ind w:left="-105" w:leftChars="-50" w:right="-105" w:rightChars="-50"/>
                    <w:jc w:val="center"/>
                    <w:rPr>
                      <w:color w:val="auto"/>
                      <w:szCs w:val="21"/>
                      <w:highlight w:val="none"/>
                    </w:rPr>
                  </w:pPr>
                  <w:r>
                    <w:rPr>
                      <w:rFonts w:hint="eastAsia"/>
                      <w:color w:val="auto"/>
                      <w:szCs w:val="21"/>
                      <w:highlight w:val="none"/>
                    </w:rPr>
                    <w:t>0.003</w:t>
                  </w:r>
                </w:p>
              </w:tc>
              <w:tc>
                <w:tcPr>
                  <w:tcW w:w="955" w:type="pct"/>
                  <w:vAlign w:val="center"/>
                </w:tcPr>
                <w:p>
                  <w:pPr>
                    <w:adjustRightInd w:val="0"/>
                    <w:snapToGrid w:val="0"/>
                    <w:ind w:left="-105" w:leftChars="-50" w:right="-105" w:rightChars="-50"/>
                    <w:jc w:val="center"/>
                    <w:rPr>
                      <w:color w:val="auto"/>
                      <w:szCs w:val="21"/>
                      <w:highlight w:val="none"/>
                    </w:rPr>
                  </w:pPr>
                  <w:r>
                    <w:rPr>
                      <w:rFonts w:hint="eastAsia"/>
                      <w:color w:val="auto"/>
                      <w:szCs w:val="21"/>
                      <w:highlight w:val="none"/>
                    </w:rPr>
                    <w:t>0.005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25" w:type="pct"/>
                  <w:vMerge w:val="continue"/>
                  <w:vAlign w:val="center"/>
                </w:tcPr>
                <w:p>
                  <w:pPr>
                    <w:jc w:val="center"/>
                    <w:rPr>
                      <w:color w:val="auto"/>
                      <w:szCs w:val="21"/>
                      <w:highlight w:val="none"/>
                    </w:rPr>
                  </w:pPr>
                </w:p>
              </w:tc>
              <w:tc>
                <w:tcPr>
                  <w:tcW w:w="750" w:type="pct"/>
                  <w:vMerge w:val="continue"/>
                  <w:vAlign w:val="center"/>
                </w:tcPr>
                <w:p>
                  <w:pPr>
                    <w:jc w:val="center"/>
                    <w:rPr>
                      <w:color w:val="auto"/>
                      <w:szCs w:val="21"/>
                      <w:highlight w:val="none"/>
                    </w:rPr>
                  </w:pPr>
                </w:p>
              </w:tc>
              <w:tc>
                <w:tcPr>
                  <w:tcW w:w="748" w:type="pct"/>
                  <w:vAlign w:val="center"/>
                </w:tcPr>
                <w:p>
                  <w:pPr>
                    <w:jc w:val="center"/>
                    <w:rPr>
                      <w:color w:val="auto"/>
                      <w:szCs w:val="21"/>
                      <w:highlight w:val="none"/>
                    </w:rPr>
                  </w:pPr>
                  <w:r>
                    <w:rPr>
                      <w:color w:val="auto"/>
                      <w:szCs w:val="21"/>
                      <w:highlight w:val="none"/>
                    </w:rPr>
                    <w:t>氮氧化物</w:t>
                  </w:r>
                </w:p>
              </w:tc>
              <w:tc>
                <w:tcPr>
                  <w:tcW w:w="867" w:type="pct"/>
                  <w:vAlign w:val="center"/>
                </w:tcPr>
                <w:p>
                  <w:pPr>
                    <w:adjustRightInd w:val="0"/>
                    <w:snapToGrid w:val="0"/>
                    <w:ind w:left="-105" w:leftChars="-50" w:right="-105" w:rightChars="-50"/>
                    <w:jc w:val="center"/>
                    <w:rPr>
                      <w:color w:val="auto"/>
                      <w:szCs w:val="21"/>
                      <w:highlight w:val="none"/>
                    </w:rPr>
                  </w:pPr>
                  <w:r>
                    <w:rPr>
                      <w:rFonts w:hint="eastAsia"/>
                      <w:color w:val="auto"/>
                      <w:szCs w:val="21"/>
                      <w:highlight w:val="none"/>
                    </w:rPr>
                    <w:t>0.1</w:t>
                  </w:r>
                </w:p>
              </w:tc>
              <w:tc>
                <w:tcPr>
                  <w:tcW w:w="952" w:type="pct"/>
                  <w:vAlign w:val="center"/>
                </w:tcPr>
                <w:p>
                  <w:pPr>
                    <w:adjustRightInd w:val="0"/>
                    <w:snapToGrid w:val="0"/>
                    <w:ind w:left="-105" w:leftChars="-50" w:right="-105" w:rightChars="-50"/>
                    <w:jc w:val="center"/>
                    <w:rPr>
                      <w:color w:val="auto"/>
                      <w:szCs w:val="21"/>
                      <w:highlight w:val="none"/>
                    </w:rPr>
                  </w:pPr>
                  <w:r>
                    <w:rPr>
                      <w:color w:val="auto"/>
                      <w:szCs w:val="21"/>
                      <w:highlight w:val="none"/>
                    </w:rPr>
                    <w:t>0.00</w:t>
                  </w:r>
                  <w:r>
                    <w:rPr>
                      <w:rFonts w:hint="eastAsia"/>
                      <w:color w:val="auto"/>
                      <w:szCs w:val="21"/>
                      <w:highlight w:val="none"/>
                    </w:rPr>
                    <w:t>1</w:t>
                  </w:r>
                </w:p>
              </w:tc>
              <w:tc>
                <w:tcPr>
                  <w:tcW w:w="955" w:type="pct"/>
                  <w:vAlign w:val="center"/>
                </w:tcPr>
                <w:p>
                  <w:pPr>
                    <w:adjustRightInd w:val="0"/>
                    <w:snapToGrid w:val="0"/>
                    <w:ind w:left="-105" w:leftChars="-50" w:right="-105" w:rightChars="-50"/>
                    <w:jc w:val="center"/>
                    <w:rPr>
                      <w:color w:val="auto"/>
                      <w:szCs w:val="21"/>
                      <w:highlight w:val="none"/>
                    </w:rPr>
                  </w:pPr>
                  <w:r>
                    <w:rPr>
                      <w:rFonts w:hint="eastAsia"/>
                      <w:color w:val="auto"/>
                      <w:szCs w:val="21"/>
                      <w:highlight w:val="none"/>
                    </w:rPr>
                    <w:t>0.002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25" w:type="pct"/>
                  <w:vAlign w:val="center"/>
                </w:tcPr>
                <w:p>
                  <w:pPr>
                    <w:jc w:val="center"/>
                    <w:rPr>
                      <w:color w:val="auto"/>
                      <w:szCs w:val="21"/>
                      <w:highlight w:val="none"/>
                    </w:rPr>
                  </w:pPr>
                  <w:r>
                    <w:rPr>
                      <w:rFonts w:hint="eastAsia"/>
                      <w:color w:val="auto"/>
                      <w:szCs w:val="21"/>
                      <w:highlight w:val="none"/>
                    </w:rPr>
                    <w:t>3</w:t>
                  </w:r>
                </w:p>
              </w:tc>
              <w:tc>
                <w:tcPr>
                  <w:tcW w:w="750" w:type="pct"/>
                  <w:vAlign w:val="center"/>
                </w:tcPr>
                <w:p>
                  <w:pPr>
                    <w:jc w:val="center"/>
                    <w:rPr>
                      <w:color w:val="auto"/>
                      <w:szCs w:val="21"/>
                      <w:highlight w:val="none"/>
                    </w:rPr>
                  </w:pPr>
                  <w:r>
                    <w:rPr>
                      <w:rFonts w:hint="eastAsia"/>
                      <w:color w:val="auto"/>
                      <w:szCs w:val="21"/>
                      <w:highlight w:val="none"/>
                    </w:rPr>
                    <w:t>危废库</w:t>
                  </w:r>
                </w:p>
              </w:tc>
              <w:tc>
                <w:tcPr>
                  <w:tcW w:w="748" w:type="pct"/>
                  <w:vAlign w:val="center"/>
                </w:tcPr>
                <w:p>
                  <w:pPr>
                    <w:jc w:val="center"/>
                    <w:rPr>
                      <w:color w:val="auto"/>
                      <w:szCs w:val="21"/>
                      <w:highlight w:val="none"/>
                    </w:rPr>
                  </w:pPr>
                  <w:r>
                    <w:rPr>
                      <w:rFonts w:hint="eastAsia"/>
                      <w:color w:val="auto"/>
                      <w:szCs w:val="21"/>
                      <w:highlight w:val="none"/>
                    </w:rPr>
                    <w:t>非甲烷总烃</w:t>
                  </w:r>
                </w:p>
              </w:tc>
              <w:tc>
                <w:tcPr>
                  <w:tcW w:w="867" w:type="pct"/>
                  <w:vAlign w:val="center"/>
                </w:tcPr>
                <w:p>
                  <w:pPr>
                    <w:adjustRightInd w:val="0"/>
                    <w:snapToGrid w:val="0"/>
                    <w:ind w:left="-105" w:leftChars="-50" w:right="-105" w:rightChars="-50"/>
                    <w:jc w:val="center"/>
                    <w:rPr>
                      <w:color w:val="auto"/>
                      <w:szCs w:val="21"/>
                      <w:highlight w:val="none"/>
                    </w:rPr>
                  </w:pPr>
                  <w:r>
                    <w:rPr>
                      <w:rFonts w:hint="eastAsia"/>
                      <w:color w:val="auto"/>
                      <w:szCs w:val="21"/>
                      <w:highlight w:val="none"/>
                    </w:rPr>
                    <w:t>1</w:t>
                  </w:r>
                </w:p>
              </w:tc>
              <w:tc>
                <w:tcPr>
                  <w:tcW w:w="952" w:type="pct"/>
                  <w:vAlign w:val="center"/>
                </w:tcPr>
                <w:p>
                  <w:pPr>
                    <w:adjustRightInd w:val="0"/>
                    <w:snapToGrid w:val="0"/>
                    <w:ind w:left="-105" w:leftChars="-50" w:right="-105" w:rightChars="-50"/>
                    <w:jc w:val="center"/>
                    <w:rPr>
                      <w:color w:val="auto"/>
                      <w:szCs w:val="21"/>
                      <w:highlight w:val="none"/>
                    </w:rPr>
                  </w:pPr>
                  <w:r>
                    <w:rPr>
                      <w:rFonts w:hint="eastAsia"/>
                      <w:color w:val="auto"/>
                      <w:szCs w:val="21"/>
                      <w:highlight w:val="none"/>
                    </w:rPr>
                    <w:t>0.002</w:t>
                  </w:r>
                </w:p>
              </w:tc>
              <w:tc>
                <w:tcPr>
                  <w:tcW w:w="955" w:type="pct"/>
                  <w:vAlign w:val="center"/>
                </w:tcPr>
                <w:p>
                  <w:pPr>
                    <w:adjustRightInd w:val="0"/>
                    <w:snapToGrid w:val="0"/>
                    <w:ind w:left="-105" w:leftChars="-50" w:right="-105" w:rightChars="-50"/>
                    <w:jc w:val="center"/>
                    <w:rPr>
                      <w:color w:val="auto"/>
                      <w:szCs w:val="21"/>
                      <w:highlight w:val="none"/>
                    </w:rPr>
                  </w:pPr>
                  <w:r>
                    <w:rPr>
                      <w:rFonts w:hint="eastAsia"/>
                      <w:color w:val="auto"/>
                      <w:szCs w:val="21"/>
                      <w:highlight w:val="none"/>
                    </w:rPr>
                    <w:t>0.018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476" w:type="pct"/>
                  <w:gridSpan w:val="2"/>
                  <w:vAlign w:val="center"/>
                </w:tcPr>
                <w:p>
                  <w:pPr>
                    <w:jc w:val="center"/>
                    <w:rPr>
                      <w:color w:val="auto"/>
                      <w:szCs w:val="21"/>
                      <w:highlight w:val="none"/>
                    </w:rPr>
                  </w:pPr>
                  <w:r>
                    <w:rPr>
                      <w:color w:val="auto"/>
                      <w:szCs w:val="21"/>
                      <w:highlight w:val="none"/>
                    </w:rPr>
                    <w:t>主要排放口合计</w:t>
                  </w:r>
                </w:p>
              </w:tc>
              <w:tc>
                <w:tcPr>
                  <w:tcW w:w="2568" w:type="pct"/>
                  <w:gridSpan w:val="3"/>
                  <w:vAlign w:val="center"/>
                </w:tcPr>
                <w:p>
                  <w:pPr>
                    <w:widowControl/>
                    <w:jc w:val="center"/>
                    <w:rPr>
                      <w:color w:val="auto"/>
                      <w:kern w:val="0"/>
                      <w:szCs w:val="21"/>
                      <w:highlight w:val="none"/>
                    </w:rPr>
                  </w:pPr>
                  <w:r>
                    <w:rPr>
                      <w:color w:val="auto"/>
                      <w:kern w:val="0"/>
                      <w:szCs w:val="21"/>
                      <w:highlight w:val="none"/>
                    </w:rPr>
                    <w:t>--</w:t>
                  </w:r>
                </w:p>
              </w:tc>
              <w:tc>
                <w:tcPr>
                  <w:tcW w:w="955" w:type="pct"/>
                  <w:vAlign w:val="center"/>
                </w:tcPr>
                <w:p>
                  <w:pPr>
                    <w:widowControl/>
                    <w:jc w:val="center"/>
                    <w:rPr>
                      <w:color w:val="auto"/>
                      <w:szCs w:val="21"/>
                      <w:highlight w:val="none"/>
                    </w:rPr>
                  </w:pPr>
                  <w:r>
                    <w:rPr>
                      <w:color w:val="auto"/>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476" w:type="pct"/>
                  <w:gridSpan w:val="2"/>
                  <w:vMerge w:val="restart"/>
                  <w:vAlign w:val="center"/>
                </w:tcPr>
                <w:p>
                  <w:pPr>
                    <w:jc w:val="center"/>
                    <w:rPr>
                      <w:color w:val="auto"/>
                      <w:szCs w:val="21"/>
                      <w:highlight w:val="none"/>
                    </w:rPr>
                  </w:pPr>
                  <w:r>
                    <w:rPr>
                      <w:color w:val="auto"/>
                      <w:szCs w:val="21"/>
                      <w:highlight w:val="none"/>
                    </w:rPr>
                    <w:t>一般排放口合计</w:t>
                  </w:r>
                </w:p>
              </w:tc>
              <w:tc>
                <w:tcPr>
                  <w:tcW w:w="2568" w:type="pct"/>
                  <w:gridSpan w:val="3"/>
                  <w:vAlign w:val="center"/>
                </w:tcPr>
                <w:p>
                  <w:pPr>
                    <w:jc w:val="center"/>
                    <w:rPr>
                      <w:color w:val="auto"/>
                      <w:szCs w:val="21"/>
                      <w:highlight w:val="none"/>
                    </w:rPr>
                  </w:pPr>
                  <w:r>
                    <w:rPr>
                      <w:color w:val="auto"/>
                      <w:szCs w:val="21"/>
                      <w:highlight w:val="none"/>
                    </w:rPr>
                    <w:t>非甲烷总烃</w:t>
                  </w:r>
                </w:p>
              </w:tc>
              <w:tc>
                <w:tcPr>
                  <w:tcW w:w="955" w:type="pct"/>
                  <w:vAlign w:val="center"/>
                </w:tcPr>
                <w:p>
                  <w:pPr>
                    <w:jc w:val="center"/>
                    <w:rPr>
                      <w:color w:val="auto"/>
                      <w:szCs w:val="21"/>
                      <w:highlight w:val="none"/>
                    </w:rPr>
                  </w:pPr>
                  <w:r>
                    <w:rPr>
                      <w:rFonts w:hint="eastAsia"/>
                      <w:color w:val="auto"/>
                      <w:szCs w:val="21"/>
                      <w:highlight w:val="none"/>
                    </w:rPr>
                    <w:t>0.161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rPr>
              <w:tc>
                <w:tcPr>
                  <w:tcW w:w="1476" w:type="pct"/>
                  <w:gridSpan w:val="2"/>
                  <w:vMerge w:val="continue"/>
                  <w:vAlign w:val="center"/>
                </w:tcPr>
                <w:p>
                  <w:pPr>
                    <w:jc w:val="center"/>
                    <w:rPr>
                      <w:color w:val="auto"/>
                      <w:szCs w:val="21"/>
                      <w:highlight w:val="none"/>
                    </w:rPr>
                  </w:pPr>
                </w:p>
              </w:tc>
              <w:tc>
                <w:tcPr>
                  <w:tcW w:w="2568" w:type="pct"/>
                  <w:gridSpan w:val="3"/>
                  <w:vAlign w:val="center"/>
                </w:tcPr>
                <w:p>
                  <w:pPr>
                    <w:jc w:val="center"/>
                    <w:rPr>
                      <w:color w:val="auto"/>
                      <w:szCs w:val="21"/>
                      <w:highlight w:val="none"/>
                    </w:rPr>
                  </w:pPr>
                  <w:r>
                    <w:rPr>
                      <w:color w:val="auto"/>
                      <w:szCs w:val="21"/>
                      <w:highlight w:val="none"/>
                    </w:rPr>
                    <w:t>HCl</w:t>
                  </w:r>
                </w:p>
              </w:tc>
              <w:tc>
                <w:tcPr>
                  <w:tcW w:w="955" w:type="pct"/>
                  <w:vAlign w:val="center"/>
                </w:tcPr>
                <w:p>
                  <w:pPr>
                    <w:jc w:val="center"/>
                    <w:rPr>
                      <w:color w:val="auto"/>
                      <w:szCs w:val="21"/>
                      <w:highlight w:val="none"/>
                    </w:rPr>
                  </w:pPr>
                  <w:r>
                    <w:rPr>
                      <w:rFonts w:hint="eastAsia"/>
                      <w:color w:val="auto"/>
                      <w:szCs w:val="21"/>
                      <w:highlight w:val="none"/>
                    </w:rPr>
                    <w:t>0.004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476" w:type="pct"/>
                  <w:gridSpan w:val="2"/>
                  <w:vMerge w:val="continue"/>
                  <w:vAlign w:val="center"/>
                </w:tcPr>
                <w:p>
                  <w:pPr>
                    <w:jc w:val="center"/>
                    <w:rPr>
                      <w:color w:val="auto"/>
                      <w:szCs w:val="21"/>
                      <w:highlight w:val="none"/>
                    </w:rPr>
                  </w:pPr>
                </w:p>
              </w:tc>
              <w:tc>
                <w:tcPr>
                  <w:tcW w:w="2568" w:type="pct"/>
                  <w:gridSpan w:val="3"/>
                  <w:vAlign w:val="center"/>
                </w:tcPr>
                <w:p>
                  <w:pPr>
                    <w:jc w:val="center"/>
                    <w:rPr>
                      <w:color w:val="auto"/>
                      <w:szCs w:val="21"/>
                      <w:highlight w:val="none"/>
                    </w:rPr>
                  </w:pPr>
                  <w:r>
                    <w:rPr>
                      <w:color w:val="auto"/>
                      <w:szCs w:val="21"/>
                      <w:highlight w:val="none"/>
                    </w:rPr>
                    <w:t>氮氧化物</w:t>
                  </w:r>
                </w:p>
              </w:tc>
              <w:tc>
                <w:tcPr>
                  <w:tcW w:w="955" w:type="pct"/>
                  <w:vAlign w:val="center"/>
                </w:tcPr>
                <w:p>
                  <w:pPr>
                    <w:adjustRightInd w:val="0"/>
                    <w:snapToGrid w:val="0"/>
                    <w:jc w:val="center"/>
                    <w:rPr>
                      <w:color w:val="auto"/>
                      <w:szCs w:val="21"/>
                      <w:highlight w:val="none"/>
                    </w:rPr>
                  </w:pPr>
                  <w:r>
                    <w:rPr>
                      <w:rFonts w:hint="eastAsia"/>
                      <w:color w:val="auto"/>
                      <w:szCs w:val="21"/>
                      <w:highlight w:val="none"/>
                    </w:rPr>
                    <w:t>0.002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000" w:type="pct"/>
                  <w:gridSpan w:val="6"/>
                  <w:vAlign w:val="center"/>
                </w:tcPr>
                <w:p>
                  <w:pPr>
                    <w:jc w:val="center"/>
                    <w:rPr>
                      <w:color w:val="auto"/>
                      <w:szCs w:val="21"/>
                      <w:highlight w:val="none"/>
                    </w:rPr>
                  </w:pPr>
                  <w:r>
                    <w:rPr>
                      <w:color w:val="auto"/>
                      <w:szCs w:val="21"/>
                      <w:highlight w:val="none"/>
                    </w:rPr>
                    <w:t>有组织排放总计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 w:hRule="atLeast"/>
              </w:trPr>
              <w:tc>
                <w:tcPr>
                  <w:tcW w:w="1476" w:type="pct"/>
                  <w:gridSpan w:val="2"/>
                  <w:vMerge w:val="restart"/>
                  <w:vAlign w:val="center"/>
                </w:tcPr>
                <w:p>
                  <w:pPr>
                    <w:jc w:val="center"/>
                    <w:rPr>
                      <w:color w:val="auto"/>
                      <w:szCs w:val="21"/>
                      <w:highlight w:val="none"/>
                    </w:rPr>
                  </w:pPr>
                  <w:r>
                    <w:rPr>
                      <w:color w:val="auto"/>
                      <w:szCs w:val="21"/>
                      <w:highlight w:val="none"/>
                    </w:rPr>
                    <w:t>有组织排放总计</w:t>
                  </w:r>
                </w:p>
              </w:tc>
              <w:tc>
                <w:tcPr>
                  <w:tcW w:w="2568" w:type="pct"/>
                  <w:gridSpan w:val="3"/>
                  <w:vAlign w:val="center"/>
                </w:tcPr>
                <w:p>
                  <w:pPr>
                    <w:jc w:val="center"/>
                    <w:rPr>
                      <w:color w:val="auto"/>
                      <w:szCs w:val="21"/>
                      <w:highlight w:val="none"/>
                    </w:rPr>
                  </w:pPr>
                  <w:r>
                    <w:rPr>
                      <w:color w:val="auto"/>
                      <w:szCs w:val="21"/>
                      <w:highlight w:val="none"/>
                    </w:rPr>
                    <w:t>非甲烷总烃</w:t>
                  </w:r>
                </w:p>
              </w:tc>
              <w:tc>
                <w:tcPr>
                  <w:tcW w:w="1661" w:type="dxa"/>
                  <w:vAlign w:val="center"/>
                </w:tcPr>
                <w:p>
                  <w:pPr>
                    <w:jc w:val="center"/>
                    <w:rPr>
                      <w:color w:val="auto"/>
                      <w:szCs w:val="21"/>
                      <w:highlight w:val="none"/>
                    </w:rPr>
                  </w:pPr>
                  <w:r>
                    <w:rPr>
                      <w:rFonts w:hint="eastAsia"/>
                      <w:color w:val="auto"/>
                      <w:szCs w:val="21"/>
                      <w:highlight w:val="none"/>
                    </w:rPr>
                    <w:t>0.161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476" w:type="pct"/>
                  <w:gridSpan w:val="2"/>
                  <w:vMerge w:val="continue"/>
                  <w:vAlign w:val="center"/>
                </w:tcPr>
                <w:p>
                  <w:pPr>
                    <w:jc w:val="center"/>
                    <w:rPr>
                      <w:color w:val="auto"/>
                      <w:szCs w:val="21"/>
                      <w:highlight w:val="none"/>
                    </w:rPr>
                  </w:pPr>
                </w:p>
              </w:tc>
              <w:tc>
                <w:tcPr>
                  <w:tcW w:w="2568" w:type="pct"/>
                  <w:gridSpan w:val="3"/>
                  <w:vAlign w:val="center"/>
                </w:tcPr>
                <w:p>
                  <w:pPr>
                    <w:jc w:val="center"/>
                    <w:rPr>
                      <w:color w:val="auto"/>
                      <w:szCs w:val="21"/>
                      <w:highlight w:val="none"/>
                    </w:rPr>
                  </w:pPr>
                  <w:r>
                    <w:rPr>
                      <w:color w:val="auto"/>
                      <w:szCs w:val="21"/>
                      <w:highlight w:val="none"/>
                    </w:rPr>
                    <w:t>HCl</w:t>
                  </w:r>
                </w:p>
              </w:tc>
              <w:tc>
                <w:tcPr>
                  <w:tcW w:w="1661" w:type="dxa"/>
                  <w:vAlign w:val="center"/>
                </w:tcPr>
                <w:p>
                  <w:pPr>
                    <w:jc w:val="center"/>
                    <w:rPr>
                      <w:color w:val="auto"/>
                      <w:szCs w:val="21"/>
                      <w:highlight w:val="none"/>
                    </w:rPr>
                  </w:pPr>
                  <w:r>
                    <w:rPr>
                      <w:rFonts w:hint="eastAsia"/>
                      <w:color w:val="auto"/>
                      <w:szCs w:val="21"/>
                      <w:highlight w:val="none"/>
                    </w:rPr>
                    <w:t>0.004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476" w:type="pct"/>
                  <w:gridSpan w:val="2"/>
                  <w:vMerge w:val="continue"/>
                  <w:vAlign w:val="center"/>
                </w:tcPr>
                <w:p>
                  <w:pPr>
                    <w:jc w:val="center"/>
                    <w:rPr>
                      <w:color w:val="auto"/>
                      <w:szCs w:val="21"/>
                      <w:highlight w:val="none"/>
                    </w:rPr>
                  </w:pPr>
                </w:p>
              </w:tc>
              <w:tc>
                <w:tcPr>
                  <w:tcW w:w="2568" w:type="pct"/>
                  <w:gridSpan w:val="3"/>
                  <w:vAlign w:val="center"/>
                </w:tcPr>
                <w:p>
                  <w:pPr>
                    <w:jc w:val="center"/>
                    <w:rPr>
                      <w:color w:val="auto"/>
                      <w:szCs w:val="21"/>
                      <w:highlight w:val="none"/>
                    </w:rPr>
                  </w:pPr>
                  <w:r>
                    <w:rPr>
                      <w:color w:val="auto"/>
                      <w:szCs w:val="21"/>
                      <w:highlight w:val="none"/>
                    </w:rPr>
                    <w:t>氮氧化物</w:t>
                  </w:r>
                </w:p>
              </w:tc>
              <w:tc>
                <w:tcPr>
                  <w:tcW w:w="1661" w:type="dxa"/>
                  <w:vAlign w:val="center"/>
                </w:tcPr>
                <w:p>
                  <w:pPr>
                    <w:adjustRightInd w:val="0"/>
                    <w:snapToGrid w:val="0"/>
                    <w:jc w:val="center"/>
                    <w:rPr>
                      <w:color w:val="auto"/>
                      <w:szCs w:val="21"/>
                      <w:highlight w:val="none"/>
                    </w:rPr>
                  </w:pPr>
                  <w:r>
                    <w:rPr>
                      <w:rFonts w:hint="eastAsia"/>
                      <w:color w:val="auto"/>
                      <w:szCs w:val="21"/>
                      <w:highlight w:val="none"/>
                    </w:rPr>
                    <w:t>0.002</w:t>
                  </w:r>
                </w:p>
              </w:tc>
            </w:tr>
          </w:tbl>
          <w:p>
            <w:pPr>
              <w:spacing w:beforeLines="50" w:line="360" w:lineRule="auto"/>
              <w:jc w:val="center"/>
              <w:rPr>
                <w:b/>
                <w:color w:val="auto"/>
                <w:sz w:val="24"/>
                <w:szCs w:val="22"/>
                <w:highlight w:val="none"/>
              </w:rPr>
            </w:pPr>
            <w:r>
              <w:rPr>
                <w:b/>
                <w:color w:val="auto"/>
                <w:sz w:val="24"/>
                <w:szCs w:val="22"/>
                <w:highlight w:val="none"/>
              </w:rPr>
              <w:t>表4-</w:t>
            </w:r>
            <w:r>
              <w:rPr>
                <w:rFonts w:hint="eastAsia"/>
                <w:b/>
                <w:color w:val="auto"/>
                <w:sz w:val="24"/>
                <w:szCs w:val="22"/>
                <w:highlight w:val="none"/>
              </w:rPr>
              <w:t>6</w:t>
            </w:r>
            <w:r>
              <w:rPr>
                <w:b/>
                <w:color w:val="auto"/>
                <w:sz w:val="24"/>
                <w:szCs w:val="22"/>
                <w:highlight w:val="none"/>
              </w:rPr>
              <w:t xml:space="preserve">  大气污染物无组织排放量核算表</w:t>
            </w:r>
          </w:p>
          <w:tbl>
            <w:tblPr>
              <w:tblStyle w:val="34"/>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592"/>
              <w:gridCol w:w="1280"/>
              <w:gridCol w:w="1247"/>
              <w:gridCol w:w="758"/>
              <w:gridCol w:w="2247"/>
              <w:gridCol w:w="1213"/>
              <w:gridCol w:w="9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45" w:type="pct"/>
                  <w:vMerge w:val="restart"/>
                  <w:vAlign w:val="center"/>
                </w:tcPr>
                <w:p>
                  <w:pPr>
                    <w:jc w:val="center"/>
                    <w:rPr>
                      <w:color w:val="auto"/>
                      <w:szCs w:val="21"/>
                      <w:highlight w:val="none"/>
                    </w:rPr>
                  </w:pPr>
                  <w:r>
                    <w:rPr>
                      <w:color w:val="auto"/>
                      <w:szCs w:val="21"/>
                      <w:highlight w:val="none"/>
                    </w:rPr>
                    <w:t>序号</w:t>
                  </w:r>
                </w:p>
              </w:tc>
              <w:tc>
                <w:tcPr>
                  <w:tcW w:w="340" w:type="pct"/>
                  <w:vMerge w:val="restart"/>
                  <w:vAlign w:val="center"/>
                </w:tcPr>
                <w:p>
                  <w:pPr>
                    <w:jc w:val="center"/>
                    <w:rPr>
                      <w:color w:val="auto"/>
                      <w:szCs w:val="21"/>
                      <w:highlight w:val="none"/>
                    </w:rPr>
                  </w:pPr>
                  <w:r>
                    <w:rPr>
                      <w:color w:val="auto"/>
                      <w:szCs w:val="21"/>
                      <w:highlight w:val="none"/>
                    </w:rPr>
                    <w:t>排放口编号</w:t>
                  </w:r>
                </w:p>
              </w:tc>
              <w:tc>
                <w:tcPr>
                  <w:tcW w:w="737" w:type="pct"/>
                  <w:vMerge w:val="restart"/>
                  <w:vAlign w:val="center"/>
                </w:tcPr>
                <w:p>
                  <w:pPr>
                    <w:jc w:val="center"/>
                    <w:rPr>
                      <w:color w:val="auto"/>
                      <w:szCs w:val="21"/>
                      <w:highlight w:val="none"/>
                    </w:rPr>
                  </w:pPr>
                  <w:r>
                    <w:rPr>
                      <w:color w:val="auto"/>
                      <w:szCs w:val="21"/>
                      <w:highlight w:val="none"/>
                    </w:rPr>
                    <w:t>产污</w:t>
                  </w:r>
                </w:p>
                <w:p>
                  <w:pPr>
                    <w:jc w:val="center"/>
                    <w:rPr>
                      <w:color w:val="auto"/>
                      <w:szCs w:val="21"/>
                      <w:highlight w:val="none"/>
                    </w:rPr>
                  </w:pPr>
                  <w:r>
                    <w:rPr>
                      <w:color w:val="auto"/>
                      <w:szCs w:val="21"/>
                      <w:highlight w:val="none"/>
                    </w:rPr>
                    <w:t>环节</w:t>
                  </w:r>
                </w:p>
              </w:tc>
              <w:tc>
                <w:tcPr>
                  <w:tcW w:w="718" w:type="pct"/>
                  <w:vMerge w:val="restart"/>
                  <w:vAlign w:val="center"/>
                </w:tcPr>
                <w:p>
                  <w:pPr>
                    <w:jc w:val="center"/>
                    <w:rPr>
                      <w:color w:val="auto"/>
                      <w:szCs w:val="21"/>
                      <w:highlight w:val="none"/>
                    </w:rPr>
                  </w:pPr>
                  <w:r>
                    <w:rPr>
                      <w:color w:val="auto"/>
                      <w:szCs w:val="21"/>
                      <w:highlight w:val="none"/>
                    </w:rPr>
                    <w:t>污染物</w:t>
                  </w:r>
                </w:p>
              </w:tc>
              <w:tc>
                <w:tcPr>
                  <w:tcW w:w="436" w:type="pct"/>
                  <w:vMerge w:val="restart"/>
                  <w:vAlign w:val="center"/>
                </w:tcPr>
                <w:p>
                  <w:pPr>
                    <w:jc w:val="center"/>
                    <w:rPr>
                      <w:color w:val="auto"/>
                      <w:szCs w:val="21"/>
                      <w:highlight w:val="none"/>
                    </w:rPr>
                  </w:pPr>
                  <w:r>
                    <w:rPr>
                      <w:color w:val="auto"/>
                      <w:szCs w:val="21"/>
                      <w:highlight w:val="none"/>
                    </w:rPr>
                    <w:t>主要污染防治措施</w:t>
                  </w:r>
                </w:p>
              </w:tc>
              <w:tc>
                <w:tcPr>
                  <w:tcW w:w="1990" w:type="pct"/>
                  <w:gridSpan w:val="2"/>
                  <w:vAlign w:val="center"/>
                </w:tcPr>
                <w:p>
                  <w:pPr>
                    <w:jc w:val="center"/>
                    <w:rPr>
                      <w:color w:val="auto"/>
                      <w:szCs w:val="21"/>
                      <w:highlight w:val="none"/>
                    </w:rPr>
                  </w:pPr>
                  <w:r>
                    <w:rPr>
                      <w:color w:val="auto"/>
                      <w:szCs w:val="21"/>
                      <w:highlight w:val="none"/>
                    </w:rPr>
                    <w:t>国家或地方污染物排放标准</w:t>
                  </w:r>
                </w:p>
              </w:tc>
              <w:tc>
                <w:tcPr>
                  <w:tcW w:w="531" w:type="pct"/>
                  <w:vMerge w:val="restart"/>
                  <w:vAlign w:val="center"/>
                </w:tcPr>
                <w:p>
                  <w:pPr>
                    <w:jc w:val="center"/>
                    <w:rPr>
                      <w:color w:val="auto"/>
                      <w:szCs w:val="21"/>
                      <w:highlight w:val="none"/>
                    </w:rPr>
                  </w:pPr>
                  <w:r>
                    <w:rPr>
                      <w:color w:val="auto"/>
                      <w:szCs w:val="21"/>
                      <w:highlight w:val="none"/>
                    </w:rPr>
                    <w:t>排放量（</w:t>
                  </w:r>
                  <w:r>
                    <w:rPr>
                      <w:rFonts w:hint="eastAsia"/>
                      <w:color w:val="auto"/>
                      <w:szCs w:val="21"/>
                      <w:highlight w:val="none"/>
                    </w:rPr>
                    <w:t>t</w:t>
                  </w:r>
                  <w:r>
                    <w:rPr>
                      <w:color w:val="auto"/>
                      <w:szCs w:val="21"/>
                      <w:highlight w:val="none"/>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45" w:type="pct"/>
                  <w:vMerge w:val="continue"/>
                  <w:vAlign w:val="center"/>
                </w:tcPr>
                <w:p>
                  <w:pPr>
                    <w:jc w:val="center"/>
                    <w:rPr>
                      <w:color w:val="auto"/>
                      <w:szCs w:val="21"/>
                      <w:highlight w:val="none"/>
                    </w:rPr>
                  </w:pPr>
                </w:p>
              </w:tc>
              <w:tc>
                <w:tcPr>
                  <w:tcW w:w="340" w:type="pct"/>
                  <w:vMerge w:val="continue"/>
                  <w:vAlign w:val="center"/>
                </w:tcPr>
                <w:p>
                  <w:pPr>
                    <w:jc w:val="center"/>
                    <w:rPr>
                      <w:color w:val="auto"/>
                      <w:szCs w:val="21"/>
                      <w:highlight w:val="none"/>
                    </w:rPr>
                  </w:pPr>
                </w:p>
              </w:tc>
              <w:tc>
                <w:tcPr>
                  <w:tcW w:w="737" w:type="pct"/>
                  <w:vMerge w:val="continue"/>
                  <w:vAlign w:val="center"/>
                </w:tcPr>
                <w:p>
                  <w:pPr>
                    <w:jc w:val="center"/>
                    <w:rPr>
                      <w:color w:val="auto"/>
                      <w:szCs w:val="21"/>
                      <w:highlight w:val="none"/>
                    </w:rPr>
                  </w:pPr>
                </w:p>
              </w:tc>
              <w:tc>
                <w:tcPr>
                  <w:tcW w:w="718" w:type="pct"/>
                  <w:vMerge w:val="continue"/>
                  <w:vAlign w:val="center"/>
                </w:tcPr>
                <w:p>
                  <w:pPr>
                    <w:jc w:val="center"/>
                    <w:rPr>
                      <w:color w:val="auto"/>
                      <w:szCs w:val="21"/>
                      <w:highlight w:val="none"/>
                    </w:rPr>
                  </w:pPr>
                </w:p>
              </w:tc>
              <w:tc>
                <w:tcPr>
                  <w:tcW w:w="436" w:type="pct"/>
                  <w:vMerge w:val="continue"/>
                  <w:vAlign w:val="center"/>
                </w:tcPr>
                <w:p>
                  <w:pPr>
                    <w:jc w:val="center"/>
                    <w:rPr>
                      <w:color w:val="auto"/>
                      <w:szCs w:val="21"/>
                      <w:highlight w:val="none"/>
                    </w:rPr>
                  </w:pPr>
                </w:p>
              </w:tc>
              <w:tc>
                <w:tcPr>
                  <w:tcW w:w="1293" w:type="pct"/>
                  <w:vAlign w:val="center"/>
                </w:tcPr>
                <w:p>
                  <w:pPr>
                    <w:jc w:val="center"/>
                    <w:rPr>
                      <w:color w:val="auto"/>
                      <w:szCs w:val="21"/>
                      <w:highlight w:val="none"/>
                    </w:rPr>
                  </w:pPr>
                  <w:r>
                    <w:rPr>
                      <w:color w:val="auto"/>
                      <w:szCs w:val="21"/>
                      <w:highlight w:val="none"/>
                    </w:rPr>
                    <w:t>标准名称</w:t>
                  </w:r>
                </w:p>
              </w:tc>
              <w:tc>
                <w:tcPr>
                  <w:tcW w:w="697" w:type="pct"/>
                  <w:vAlign w:val="center"/>
                </w:tcPr>
                <w:p>
                  <w:pPr>
                    <w:jc w:val="center"/>
                    <w:rPr>
                      <w:color w:val="auto"/>
                      <w:szCs w:val="21"/>
                      <w:highlight w:val="none"/>
                    </w:rPr>
                  </w:pPr>
                  <w:r>
                    <w:rPr>
                      <w:color w:val="auto"/>
                      <w:szCs w:val="21"/>
                      <w:highlight w:val="none"/>
                    </w:rPr>
                    <w:t>浓度限值（mg/m</w:t>
                  </w:r>
                  <w:r>
                    <w:rPr>
                      <w:color w:val="auto"/>
                      <w:szCs w:val="21"/>
                      <w:highlight w:val="none"/>
                      <w:vertAlign w:val="superscript"/>
                    </w:rPr>
                    <w:t>3</w:t>
                  </w:r>
                  <w:r>
                    <w:rPr>
                      <w:color w:val="auto"/>
                      <w:szCs w:val="21"/>
                      <w:highlight w:val="none"/>
                    </w:rPr>
                    <w:t>）</w:t>
                  </w:r>
                </w:p>
              </w:tc>
              <w:tc>
                <w:tcPr>
                  <w:tcW w:w="531" w:type="pct"/>
                  <w:vMerge w:val="continue"/>
                  <w:vAlign w:val="center"/>
                </w:tcPr>
                <w:p>
                  <w:pPr>
                    <w:jc w:val="center"/>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45" w:type="pct"/>
                  <w:vMerge w:val="restart"/>
                  <w:vAlign w:val="center"/>
                </w:tcPr>
                <w:p>
                  <w:pPr>
                    <w:jc w:val="center"/>
                    <w:rPr>
                      <w:color w:val="auto"/>
                      <w:szCs w:val="21"/>
                      <w:highlight w:val="none"/>
                    </w:rPr>
                  </w:pPr>
                  <w:r>
                    <w:rPr>
                      <w:color w:val="auto"/>
                      <w:szCs w:val="21"/>
                      <w:highlight w:val="none"/>
                    </w:rPr>
                    <w:t>1</w:t>
                  </w:r>
                </w:p>
              </w:tc>
              <w:tc>
                <w:tcPr>
                  <w:tcW w:w="340" w:type="pct"/>
                  <w:vMerge w:val="restart"/>
                  <w:vAlign w:val="center"/>
                </w:tcPr>
                <w:p>
                  <w:pPr>
                    <w:jc w:val="center"/>
                    <w:rPr>
                      <w:color w:val="auto"/>
                      <w:szCs w:val="21"/>
                      <w:highlight w:val="none"/>
                    </w:rPr>
                  </w:pPr>
                  <w:r>
                    <w:rPr>
                      <w:color w:val="auto"/>
                      <w:szCs w:val="21"/>
                      <w:highlight w:val="none"/>
                    </w:rPr>
                    <w:t>8#厂房</w:t>
                  </w:r>
                </w:p>
              </w:tc>
              <w:tc>
                <w:tcPr>
                  <w:tcW w:w="737" w:type="pct"/>
                  <w:vMerge w:val="restart"/>
                  <w:vAlign w:val="center"/>
                </w:tcPr>
                <w:p>
                  <w:pPr>
                    <w:jc w:val="center"/>
                    <w:rPr>
                      <w:color w:val="auto"/>
                      <w:szCs w:val="21"/>
                      <w:highlight w:val="none"/>
                    </w:rPr>
                  </w:pPr>
                  <w:r>
                    <w:rPr>
                      <w:color w:val="auto"/>
                      <w:szCs w:val="21"/>
                      <w:highlight w:val="none"/>
                    </w:rPr>
                    <w:t>清洗</w:t>
                  </w:r>
                </w:p>
                <w:p>
                  <w:pPr>
                    <w:jc w:val="center"/>
                    <w:rPr>
                      <w:color w:val="auto"/>
                      <w:szCs w:val="21"/>
                      <w:highlight w:val="none"/>
                    </w:rPr>
                  </w:pPr>
                  <w:r>
                    <w:rPr>
                      <w:color w:val="auto"/>
                      <w:szCs w:val="21"/>
                      <w:highlight w:val="none"/>
                    </w:rPr>
                    <w:t>废气</w:t>
                  </w:r>
                </w:p>
              </w:tc>
              <w:tc>
                <w:tcPr>
                  <w:tcW w:w="718" w:type="pct"/>
                  <w:vAlign w:val="center"/>
                </w:tcPr>
                <w:p>
                  <w:pPr>
                    <w:jc w:val="center"/>
                    <w:rPr>
                      <w:color w:val="auto"/>
                      <w:szCs w:val="21"/>
                      <w:highlight w:val="none"/>
                    </w:rPr>
                  </w:pPr>
                  <w:r>
                    <w:rPr>
                      <w:color w:val="auto"/>
                      <w:szCs w:val="21"/>
                      <w:highlight w:val="none"/>
                    </w:rPr>
                    <w:t>非甲烷总烃</w:t>
                  </w:r>
                </w:p>
              </w:tc>
              <w:tc>
                <w:tcPr>
                  <w:tcW w:w="436" w:type="pct"/>
                  <w:vMerge w:val="restart"/>
                  <w:vAlign w:val="center"/>
                </w:tcPr>
                <w:p>
                  <w:pPr>
                    <w:adjustRightInd w:val="0"/>
                    <w:snapToGrid w:val="0"/>
                    <w:jc w:val="center"/>
                    <w:rPr>
                      <w:color w:val="auto"/>
                      <w:szCs w:val="21"/>
                      <w:highlight w:val="none"/>
                    </w:rPr>
                  </w:pPr>
                  <w:r>
                    <w:rPr>
                      <w:color w:val="auto"/>
                      <w:szCs w:val="21"/>
                      <w:highlight w:val="none"/>
                    </w:rPr>
                    <w:t>--</w:t>
                  </w:r>
                </w:p>
              </w:tc>
              <w:tc>
                <w:tcPr>
                  <w:tcW w:w="1293" w:type="pct"/>
                  <w:vMerge w:val="restart"/>
                  <w:vAlign w:val="center"/>
                </w:tcPr>
                <w:p>
                  <w:pPr>
                    <w:jc w:val="center"/>
                    <w:rPr>
                      <w:color w:val="auto"/>
                      <w:szCs w:val="21"/>
                      <w:highlight w:val="none"/>
                    </w:rPr>
                  </w:pPr>
                  <w:r>
                    <w:rPr>
                      <w:color w:val="auto"/>
                      <w:szCs w:val="21"/>
                      <w:highlight w:val="none"/>
                    </w:rPr>
                    <w:t>江苏省地方标准《大气污染物综合排放标准》（DB32/4041—2021）表3限值</w:t>
                  </w:r>
                </w:p>
              </w:tc>
              <w:tc>
                <w:tcPr>
                  <w:tcW w:w="697" w:type="pct"/>
                  <w:vAlign w:val="center"/>
                </w:tcPr>
                <w:p>
                  <w:pPr>
                    <w:jc w:val="center"/>
                    <w:rPr>
                      <w:color w:val="auto"/>
                      <w:szCs w:val="21"/>
                      <w:highlight w:val="none"/>
                    </w:rPr>
                  </w:pPr>
                  <w:r>
                    <w:rPr>
                      <w:color w:val="auto"/>
                      <w:szCs w:val="21"/>
                      <w:highlight w:val="none"/>
                    </w:rPr>
                    <w:t>4</w:t>
                  </w:r>
                </w:p>
              </w:tc>
              <w:tc>
                <w:tcPr>
                  <w:tcW w:w="531" w:type="pct"/>
                  <w:vAlign w:val="center"/>
                </w:tcPr>
                <w:p>
                  <w:pPr>
                    <w:jc w:val="center"/>
                    <w:rPr>
                      <w:color w:val="auto"/>
                      <w:highlight w:val="none"/>
                    </w:rPr>
                  </w:pPr>
                  <w:r>
                    <w:rPr>
                      <w:color w:val="auto"/>
                      <w:highlight w:val="none"/>
                    </w:rPr>
                    <w:t>0.061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45" w:type="pct"/>
                  <w:vMerge w:val="continue"/>
                  <w:vAlign w:val="center"/>
                </w:tcPr>
                <w:p>
                  <w:pPr>
                    <w:jc w:val="center"/>
                    <w:rPr>
                      <w:color w:val="auto"/>
                      <w:szCs w:val="21"/>
                      <w:highlight w:val="none"/>
                    </w:rPr>
                  </w:pPr>
                </w:p>
              </w:tc>
              <w:tc>
                <w:tcPr>
                  <w:tcW w:w="340" w:type="pct"/>
                  <w:vMerge w:val="continue"/>
                  <w:vAlign w:val="center"/>
                </w:tcPr>
                <w:p>
                  <w:pPr>
                    <w:jc w:val="center"/>
                    <w:rPr>
                      <w:color w:val="auto"/>
                      <w:szCs w:val="21"/>
                      <w:highlight w:val="none"/>
                    </w:rPr>
                  </w:pPr>
                </w:p>
              </w:tc>
              <w:tc>
                <w:tcPr>
                  <w:tcW w:w="737" w:type="pct"/>
                  <w:vMerge w:val="continue"/>
                  <w:vAlign w:val="center"/>
                </w:tcPr>
                <w:p>
                  <w:pPr>
                    <w:jc w:val="center"/>
                    <w:rPr>
                      <w:color w:val="auto"/>
                      <w:szCs w:val="21"/>
                      <w:highlight w:val="none"/>
                    </w:rPr>
                  </w:pPr>
                </w:p>
              </w:tc>
              <w:tc>
                <w:tcPr>
                  <w:tcW w:w="718" w:type="pct"/>
                  <w:vAlign w:val="center"/>
                </w:tcPr>
                <w:p>
                  <w:pPr>
                    <w:jc w:val="center"/>
                    <w:rPr>
                      <w:color w:val="auto"/>
                      <w:highlight w:val="none"/>
                    </w:rPr>
                  </w:pPr>
                  <w:r>
                    <w:rPr>
                      <w:color w:val="auto"/>
                      <w:highlight w:val="none"/>
                    </w:rPr>
                    <w:t>HCl</w:t>
                  </w:r>
                </w:p>
              </w:tc>
              <w:tc>
                <w:tcPr>
                  <w:tcW w:w="436" w:type="pct"/>
                  <w:vMerge w:val="continue"/>
                  <w:vAlign w:val="center"/>
                </w:tcPr>
                <w:p>
                  <w:pPr>
                    <w:adjustRightInd w:val="0"/>
                    <w:snapToGrid w:val="0"/>
                    <w:jc w:val="center"/>
                    <w:rPr>
                      <w:color w:val="auto"/>
                      <w:szCs w:val="21"/>
                      <w:highlight w:val="none"/>
                    </w:rPr>
                  </w:pPr>
                </w:p>
              </w:tc>
              <w:tc>
                <w:tcPr>
                  <w:tcW w:w="1293" w:type="pct"/>
                  <w:vMerge w:val="continue"/>
                  <w:vAlign w:val="center"/>
                </w:tcPr>
                <w:p>
                  <w:pPr>
                    <w:jc w:val="center"/>
                    <w:rPr>
                      <w:color w:val="auto"/>
                      <w:szCs w:val="21"/>
                      <w:highlight w:val="none"/>
                    </w:rPr>
                  </w:pPr>
                </w:p>
              </w:tc>
              <w:tc>
                <w:tcPr>
                  <w:tcW w:w="697" w:type="pct"/>
                  <w:vAlign w:val="center"/>
                </w:tcPr>
                <w:p>
                  <w:pPr>
                    <w:jc w:val="center"/>
                    <w:rPr>
                      <w:color w:val="auto"/>
                      <w:szCs w:val="21"/>
                      <w:highlight w:val="none"/>
                    </w:rPr>
                  </w:pPr>
                  <w:r>
                    <w:rPr>
                      <w:color w:val="auto"/>
                      <w:szCs w:val="21"/>
                      <w:highlight w:val="none"/>
                    </w:rPr>
                    <w:t>0.05</w:t>
                  </w:r>
                </w:p>
              </w:tc>
              <w:tc>
                <w:tcPr>
                  <w:tcW w:w="531" w:type="pct"/>
                  <w:vAlign w:val="center"/>
                </w:tcPr>
                <w:p>
                  <w:pPr>
                    <w:jc w:val="center"/>
                    <w:rPr>
                      <w:color w:val="auto"/>
                      <w:highlight w:val="none"/>
                    </w:rPr>
                  </w:pPr>
                  <w:r>
                    <w:rPr>
                      <w:color w:val="auto"/>
                      <w:highlight w:val="none"/>
                    </w:rPr>
                    <w:t>0.002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rPr>
              <w:tc>
                <w:tcPr>
                  <w:tcW w:w="245" w:type="pct"/>
                  <w:vMerge w:val="continue"/>
                  <w:vAlign w:val="center"/>
                </w:tcPr>
                <w:p>
                  <w:pPr>
                    <w:jc w:val="center"/>
                    <w:rPr>
                      <w:color w:val="auto"/>
                      <w:szCs w:val="21"/>
                      <w:highlight w:val="none"/>
                    </w:rPr>
                  </w:pPr>
                </w:p>
              </w:tc>
              <w:tc>
                <w:tcPr>
                  <w:tcW w:w="340" w:type="pct"/>
                  <w:vMerge w:val="continue"/>
                  <w:vAlign w:val="center"/>
                </w:tcPr>
                <w:p>
                  <w:pPr>
                    <w:jc w:val="center"/>
                    <w:rPr>
                      <w:color w:val="auto"/>
                      <w:szCs w:val="21"/>
                      <w:highlight w:val="none"/>
                    </w:rPr>
                  </w:pPr>
                </w:p>
              </w:tc>
              <w:tc>
                <w:tcPr>
                  <w:tcW w:w="737" w:type="pct"/>
                  <w:vAlign w:val="center"/>
                </w:tcPr>
                <w:p>
                  <w:pPr>
                    <w:jc w:val="center"/>
                    <w:rPr>
                      <w:color w:val="auto"/>
                      <w:szCs w:val="21"/>
                      <w:highlight w:val="none"/>
                    </w:rPr>
                  </w:pPr>
                  <w:r>
                    <w:rPr>
                      <w:color w:val="auto"/>
                      <w:szCs w:val="21"/>
                      <w:highlight w:val="none"/>
                    </w:rPr>
                    <w:t>液化</w:t>
                  </w:r>
                  <w:r>
                    <w:rPr>
                      <w:rFonts w:hint="eastAsia"/>
                      <w:color w:val="auto"/>
                      <w:szCs w:val="21"/>
                      <w:highlight w:val="none"/>
                    </w:rPr>
                    <w:t>石油</w:t>
                  </w:r>
                  <w:r>
                    <w:rPr>
                      <w:color w:val="auto"/>
                      <w:szCs w:val="21"/>
                      <w:highlight w:val="none"/>
                    </w:rPr>
                    <w:t>气燃烧废气</w:t>
                  </w:r>
                </w:p>
              </w:tc>
              <w:tc>
                <w:tcPr>
                  <w:tcW w:w="718" w:type="pct"/>
                  <w:vAlign w:val="center"/>
                </w:tcPr>
                <w:p>
                  <w:pPr>
                    <w:pStyle w:val="105"/>
                    <w:rPr>
                      <w:color w:val="auto"/>
                      <w:szCs w:val="21"/>
                      <w:highlight w:val="none"/>
                    </w:rPr>
                  </w:pPr>
                  <w:r>
                    <w:rPr>
                      <w:color w:val="auto"/>
                      <w:szCs w:val="21"/>
                      <w:highlight w:val="none"/>
                    </w:rPr>
                    <w:t>非甲烷总烃</w:t>
                  </w:r>
                </w:p>
              </w:tc>
              <w:tc>
                <w:tcPr>
                  <w:tcW w:w="436" w:type="pct"/>
                  <w:vMerge w:val="continue"/>
                  <w:vAlign w:val="center"/>
                </w:tcPr>
                <w:p>
                  <w:pPr>
                    <w:adjustRightInd w:val="0"/>
                    <w:snapToGrid w:val="0"/>
                    <w:jc w:val="center"/>
                    <w:rPr>
                      <w:color w:val="auto"/>
                      <w:szCs w:val="21"/>
                      <w:highlight w:val="none"/>
                    </w:rPr>
                  </w:pPr>
                </w:p>
              </w:tc>
              <w:tc>
                <w:tcPr>
                  <w:tcW w:w="1293" w:type="pct"/>
                  <w:vMerge w:val="continue"/>
                  <w:vAlign w:val="center"/>
                </w:tcPr>
                <w:p>
                  <w:pPr>
                    <w:jc w:val="center"/>
                    <w:rPr>
                      <w:color w:val="auto"/>
                      <w:szCs w:val="21"/>
                      <w:highlight w:val="none"/>
                    </w:rPr>
                  </w:pPr>
                </w:p>
              </w:tc>
              <w:tc>
                <w:tcPr>
                  <w:tcW w:w="697" w:type="pct"/>
                  <w:vAlign w:val="center"/>
                </w:tcPr>
                <w:p>
                  <w:pPr>
                    <w:jc w:val="center"/>
                    <w:rPr>
                      <w:color w:val="auto"/>
                      <w:szCs w:val="21"/>
                      <w:highlight w:val="none"/>
                    </w:rPr>
                  </w:pPr>
                  <w:r>
                    <w:rPr>
                      <w:rFonts w:hint="eastAsia"/>
                      <w:color w:val="auto"/>
                      <w:szCs w:val="21"/>
                      <w:highlight w:val="none"/>
                    </w:rPr>
                    <w:t>4</w:t>
                  </w:r>
                </w:p>
              </w:tc>
              <w:tc>
                <w:tcPr>
                  <w:tcW w:w="531" w:type="pct"/>
                  <w:vAlign w:val="center"/>
                </w:tcPr>
                <w:p>
                  <w:pPr>
                    <w:jc w:val="center"/>
                    <w:rPr>
                      <w:color w:val="auto"/>
                      <w:highlight w:val="none"/>
                    </w:rPr>
                  </w:pPr>
                  <w:r>
                    <w:rPr>
                      <w:color w:val="auto"/>
                      <w:highlight w:val="none"/>
                    </w:rPr>
                    <w:t>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rPr>
              <w:tc>
                <w:tcPr>
                  <w:tcW w:w="245" w:type="pct"/>
                  <w:vAlign w:val="center"/>
                </w:tcPr>
                <w:p>
                  <w:pPr>
                    <w:jc w:val="center"/>
                    <w:rPr>
                      <w:color w:val="auto"/>
                      <w:szCs w:val="21"/>
                      <w:highlight w:val="none"/>
                    </w:rPr>
                  </w:pPr>
                  <w:r>
                    <w:rPr>
                      <w:rFonts w:hint="eastAsia"/>
                      <w:color w:val="auto"/>
                      <w:szCs w:val="21"/>
                      <w:highlight w:val="none"/>
                    </w:rPr>
                    <w:t>2</w:t>
                  </w:r>
                </w:p>
              </w:tc>
              <w:tc>
                <w:tcPr>
                  <w:tcW w:w="340" w:type="pct"/>
                  <w:vAlign w:val="center"/>
                </w:tcPr>
                <w:p>
                  <w:pPr>
                    <w:jc w:val="center"/>
                    <w:rPr>
                      <w:color w:val="auto"/>
                      <w:szCs w:val="21"/>
                      <w:highlight w:val="none"/>
                    </w:rPr>
                  </w:pPr>
                  <w:r>
                    <w:rPr>
                      <w:rFonts w:hint="eastAsia"/>
                      <w:color w:val="auto"/>
                      <w:szCs w:val="21"/>
                      <w:highlight w:val="none"/>
                    </w:rPr>
                    <w:t>危废库</w:t>
                  </w:r>
                </w:p>
              </w:tc>
              <w:tc>
                <w:tcPr>
                  <w:tcW w:w="737" w:type="pct"/>
                  <w:vAlign w:val="center"/>
                </w:tcPr>
                <w:p>
                  <w:pPr>
                    <w:jc w:val="center"/>
                    <w:rPr>
                      <w:color w:val="auto"/>
                      <w:szCs w:val="21"/>
                      <w:highlight w:val="none"/>
                    </w:rPr>
                  </w:pPr>
                  <w:r>
                    <w:rPr>
                      <w:rFonts w:hint="eastAsia"/>
                      <w:color w:val="auto"/>
                      <w:szCs w:val="21"/>
                      <w:highlight w:val="none"/>
                    </w:rPr>
                    <w:t>挥发有机</w:t>
                  </w:r>
                </w:p>
                <w:p>
                  <w:pPr>
                    <w:jc w:val="center"/>
                    <w:rPr>
                      <w:color w:val="auto"/>
                      <w:szCs w:val="21"/>
                      <w:highlight w:val="none"/>
                    </w:rPr>
                  </w:pPr>
                  <w:r>
                    <w:rPr>
                      <w:rFonts w:hint="eastAsia"/>
                      <w:color w:val="auto"/>
                      <w:szCs w:val="21"/>
                      <w:highlight w:val="none"/>
                    </w:rPr>
                    <w:t>废气</w:t>
                  </w:r>
                </w:p>
              </w:tc>
              <w:tc>
                <w:tcPr>
                  <w:tcW w:w="718" w:type="pct"/>
                  <w:vAlign w:val="center"/>
                </w:tcPr>
                <w:p>
                  <w:pPr>
                    <w:pStyle w:val="105"/>
                    <w:rPr>
                      <w:color w:val="auto"/>
                      <w:szCs w:val="21"/>
                      <w:highlight w:val="none"/>
                    </w:rPr>
                  </w:pPr>
                  <w:r>
                    <w:rPr>
                      <w:rFonts w:hint="eastAsia"/>
                      <w:color w:val="auto"/>
                      <w:szCs w:val="21"/>
                      <w:highlight w:val="none"/>
                    </w:rPr>
                    <w:t>非甲烷总烃</w:t>
                  </w:r>
                </w:p>
              </w:tc>
              <w:tc>
                <w:tcPr>
                  <w:tcW w:w="436" w:type="pct"/>
                  <w:vAlign w:val="center"/>
                </w:tcPr>
                <w:p>
                  <w:pPr>
                    <w:adjustRightInd w:val="0"/>
                    <w:snapToGrid w:val="0"/>
                    <w:jc w:val="center"/>
                    <w:rPr>
                      <w:color w:val="auto"/>
                      <w:szCs w:val="21"/>
                      <w:highlight w:val="none"/>
                    </w:rPr>
                  </w:pPr>
                  <w:r>
                    <w:rPr>
                      <w:rFonts w:hint="eastAsia"/>
                      <w:color w:val="auto"/>
                      <w:szCs w:val="21"/>
                      <w:highlight w:val="none"/>
                    </w:rPr>
                    <w:t>--</w:t>
                  </w:r>
                </w:p>
              </w:tc>
              <w:tc>
                <w:tcPr>
                  <w:tcW w:w="1293" w:type="pct"/>
                  <w:vMerge w:val="continue"/>
                  <w:vAlign w:val="center"/>
                </w:tcPr>
                <w:p>
                  <w:pPr>
                    <w:jc w:val="center"/>
                    <w:rPr>
                      <w:color w:val="auto"/>
                      <w:szCs w:val="21"/>
                      <w:highlight w:val="none"/>
                    </w:rPr>
                  </w:pPr>
                </w:p>
              </w:tc>
              <w:tc>
                <w:tcPr>
                  <w:tcW w:w="697" w:type="pct"/>
                  <w:vAlign w:val="center"/>
                </w:tcPr>
                <w:p>
                  <w:pPr>
                    <w:jc w:val="center"/>
                    <w:rPr>
                      <w:color w:val="auto"/>
                      <w:szCs w:val="21"/>
                      <w:highlight w:val="none"/>
                    </w:rPr>
                  </w:pPr>
                  <w:r>
                    <w:rPr>
                      <w:color w:val="auto"/>
                      <w:szCs w:val="21"/>
                      <w:highlight w:val="none"/>
                    </w:rPr>
                    <w:t>4</w:t>
                  </w:r>
                </w:p>
              </w:tc>
              <w:tc>
                <w:tcPr>
                  <w:tcW w:w="531" w:type="pct"/>
                  <w:vAlign w:val="center"/>
                </w:tcPr>
                <w:p>
                  <w:pPr>
                    <w:jc w:val="center"/>
                    <w:rPr>
                      <w:color w:val="auto"/>
                      <w:highlight w:val="none"/>
                    </w:rPr>
                  </w:pPr>
                  <w:r>
                    <w:rPr>
                      <w:color w:val="auto"/>
                      <w:highlight w:val="none"/>
                    </w:rPr>
                    <w:t>0.00</w:t>
                  </w:r>
                  <w:r>
                    <w:rPr>
                      <w:rFonts w:hint="eastAsia"/>
                      <w:color w:val="auto"/>
                      <w:highlight w:val="none"/>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rPr>
              <w:tc>
                <w:tcPr>
                  <w:tcW w:w="586" w:type="pct"/>
                  <w:gridSpan w:val="2"/>
                  <w:vMerge w:val="restart"/>
                  <w:vAlign w:val="center"/>
                </w:tcPr>
                <w:p>
                  <w:pPr>
                    <w:jc w:val="center"/>
                    <w:rPr>
                      <w:color w:val="auto"/>
                      <w:szCs w:val="21"/>
                      <w:highlight w:val="none"/>
                    </w:rPr>
                  </w:pPr>
                  <w:r>
                    <w:rPr>
                      <w:color w:val="auto"/>
                      <w:szCs w:val="21"/>
                      <w:highlight w:val="none"/>
                    </w:rPr>
                    <w:t>无组织排放总计</w:t>
                  </w:r>
                </w:p>
              </w:tc>
              <w:tc>
                <w:tcPr>
                  <w:tcW w:w="3882" w:type="pct"/>
                  <w:gridSpan w:val="5"/>
                  <w:vAlign w:val="center"/>
                </w:tcPr>
                <w:p>
                  <w:pPr>
                    <w:jc w:val="center"/>
                    <w:rPr>
                      <w:color w:val="auto"/>
                      <w:szCs w:val="21"/>
                      <w:highlight w:val="none"/>
                    </w:rPr>
                  </w:pPr>
                  <w:r>
                    <w:rPr>
                      <w:color w:val="auto"/>
                      <w:szCs w:val="21"/>
                      <w:highlight w:val="none"/>
                    </w:rPr>
                    <w:t>非甲烷总烃</w:t>
                  </w:r>
                </w:p>
              </w:tc>
              <w:tc>
                <w:tcPr>
                  <w:tcW w:w="531" w:type="pct"/>
                  <w:vAlign w:val="center"/>
                </w:tcPr>
                <w:p>
                  <w:pPr>
                    <w:jc w:val="center"/>
                    <w:rPr>
                      <w:color w:val="auto"/>
                      <w:highlight w:val="none"/>
                    </w:rPr>
                  </w:pPr>
                  <w:r>
                    <w:rPr>
                      <w:color w:val="auto"/>
                      <w:highlight w:val="none"/>
                    </w:rPr>
                    <w:t>0.0</w:t>
                  </w:r>
                  <w:r>
                    <w:rPr>
                      <w:rFonts w:hint="eastAsia"/>
                      <w:color w:val="auto"/>
                      <w:highlight w:val="none"/>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86" w:type="pct"/>
                  <w:gridSpan w:val="2"/>
                  <w:vMerge w:val="continue"/>
                  <w:vAlign w:val="center"/>
                </w:tcPr>
                <w:p>
                  <w:pPr>
                    <w:jc w:val="center"/>
                    <w:rPr>
                      <w:color w:val="auto"/>
                      <w:szCs w:val="21"/>
                      <w:highlight w:val="none"/>
                    </w:rPr>
                  </w:pPr>
                </w:p>
              </w:tc>
              <w:tc>
                <w:tcPr>
                  <w:tcW w:w="3882" w:type="pct"/>
                  <w:gridSpan w:val="5"/>
                  <w:vAlign w:val="center"/>
                </w:tcPr>
                <w:p>
                  <w:pPr>
                    <w:jc w:val="center"/>
                    <w:rPr>
                      <w:color w:val="auto"/>
                      <w:highlight w:val="none"/>
                    </w:rPr>
                  </w:pPr>
                  <w:r>
                    <w:rPr>
                      <w:color w:val="auto"/>
                      <w:highlight w:val="none"/>
                    </w:rPr>
                    <w:t>HCl</w:t>
                  </w:r>
                </w:p>
              </w:tc>
              <w:tc>
                <w:tcPr>
                  <w:tcW w:w="531" w:type="pct"/>
                  <w:vAlign w:val="center"/>
                </w:tcPr>
                <w:p>
                  <w:pPr>
                    <w:jc w:val="center"/>
                    <w:rPr>
                      <w:color w:val="auto"/>
                      <w:highlight w:val="none"/>
                    </w:rPr>
                  </w:pPr>
                  <w:r>
                    <w:rPr>
                      <w:color w:val="auto"/>
                      <w:highlight w:val="none"/>
                    </w:rPr>
                    <w:t>0.002</w:t>
                  </w:r>
                </w:p>
              </w:tc>
            </w:tr>
          </w:tbl>
          <w:p>
            <w:pPr>
              <w:adjustRightInd w:val="0"/>
              <w:snapToGrid w:val="0"/>
              <w:spacing w:beforeLines="50" w:line="360" w:lineRule="auto"/>
              <w:jc w:val="center"/>
              <w:rPr>
                <w:b/>
                <w:bCs/>
                <w:color w:val="auto"/>
                <w:spacing w:val="-10"/>
                <w:sz w:val="24"/>
                <w:szCs w:val="22"/>
                <w:highlight w:val="none"/>
              </w:rPr>
            </w:pPr>
          </w:p>
          <w:p>
            <w:pPr>
              <w:adjustRightInd w:val="0"/>
              <w:snapToGrid w:val="0"/>
              <w:spacing w:beforeLines="50" w:line="360" w:lineRule="auto"/>
              <w:jc w:val="center"/>
              <w:rPr>
                <w:b/>
                <w:bCs/>
                <w:color w:val="auto"/>
                <w:spacing w:val="-10"/>
                <w:sz w:val="24"/>
                <w:szCs w:val="22"/>
                <w:highlight w:val="none"/>
              </w:rPr>
            </w:pPr>
            <w:r>
              <w:rPr>
                <w:b/>
                <w:bCs/>
                <w:color w:val="auto"/>
                <w:spacing w:val="-10"/>
                <w:sz w:val="24"/>
                <w:szCs w:val="22"/>
                <w:highlight w:val="none"/>
              </w:rPr>
              <w:t>表4-</w:t>
            </w:r>
            <w:r>
              <w:rPr>
                <w:rFonts w:hint="eastAsia"/>
                <w:b/>
                <w:bCs/>
                <w:color w:val="auto"/>
                <w:spacing w:val="-10"/>
                <w:sz w:val="24"/>
                <w:szCs w:val="22"/>
                <w:highlight w:val="none"/>
              </w:rPr>
              <w:t>7</w:t>
            </w:r>
            <w:r>
              <w:rPr>
                <w:b/>
                <w:bCs/>
                <w:color w:val="auto"/>
                <w:spacing w:val="-10"/>
                <w:sz w:val="24"/>
                <w:szCs w:val="22"/>
                <w:highlight w:val="none"/>
              </w:rPr>
              <w:t xml:space="preserve">  大气污染物年排放量核算表</w:t>
            </w:r>
          </w:p>
          <w:tbl>
            <w:tblPr>
              <w:tblStyle w:val="3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99"/>
              <w:gridCol w:w="4092"/>
              <w:gridCol w:w="28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rPr>
              <w:tc>
                <w:tcPr>
                  <w:tcW w:w="978" w:type="pct"/>
                  <w:vAlign w:val="center"/>
                </w:tcPr>
                <w:p>
                  <w:pPr>
                    <w:jc w:val="center"/>
                    <w:rPr>
                      <w:color w:val="auto"/>
                      <w:szCs w:val="22"/>
                      <w:highlight w:val="none"/>
                    </w:rPr>
                  </w:pPr>
                  <w:r>
                    <w:rPr>
                      <w:color w:val="auto"/>
                      <w:szCs w:val="22"/>
                      <w:highlight w:val="none"/>
                    </w:rPr>
                    <w:t>序号</w:t>
                  </w:r>
                </w:p>
              </w:tc>
              <w:tc>
                <w:tcPr>
                  <w:tcW w:w="2354" w:type="pct"/>
                  <w:vAlign w:val="center"/>
                </w:tcPr>
                <w:p>
                  <w:pPr>
                    <w:jc w:val="center"/>
                    <w:rPr>
                      <w:color w:val="auto"/>
                      <w:szCs w:val="22"/>
                      <w:highlight w:val="none"/>
                    </w:rPr>
                  </w:pPr>
                  <w:r>
                    <w:rPr>
                      <w:color w:val="auto"/>
                      <w:szCs w:val="22"/>
                      <w:highlight w:val="none"/>
                    </w:rPr>
                    <w:t>污染物</w:t>
                  </w:r>
                </w:p>
              </w:tc>
              <w:tc>
                <w:tcPr>
                  <w:tcW w:w="1667" w:type="pct"/>
                  <w:vAlign w:val="center"/>
                </w:tcPr>
                <w:p>
                  <w:pPr>
                    <w:jc w:val="center"/>
                    <w:rPr>
                      <w:color w:val="auto"/>
                      <w:szCs w:val="21"/>
                      <w:highlight w:val="none"/>
                    </w:rPr>
                  </w:pPr>
                  <w:r>
                    <w:rPr>
                      <w:color w:val="auto"/>
                      <w:szCs w:val="21"/>
                      <w:highlight w:val="none"/>
                    </w:rPr>
                    <w:t>年排放量（kg/a）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78" w:type="pct"/>
                  <w:vAlign w:val="center"/>
                </w:tcPr>
                <w:p>
                  <w:pPr>
                    <w:numPr>
                      <w:ilvl w:val="0"/>
                      <w:numId w:val="14"/>
                    </w:numPr>
                    <w:jc w:val="center"/>
                    <w:rPr>
                      <w:color w:val="auto"/>
                      <w:szCs w:val="22"/>
                      <w:highlight w:val="none"/>
                    </w:rPr>
                  </w:pPr>
                </w:p>
              </w:tc>
              <w:tc>
                <w:tcPr>
                  <w:tcW w:w="2354" w:type="pct"/>
                  <w:vAlign w:val="center"/>
                </w:tcPr>
                <w:p>
                  <w:pPr>
                    <w:jc w:val="center"/>
                    <w:rPr>
                      <w:color w:val="auto"/>
                      <w:szCs w:val="21"/>
                      <w:highlight w:val="none"/>
                    </w:rPr>
                  </w:pPr>
                  <w:r>
                    <w:rPr>
                      <w:color w:val="auto"/>
                      <w:szCs w:val="21"/>
                      <w:highlight w:val="none"/>
                    </w:rPr>
                    <w:t>非甲烷总烃</w:t>
                  </w:r>
                </w:p>
              </w:tc>
              <w:tc>
                <w:tcPr>
                  <w:tcW w:w="2826" w:type="dxa"/>
                  <w:vAlign w:val="center"/>
                </w:tcPr>
                <w:p>
                  <w:pPr>
                    <w:widowControl/>
                    <w:jc w:val="center"/>
                    <w:textAlignment w:val="center"/>
                    <w:rPr>
                      <w:color w:val="auto"/>
                      <w:szCs w:val="21"/>
                      <w:highlight w:val="none"/>
                    </w:rPr>
                  </w:pPr>
                  <w:r>
                    <w:rPr>
                      <w:color w:val="auto"/>
                      <w:kern w:val="0"/>
                      <w:szCs w:val="21"/>
                      <w:highlight w:val="none"/>
                    </w:rPr>
                    <w:t>0.231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rPr>
              <w:tc>
                <w:tcPr>
                  <w:tcW w:w="978" w:type="pct"/>
                  <w:vAlign w:val="center"/>
                </w:tcPr>
                <w:p>
                  <w:pPr>
                    <w:numPr>
                      <w:ilvl w:val="0"/>
                      <w:numId w:val="14"/>
                    </w:numPr>
                    <w:jc w:val="center"/>
                    <w:rPr>
                      <w:color w:val="auto"/>
                      <w:szCs w:val="22"/>
                      <w:highlight w:val="none"/>
                    </w:rPr>
                  </w:pPr>
                </w:p>
              </w:tc>
              <w:tc>
                <w:tcPr>
                  <w:tcW w:w="2354" w:type="pct"/>
                  <w:vAlign w:val="center"/>
                </w:tcPr>
                <w:p>
                  <w:pPr>
                    <w:jc w:val="center"/>
                    <w:rPr>
                      <w:color w:val="auto"/>
                      <w:highlight w:val="none"/>
                    </w:rPr>
                  </w:pPr>
                  <w:r>
                    <w:rPr>
                      <w:color w:val="auto"/>
                      <w:highlight w:val="none"/>
                    </w:rPr>
                    <w:t>HCl</w:t>
                  </w:r>
                </w:p>
              </w:tc>
              <w:tc>
                <w:tcPr>
                  <w:tcW w:w="2826" w:type="dxa"/>
                  <w:vAlign w:val="center"/>
                </w:tcPr>
                <w:p>
                  <w:pPr>
                    <w:adjustRightInd w:val="0"/>
                    <w:snapToGrid w:val="0"/>
                    <w:jc w:val="center"/>
                    <w:rPr>
                      <w:color w:val="auto"/>
                      <w:szCs w:val="21"/>
                      <w:highlight w:val="none"/>
                    </w:rPr>
                  </w:pPr>
                  <w:r>
                    <w:rPr>
                      <w:color w:val="auto"/>
                      <w:kern w:val="0"/>
                      <w:szCs w:val="21"/>
                      <w:highlight w:val="none"/>
                    </w:rPr>
                    <w:t>0.006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78" w:type="pct"/>
                  <w:vAlign w:val="center"/>
                </w:tcPr>
                <w:p>
                  <w:pPr>
                    <w:numPr>
                      <w:ilvl w:val="0"/>
                      <w:numId w:val="14"/>
                    </w:numPr>
                    <w:jc w:val="center"/>
                    <w:rPr>
                      <w:color w:val="auto"/>
                      <w:szCs w:val="22"/>
                      <w:highlight w:val="none"/>
                    </w:rPr>
                  </w:pPr>
                </w:p>
              </w:tc>
              <w:tc>
                <w:tcPr>
                  <w:tcW w:w="2354" w:type="pct"/>
                  <w:vAlign w:val="center"/>
                </w:tcPr>
                <w:p>
                  <w:pPr>
                    <w:jc w:val="center"/>
                    <w:rPr>
                      <w:color w:val="auto"/>
                      <w:highlight w:val="none"/>
                    </w:rPr>
                  </w:pPr>
                  <w:r>
                    <w:rPr>
                      <w:color w:val="auto"/>
                      <w:highlight w:val="none"/>
                    </w:rPr>
                    <w:t>氮氧化物</w:t>
                  </w:r>
                </w:p>
              </w:tc>
              <w:tc>
                <w:tcPr>
                  <w:tcW w:w="2826" w:type="dxa"/>
                  <w:vAlign w:val="center"/>
                </w:tcPr>
                <w:p>
                  <w:pPr>
                    <w:widowControl/>
                    <w:jc w:val="center"/>
                    <w:textAlignment w:val="center"/>
                    <w:rPr>
                      <w:color w:val="auto"/>
                      <w:szCs w:val="21"/>
                      <w:highlight w:val="none"/>
                    </w:rPr>
                  </w:pPr>
                  <w:r>
                    <w:rPr>
                      <w:color w:val="auto"/>
                      <w:kern w:val="0"/>
                      <w:szCs w:val="21"/>
                      <w:highlight w:val="none"/>
                    </w:rPr>
                    <w:t>0.002</w:t>
                  </w:r>
                </w:p>
              </w:tc>
            </w:tr>
          </w:tbl>
          <w:p>
            <w:pPr>
              <w:pStyle w:val="2"/>
              <w:numPr>
                <w:ilvl w:val="0"/>
                <w:numId w:val="13"/>
              </w:numPr>
              <w:spacing w:beforeLines="50" w:line="360" w:lineRule="auto"/>
              <w:rPr>
                <w:b/>
                <w:color w:val="auto"/>
                <w:sz w:val="24"/>
                <w:szCs w:val="24"/>
                <w:highlight w:val="none"/>
              </w:rPr>
            </w:pPr>
            <w:r>
              <w:rPr>
                <w:b/>
                <w:color w:val="auto"/>
                <w:sz w:val="24"/>
                <w:szCs w:val="24"/>
                <w:highlight w:val="none"/>
              </w:rPr>
              <w:t>废气监测要求</w:t>
            </w:r>
          </w:p>
          <w:p>
            <w:pPr>
              <w:adjustRightInd w:val="0"/>
              <w:snapToGrid w:val="0"/>
              <w:spacing w:line="360" w:lineRule="auto"/>
              <w:ind w:firstLine="480" w:firstLineChars="200"/>
              <w:rPr>
                <w:bCs/>
                <w:color w:val="auto"/>
                <w:kern w:val="21"/>
                <w:sz w:val="24"/>
                <w:highlight w:val="none"/>
              </w:rPr>
            </w:pPr>
            <w:r>
              <w:rPr>
                <w:bCs/>
                <w:color w:val="auto"/>
                <w:kern w:val="21"/>
                <w:sz w:val="24"/>
                <w:highlight w:val="none"/>
              </w:rPr>
              <w:t>根据《排污单位自行监测技术指南 电子工业》（HJ 1253-2022）</w:t>
            </w:r>
            <w:r>
              <w:rPr>
                <w:rFonts w:hint="eastAsia"/>
                <w:bCs/>
                <w:color w:val="auto"/>
                <w:kern w:val="21"/>
                <w:sz w:val="24"/>
                <w:highlight w:val="none"/>
              </w:rPr>
              <w:t>表2有组织废气排放监测点位、监测指标及最低监测频次</w:t>
            </w:r>
            <w:r>
              <w:rPr>
                <w:bCs/>
                <w:color w:val="auto"/>
                <w:kern w:val="21"/>
                <w:sz w:val="24"/>
                <w:highlight w:val="none"/>
              </w:rPr>
              <w:t>，</w:t>
            </w:r>
            <w:r>
              <w:rPr>
                <w:rFonts w:hint="eastAsia"/>
                <w:bCs/>
                <w:color w:val="auto"/>
                <w:kern w:val="21"/>
                <w:sz w:val="24"/>
                <w:highlight w:val="none"/>
              </w:rPr>
              <w:t>电子真空器件制造，非重点排污单位，</w:t>
            </w:r>
            <w:r>
              <w:rPr>
                <w:bCs/>
                <w:color w:val="auto"/>
                <w:kern w:val="21"/>
                <w:sz w:val="24"/>
                <w:highlight w:val="none"/>
              </w:rPr>
              <w:t>制定废气监测计划如下。</w:t>
            </w:r>
          </w:p>
          <w:p>
            <w:pPr>
              <w:adjustRightInd w:val="0"/>
              <w:snapToGrid w:val="0"/>
              <w:spacing w:line="360" w:lineRule="auto"/>
              <w:jc w:val="center"/>
              <w:rPr>
                <w:b/>
                <w:color w:val="auto"/>
                <w:kern w:val="21"/>
                <w:sz w:val="24"/>
                <w:highlight w:val="none"/>
              </w:rPr>
            </w:pPr>
            <w:r>
              <w:rPr>
                <w:b/>
                <w:color w:val="auto"/>
                <w:kern w:val="21"/>
                <w:sz w:val="24"/>
                <w:highlight w:val="none"/>
              </w:rPr>
              <w:t>表4-</w:t>
            </w:r>
            <w:r>
              <w:rPr>
                <w:rFonts w:hint="eastAsia"/>
                <w:b/>
                <w:color w:val="auto"/>
                <w:kern w:val="21"/>
                <w:sz w:val="24"/>
                <w:highlight w:val="none"/>
              </w:rPr>
              <w:t>8</w:t>
            </w:r>
            <w:r>
              <w:rPr>
                <w:b/>
                <w:color w:val="auto"/>
                <w:kern w:val="21"/>
                <w:sz w:val="24"/>
                <w:highlight w:val="none"/>
              </w:rPr>
              <w:t xml:space="preserve">  废气自行监测情况表</w:t>
            </w:r>
          </w:p>
          <w:tbl>
            <w:tblPr>
              <w:tblStyle w:val="34"/>
              <w:tblW w:w="4990" w:type="pct"/>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0" w:type="dxa"/>
                <w:bottom w:w="0" w:type="dxa"/>
                <w:right w:w="0" w:type="dxa"/>
              </w:tblCellMar>
            </w:tblPr>
            <w:tblGrid>
              <w:gridCol w:w="614"/>
              <w:gridCol w:w="2280"/>
              <w:gridCol w:w="1862"/>
              <w:gridCol w:w="1912"/>
              <w:gridCol w:w="199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23" w:hRule="atLeast"/>
              </w:trPr>
              <w:tc>
                <w:tcPr>
                  <w:tcW w:w="1669" w:type="pct"/>
                  <w:gridSpan w:val="2"/>
                  <w:vAlign w:val="center"/>
                </w:tcPr>
                <w:p>
                  <w:pPr>
                    <w:widowControl/>
                    <w:snapToGrid w:val="0"/>
                    <w:jc w:val="center"/>
                    <w:rPr>
                      <w:color w:val="auto"/>
                      <w:kern w:val="0"/>
                      <w:szCs w:val="21"/>
                      <w:highlight w:val="none"/>
                    </w:rPr>
                  </w:pPr>
                  <w:r>
                    <w:rPr>
                      <w:color w:val="auto"/>
                      <w:kern w:val="0"/>
                      <w:szCs w:val="21"/>
                      <w:highlight w:val="none"/>
                    </w:rPr>
                    <w:t>监测点位</w:t>
                  </w:r>
                  <w:r>
                    <w:rPr>
                      <w:color w:val="auto"/>
                      <w:kern w:val="0"/>
                      <w:szCs w:val="21"/>
                      <w:highlight w:val="none"/>
                      <w:vertAlign w:val="superscript"/>
                    </w:rPr>
                    <w:fldChar w:fldCharType="begin"/>
                  </w:r>
                  <w:r>
                    <w:rPr>
                      <w:color w:val="auto"/>
                      <w:kern w:val="0"/>
                      <w:szCs w:val="21"/>
                      <w:highlight w:val="none"/>
                      <w:vertAlign w:val="superscript"/>
                    </w:rPr>
                    <w:instrText xml:space="preserve"> = 1 \* GB3 </w:instrText>
                  </w:r>
                  <w:r>
                    <w:rPr>
                      <w:color w:val="auto"/>
                      <w:kern w:val="0"/>
                      <w:szCs w:val="21"/>
                      <w:highlight w:val="none"/>
                      <w:vertAlign w:val="superscript"/>
                    </w:rPr>
                    <w:fldChar w:fldCharType="separate"/>
                  </w:r>
                  <w:r>
                    <w:rPr>
                      <w:rFonts w:hint="eastAsia" w:ascii="宋体" w:hAnsi="宋体" w:cs="宋体"/>
                      <w:color w:val="auto"/>
                      <w:kern w:val="0"/>
                      <w:szCs w:val="21"/>
                      <w:highlight w:val="none"/>
                      <w:vertAlign w:val="superscript"/>
                    </w:rPr>
                    <w:t>①</w:t>
                  </w:r>
                  <w:r>
                    <w:rPr>
                      <w:color w:val="auto"/>
                      <w:kern w:val="0"/>
                      <w:szCs w:val="21"/>
                      <w:highlight w:val="none"/>
                      <w:vertAlign w:val="superscript"/>
                    </w:rPr>
                    <w:fldChar w:fldCharType="end"/>
                  </w:r>
                </w:p>
              </w:tc>
              <w:tc>
                <w:tcPr>
                  <w:tcW w:w="1074" w:type="pct"/>
                  <w:vAlign w:val="center"/>
                </w:tcPr>
                <w:p>
                  <w:pPr>
                    <w:widowControl/>
                    <w:snapToGrid w:val="0"/>
                    <w:jc w:val="center"/>
                    <w:rPr>
                      <w:color w:val="auto"/>
                      <w:kern w:val="0"/>
                      <w:szCs w:val="21"/>
                      <w:highlight w:val="none"/>
                    </w:rPr>
                  </w:pPr>
                  <w:r>
                    <w:rPr>
                      <w:color w:val="auto"/>
                      <w:kern w:val="0"/>
                      <w:szCs w:val="21"/>
                      <w:highlight w:val="none"/>
                    </w:rPr>
                    <w:t>监测指标</w:t>
                  </w:r>
                </w:p>
              </w:tc>
              <w:tc>
                <w:tcPr>
                  <w:tcW w:w="1103" w:type="pct"/>
                  <w:tcBorders>
                    <w:right w:val="single" w:color="auto" w:sz="4" w:space="0"/>
                  </w:tcBorders>
                  <w:vAlign w:val="center"/>
                </w:tcPr>
                <w:p>
                  <w:pPr>
                    <w:widowControl/>
                    <w:snapToGrid w:val="0"/>
                    <w:jc w:val="center"/>
                    <w:rPr>
                      <w:color w:val="auto"/>
                      <w:kern w:val="0"/>
                      <w:szCs w:val="21"/>
                      <w:highlight w:val="none"/>
                    </w:rPr>
                  </w:pPr>
                  <w:r>
                    <w:rPr>
                      <w:color w:val="auto"/>
                      <w:kern w:val="0"/>
                      <w:szCs w:val="21"/>
                      <w:highlight w:val="none"/>
                    </w:rPr>
                    <w:t>监测频次</w:t>
                  </w:r>
                </w:p>
              </w:tc>
              <w:tc>
                <w:tcPr>
                  <w:tcW w:w="1153" w:type="pct"/>
                  <w:tcBorders>
                    <w:left w:val="single" w:color="auto" w:sz="4" w:space="0"/>
                  </w:tcBorders>
                  <w:vAlign w:val="center"/>
                </w:tcPr>
                <w:p>
                  <w:pPr>
                    <w:widowControl/>
                    <w:snapToGrid w:val="0"/>
                    <w:jc w:val="center"/>
                    <w:rPr>
                      <w:color w:val="auto"/>
                      <w:kern w:val="0"/>
                      <w:szCs w:val="21"/>
                      <w:highlight w:val="none"/>
                    </w:rPr>
                  </w:pPr>
                  <w:r>
                    <w:rPr>
                      <w:color w:val="auto"/>
                      <w:kern w:val="0"/>
                      <w:szCs w:val="21"/>
                      <w:highlight w:val="none"/>
                    </w:rPr>
                    <w:t>标准（mg/m</w:t>
                  </w:r>
                  <w:r>
                    <w:rPr>
                      <w:color w:val="auto"/>
                      <w:kern w:val="0"/>
                      <w:szCs w:val="21"/>
                      <w:highlight w:val="none"/>
                      <w:vertAlign w:val="superscript"/>
                    </w:rPr>
                    <w:t>3</w:t>
                  </w:r>
                  <w:r>
                    <w:rPr>
                      <w:color w:val="auto"/>
                      <w:kern w:val="0"/>
                      <w:szCs w:val="21"/>
                      <w:highlight w:val="none"/>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23" w:hRule="atLeast"/>
              </w:trPr>
              <w:tc>
                <w:tcPr>
                  <w:tcW w:w="354" w:type="pct"/>
                  <w:vMerge w:val="restart"/>
                  <w:tcBorders>
                    <w:right w:val="single" w:color="auto" w:sz="4" w:space="0"/>
                  </w:tcBorders>
                  <w:vAlign w:val="center"/>
                </w:tcPr>
                <w:p>
                  <w:pPr>
                    <w:widowControl/>
                    <w:snapToGrid w:val="0"/>
                    <w:jc w:val="center"/>
                    <w:rPr>
                      <w:color w:val="auto"/>
                      <w:kern w:val="0"/>
                      <w:szCs w:val="21"/>
                      <w:highlight w:val="none"/>
                    </w:rPr>
                  </w:pPr>
                  <w:r>
                    <w:rPr>
                      <w:color w:val="auto"/>
                      <w:szCs w:val="21"/>
                      <w:highlight w:val="none"/>
                    </w:rPr>
                    <w:t>P2</w:t>
                  </w:r>
                </w:p>
              </w:tc>
              <w:tc>
                <w:tcPr>
                  <w:tcW w:w="1315" w:type="pct"/>
                  <w:vMerge w:val="restart"/>
                  <w:tcBorders>
                    <w:left w:val="single" w:color="auto" w:sz="4" w:space="0"/>
                  </w:tcBorders>
                  <w:vAlign w:val="center"/>
                </w:tcPr>
                <w:p>
                  <w:pPr>
                    <w:widowControl/>
                    <w:jc w:val="left"/>
                    <w:rPr>
                      <w:color w:val="auto"/>
                      <w:szCs w:val="21"/>
                      <w:highlight w:val="none"/>
                    </w:rPr>
                  </w:pPr>
                  <w:r>
                    <w:rPr>
                      <w:color w:val="auto"/>
                      <w:szCs w:val="21"/>
                      <w:highlight w:val="none"/>
                    </w:rPr>
                    <w:t>8#厂房清洗废气</w:t>
                  </w:r>
                </w:p>
                <w:p>
                  <w:pPr>
                    <w:widowControl/>
                    <w:jc w:val="left"/>
                    <w:rPr>
                      <w:color w:val="auto"/>
                      <w:szCs w:val="21"/>
                      <w:highlight w:val="none"/>
                    </w:rPr>
                  </w:pPr>
                  <w:r>
                    <w:rPr>
                      <w:color w:val="auto"/>
                      <w:szCs w:val="21"/>
                      <w:highlight w:val="none"/>
                    </w:rPr>
                    <w:t>石油天然气燃烧废气</w:t>
                  </w:r>
                </w:p>
              </w:tc>
              <w:tc>
                <w:tcPr>
                  <w:tcW w:w="1074" w:type="pct"/>
                  <w:tcBorders>
                    <w:bottom w:val="single" w:color="auto" w:sz="4" w:space="0"/>
                  </w:tcBorders>
                  <w:vAlign w:val="center"/>
                </w:tcPr>
                <w:p>
                  <w:pPr>
                    <w:jc w:val="center"/>
                    <w:rPr>
                      <w:color w:val="auto"/>
                      <w:szCs w:val="21"/>
                      <w:highlight w:val="none"/>
                    </w:rPr>
                  </w:pPr>
                  <w:r>
                    <w:rPr>
                      <w:color w:val="auto"/>
                      <w:szCs w:val="21"/>
                      <w:highlight w:val="none"/>
                    </w:rPr>
                    <w:t>非甲烷总烃</w:t>
                  </w:r>
                </w:p>
              </w:tc>
              <w:tc>
                <w:tcPr>
                  <w:tcW w:w="1103" w:type="pct"/>
                  <w:tcBorders>
                    <w:bottom w:val="single" w:color="auto" w:sz="4" w:space="0"/>
                    <w:right w:val="single" w:color="auto" w:sz="4" w:space="0"/>
                  </w:tcBorders>
                  <w:vAlign w:val="center"/>
                </w:tcPr>
                <w:p>
                  <w:pPr>
                    <w:widowControl/>
                    <w:snapToGrid w:val="0"/>
                    <w:jc w:val="center"/>
                    <w:rPr>
                      <w:color w:val="auto"/>
                      <w:kern w:val="0"/>
                      <w:szCs w:val="21"/>
                      <w:highlight w:val="none"/>
                    </w:rPr>
                  </w:pPr>
                  <w:r>
                    <w:rPr>
                      <w:color w:val="auto"/>
                      <w:kern w:val="0"/>
                      <w:szCs w:val="21"/>
                      <w:highlight w:val="none"/>
                    </w:rPr>
                    <w:t>1次/年</w:t>
                  </w:r>
                </w:p>
              </w:tc>
              <w:tc>
                <w:tcPr>
                  <w:tcW w:w="1153" w:type="pct"/>
                  <w:tcBorders>
                    <w:left w:val="single" w:color="auto" w:sz="4" w:space="0"/>
                    <w:bottom w:val="single" w:color="auto" w:sz="4" w:space="0"/>
                  </w:tcBorders>
                  <w:vAlign w:val="center"/>
                </w:tcPr>
                <w:p>
                  <w:pPr>
                    <w:widowControl/>
                    <w:snapToGrid w:val="0"/>
                    <w:jc w:val="center"/>
                    <w:rPr>
                      <w:color w:val="auto"/>
                      <w:kern w:val="0"/>
                      <w:szCs w:val="21"/>
                      <w:highlight w:val="none"/>
                    </w:rPr>
                  </w:pPr>
                  <w:r>
                    <w:rPr>
                      <w:color w:val="auto"/>
                      <w:kern w:val="0"/>
                      <w:szCs w:val="21"/>
                      <w:highlight w:val="none"/>
                    </w:rPr>
                    <w:t>60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23" w:hRule="atLeast"/>
              </w:trPr>
              <w:tc>
                <w:tcPr>
                  <w:tcW w:w="354" w:type="pct"/>
                  <w:vMerge w:val="continue"/>
                  <w:tcBorders>
                    <w:right w:val="single" w:color="auto" w:sz="4" w:space="0"/>
                  </w:tcBorders>
                  <w:vAlign w:val="center"/>
                </w:tcPr>
                <w:p>
                  <w:pPr>
                    <w:widowControl/>
                    <w:snapToGrid w:val="0"/>
                    <w:jc w:val="center"/>
                    <w:rPr>
                      <w:color w:val="auto"/>
                      <w:szCs w:val="21"/>
                      <w:highlight w:val="none"/>
                    </w:rPr>
                  </w:pPr>
                </w:p>
              </w:tc>
              <w:tc>
                <w:tcPr>
                  <w:tcW w:w="1315" w:type="pct"/>
                  <w:vMerge w:val="continue"/>
                  <w:tcBorders>
                    <w:left w:val="single" w:color="auto" w:sz="4" w:space="0"/>
                  </w:tcBorders>
                  <w:vAlign w:val="center"/>
                </w:tcPr>
                <w:p>
                  <w:pPr>
                    <w:widowControl/>
                    <w:snapToGrid w:val="0"/>
                    <w:jc w:val="center"/>
                    <w:rPr>
                      <w:color w:val="auto"/>
                      <w:szCs w:val="21"/>
                      <w:highlight w:val="none"/>
                    </w:rPr>
                  </w:pPr>
                </w:p>
              </w:tc>
              <w:tc>
                <w:tcPr>
                  <w:tcW w:w="1074" w:type="pct"/>
                  <w:tcBorders>
                    <w:top w:val="single" w:color="auto" w:sz="4" w:space="0"/>
                  </w:tcBorders>
                  <w:vAlign w:val="center"/>
                </w:tcPr>
                <w:p>
                  <w:pPr>
                    <w:jc w:val="center"/>
                    <w:rPr>
                      <w:color w:val="auto"/>
                      <w:highlight w:val="none"/>
                    </w:rPr>
                  </w:pPr>
                  <w:r>
                    <w:rPr>
                      <w:color w:val="auto"/>
                      <w:highlight w:val="none"/>
                    </w:rPr>
                    <w:t>HCl</w:t>
                  </w:r>
                </w:p>
              </w:tc>
              <w:tc>
                <w:tcPr>
                  <w:tcW w:w="1103" w:type="pct"/>
                  <w:tcBorders>
                    <w:top w:val="single" w:color="auto" w:sz="4" w:space="0"/>
                    <w:right w:val="single" w:color="auto" w:sz="4" w:space="0"/>
                  </w:tcBorders>
                  <w:vAlign w:val="center"/>
                </w:tcPr>
                <w:p>
                  <w:pPr>
                    <w:jc w:val="center"/>
                    <w:rPr>
                      <w:color w:val="auto"/>
                      <w:highlight w:val="none"/>
                    </w:rPr>
                  </w:pPr>
                  <w:r>
                    <w:rPr>
                      <w:color w:val="auto"/>
                      <w:highlight w:val="none"/>
                    </w:rPr>
                    <w:t>1次/年</w:t>
                  </w:r>
                </w:p>
              </w:tc>
              <w:tc>
                <w:tcPr>
                  <w:tcW w:w="1153" w:type="pct"/>
                  <w:tcBorders>
                    <w:top w:val="single" w:color="auto" w:sz="4" w:space="0"/>
                    <w:left w:val="single" w:color="auto" w:sz="4" w:space="0"/>
                  </w:tcBorders>
                  <w:vAlign w:val="center"/>
                </w:tcPr>
                <w:p>
                  <w:pPr>
                    <w:snapToGrid w:val="0"/>
                    <w:jc w:val="center"/>
                    <w:rPr>
                      <w:color w:val="auto"/>
                      <w:kern w:val="0"/>
                      <w:szCs w:val="21"/>
                      <w:highlight w:val="none"/>
                    </w:rPr>
                  </w:pPr>
                  <w:r>
                    <w:rPr>
                      <w:color w:val="auto"/>
                      <w:kern w:val="0"/>
                      <w:szCs w:val="21"/>
                      <w:highlight w:val="none"/>
                    </w:rPr>
                    <w:t>10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152" w:hRule="atLeast"/>
              </w:trPr>
              <w:tc>
                <w:tcPr>
                  <w:tcW w:w="354" w:type="pct"/>
                  <w:vMerge w:val="continue"/>
                  <w:tcBorders>
                    <w:bottom w:val="single" w:color="auto" w:sz="4" w:space="0"/>
                    <w:right w:val="single" w:color="auto" w:sz="4" w:space="0"/>
                  </w:tcBorders>
                  <w:vAlign w:val="center"/>
                </w:tcPr>
                <w:p>
                  <w:pPr>
                    <w:widowControl/>
                    <w:snapToGrid w:val="0"/>
                    <w:jc w:val="center"/>
                    <w:rPr>
                      <w:color w:val="auto"/>
                      <w:szCs w:val="21"/>
                      <w:highlight w:val="none"/>
                    </w:rPr>
                  </w:pPr>
                </w:p>
              </w:tc>
              <w:tc>
                <w:tcPr>
                  <w:tcW w:w="1315" w:type="pct"/>
                  <w:vMerge w:val="continue"/>
                  <w:tcBorders>
                    <w:left w:val="single" w:color="auto" w:sz="4" w:space="0"/>
                    <w:bottom w:val="single" w:color="auto" w:sz="4" w:space="0"/>
                  </w:tcBorders>
                  <w:vAlign w:val="center"/>
                </w:tcPr>
                <w:p>
                  <w:pPr>
                    <w:widowControl/>
                    <w:snapToGrid w:val="0"/>
                    <w:jc w:val="center"/>
                    <w:rPr>
                      <w:color w:val="auto"/>
                      <w:szCs w:val="21"/>
                      <w:highlight w:val="none"/>
                    </w:rPr>
                  </w:pPr>
                </w:p>
              </w:tc>
              <w:tc>
                <w:tcPr>
                  <w:tcW w:w="1074" w:type="pct"/>
                  <w:tcBorders>
                    <w:top w:val="single" w:color="auto" w:sz="4" w:space="0"/>
                    <w:bottom w:val="single" w:color="auto" w:sz="4" w:space="0"/>
                  </w:tcBorders>
                  <w:vAlign w:val="center"/>
                </w:tcPr>
                <w:p>
                  <w:pPr>
                    <w:jc w:val="center"/>
                    <w:rPr>
                      <w:color w:val="auto"/>
                      <w:highlight w:val="none"/>
                    </w:rPr>
                  </w:pPr>
                  <w:r>
                    <w:rPr>
                      <w:color w:val="auto"/>
                      <w:highlight w:val="none"/>
                    </w:rPr>
                    <w:t>氮氧化物</w:t>
                  </w:r>
                </w:p>
              </w:tc>
              <w:tc>
                <w:tcPr>
                  <w:tcW w:w="1103" w:type="pct"/>
                  <w:tcBorders>
                    <w:top w:val="single" w:color="auto" w:sz="4" w:space="0"/>
                    <w:bottom w:val="single" w:color="auto" w:sz="4" w:space="0"/>
                    <w:right w:val="single" w:color="auto" w:sz="4" w:space="0"/>
                  </w:tcBorders>
                  <w:vAlign w:val="center"/>
                </w:tcPr>
                <w:p>
                  <w:pPr>
                    <w:snapToGrid w:val="0"/>
                    <w:jc w:val="center"/>
                    <w:rPr>
                      <w:color w:val="auto"/>
                      <w:kern w:val="0"/>
                      <w:szCs w:val="21"/>
                      <w:highlight w:val="none"/>
                    </w:rPr>
                  </w:pPr>
                  <w:r>
                    <w:rPr>
                      <w:color w:val="auto"/>
                      <w:kern w:val="0"/>
                      <w:szCs w:val="21"/>
                      <w:highlight w:val="none"/>
                    </w:rPr>
                    <w:t>1次/年</w:t>
                  </w:r>
                </w:p>
              </w:tc>
              <w:tc>
                <w:tcPr>
                  <w:tcW w:w="1153" w:type="pct"/>
                  <w:tcBorders>
                    <w:top w:val="single" w:color="auto" w:sz="4" w:space="0"/>
                    <w:left w:val="single" w:color="auto" w:sz="4" w:space="0"/>
                    <w:bottom w:val="single" w:color="auto" w:sz="4" w:space="0"/>
                  </w:tcBorders>
                  <w:vAlign w:val="center"/>
                </w:tcPr>
                <w:p>
                  <w:pPr>
                    <w:snapToGrid w:val="0"/>
                    <w:jc w:val="center"/>
                    <w:rPr>
                      <w:color w:val="auto"/>
                      <w:kern w:val="0"/>
                      <w:szCs w:val="21"/>
                      <w:highlight w:val="none"/>
                    </w:rPr>
                  </w:pPr>
                  <w:r>
                    <w:rPr>
                      <w:color w:val="auto"/>
                      <w:kern w:val="0"/>
                      <w:szCs w:val="21"/>
                      <w:highlight w:val="none"/>
                    </w:rPr>
                    <w:t>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149" w:hRule="atLeast"/>
              </w:trPr>
              <w:tc>
                <w:tcPr>
                  <w:tcW w:w="354" w:type="pct"/>
                  <w:vMerge w:val="continue"/>
                  <w:tcBorders>
                    <w:bottom w:val="single" w:color="auto" w:sz="4" w:space="0"/>
                    <w:right w:val="single" w:color="auto" w:sz="4" w:space="0"/>
                  </w:tcBorders>
                  <w:vAlign w:val="center"/>
                </w:tcPr>
                <w:p>
                  <w:pPr>
                    <w:widowControl/>
                    <w:snapToGrid w:val="0"/>
                    <w:jc w:val="center"/>
                    <w:rPr>
                      <w:color w:val="auto"/>
                      <w:szCs w:val="21"/>
                      <w:highlight w:val="none"/>
                    </w:rPr>
                  </w:pPr>
                </w:p>
              </w:tc>
              <w:tc>
                <w:tcPr>
                  <w:tcW w:w="1315" w:type="pct"/>
                  <w:vMerge w:val="continue"/>
                  <w:tcBorders>
                    <w:left w:val="single" w:color="auto" w:sz="4" w:space="0"/>
                    <w:bottom w:val="single" w:color="auto" w:sz="4" w:space="0"/>
                  </w:tcBorders>
                  <w:vAlign w:val="center"/>
                </w:tcPr>
                <w:p>
                  <w:pPr>
                    <w:widowControl/>
                    <w:snapToGrid w:val="0"/>
                    <w:jc w:val="center"/>
                    <w:rPr>
                      <w:color w:val="auto"/>
                      <w:szCs w:val="21"/>
                      <w:highlight w:val="none"/>
                    </w:rPr>
                  </w:pPr>
                </w:p>
              </w:tc>
              <w:tc>
                <w:tcPr>
                  <w:tcW w:w="1074" w:type="pct"/>
                  <w:tcBorders>
                    <w:top w:val="single" w:color="auto" w:sz="4" w:space="0"/>
                    <w:bottom w:val="single" w:color="auto" w:sz="4" w:space="0"/>
                  </w:tcBorders>
                  <w:vAlign w:val="center"/>
                </w:tcPr>
                <w:p>
                  <w:pPr>
                    <w:jc w:val="center"/>
                    <w:rPr>
                      <w:color w:val="auto"/>
                      <w:highlight w:val="none"/>
                    </w:rPr>
                  </w:pPr>
                  <w:r>
                    <w:rPr>
                      <w:rFonts w:hint="eastAsia"/>
                      <w:color w:val="auto"/>
                      <w:highlight w:val="none"/>
                    </w:rPr>
                    <w:t>SO</w:t>
                  </w:r>
                  <w:r>
                    <w:rPr>
                      <w:rFonts w:hint="eastAsia"/>
                      <w:color w:val="auto"/>
                      <w:highlight w:val="none"/>
                      <w:vertAlign w:val="subscript"/>
                    </w:rPr>
                    <w:t>2</w:t>
                  </w:r>
                </w:p>
              </w:tc>
              <w:tc>
                <w:tcPr>
                  <w:tcW w:w="1103" w:type="pct"/>
                  <w:tcBorders>
                    <w:top w:val="single" w:color="auto" w:sz="4" w:space="0"/>
                    <w:bottom w:val="single" w:color="auto" w:sz="4" w:space="0"/>
                    <w:right w:val="single" w:color="auto" w:sz="4" w:space="0"/>
                  </w:tcBorders>
                  <w:vAlign w:val="center"/>
                </w:tcPr>
                <w:p>
                  <w:pPr>
                    <w:snapToGrid w:val="0"/>
                    <w:jc w:val="center"/>
                    <w:rPr>
                      <w:color w:val="auto"/>
                      <w:kern w:val="0"/>
                      <w:szCs w:val="21"/>
                      <w:highlight w:val="none"/>
                    </w:rPr>
                  </w:pPr>
                  <w:r>
                    <w:rPr>
                      <w:color w:val="auto"/>
                      <w:kern w:val="0"/>
                      <w:szCs w:val="21"/>
                      <w:highlight w:val="none"/>
                    </w:rPr>
                    <w:t>1次/年</w:t>
                  </w:r>
                </w:p>
              </w:tc>
              <w:tc>
                <w:tcPr>
                  <w:tcW w:w="1153" w:type="pct"/>
                  <w:tcBorders>
                    <w:top w:val="single" w:color="auto" w:sz="4" w:space="0"/>
                    <w:left w:val="single" w:color="auto" w:sz="4" w:space="0"/>
                    <w:bottom w:val="single" w:color="auto" w:sz="4" w:space="0"/>
                  </w:tcBorders>
                  <w:vAlign w:val="center"/>
                </w:tcPr>
                <w:p>
                  <w:pPr>
                    <w:snapToGrid w:val="0"/>
                    <w:jc w:val="center"/>
                    <w:rPr>
                      <w:color w:val="auto"/>
                      <w:kern w:val="0"/>
                      <w:szCs w:val="21"/>
                      <w:highlight w:val="none"/>
                    </w:rPr>
                  </w:pPr>
                  <w:r>
                    <w:rPr>
                      <w:rFonts w:hint="eastAsia"/>
                      <w:color w:val="auto"/>
                      <w:kern w:val="0"/>
                      <w:szCs w:val="21"/>
                      <w:highlight w:val="none"/>
                    </w:rPr>
                    <w:t>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107" w:hRule="atLeast"/>
              </w:trPr>
              <w:tc>
                <w:tcPr>
                  <w:tcW w:w="354" w:type="pct"/>
                  <w:vMerge w:val="continue"/>
                  <w:tcBorders>
                    <w:bottom w:val="single" w:color="auto" w:sz="4" w:space="0"/>
                    <w:right w:val="single" w:color="auto" w:sz="4" w:space="0"/>
                  </w:tcBorders>
                  <w:vAlign w:val="center"/>
                </w:tcPr>
                <w:p>
                  <w:pPr>
                    <w:widowControl/>
                    <w:snapToGrid w:val="0"/>
                    <w:jc w:val="center"/>
                    <w:rPr>
                      <w:color w:val="auto"/>
                      <w:szCs w:val="21"/>
                      <w:highlight w:val="none"/>
                    </w:rPr>
                  </w:pPr>
                </w:p>
              </w:tc>
              <w:tc>
                <w:tcPr>
                  <w:tcW w:w="1315" w:type="pct"/>
                  <w:vMerge w:val="continue"/>
                  <w:tcBorders>
                    <w:left w:val="single" w:color="auto" w:sz="4" w:space="0"/>
                    <w:bottom w:val="single" w:color="auto" w:sz="4" w:space="0"/>
                  </w:tcBorders>
                  <w:vAlign w:val="center"/>
                </w:tcPr>
                <w:p>
                  <w:pPr>
                    <w:widowControl/>
                    <w:snapToGrid w:val="0"/>
                    <w:jc w:val="center"/>
                    <w:rPr>
                      <w:color w:val="auto"/>
                      <w:szCs w:val="21"/>
                      <w:highlight w:val="none"/>
                    </w:rPr>
                  </w:pPr>
                </w:p>
              </w:tc>
              <w:tc>
                <w:tcPr>
                  <w:tcW w:w="1074" w:type="pct"/>
                  <w:tcBorders>
                    <w:top w:val="single" w:color="auto" w:sz="4" w:space="0"/>
                    <w:bottom w:val="single" w:color="auto" w:sz="4" w:space="0"/>
                  </w:tcBorders>
                  <w:vAlign w:val="center"/>
                </w:tcPr>
                <w:p>
                  <w:pPr>
                    <w:jc w:val="center"/>
                    <w:rPr>
                      <w:color w:val="auto"/>
                      <w:highlight w:val="none"/>
                    </w:rPr>
                  </w:pPr>
                  <w:r>
                    <w:rPr>
                      <w:rFonts w:hint="eastAsia"/>
                      <w:color w:val="auto"/>
                      <w:highlight w:val="none"/>
                    </w:rPr>
                    <w:t>颗粒物</w:t>
                  </w:r>
                </w:p>
              </w:tc>
              <w:tc>
                <w:tcPr>
                  <w:tcW w:w="1103" w:type="pct"/>
                  <w:tcBorders>
                    <w:top w:val="single" w:color="auto" w:sz="4" w:space="0"/>
                    <w:bottom w:val="single" w:color="auto" w:sz="4" w:space="0"/>
                    <w:right w:val="single" w:color="auto" w:sz="4" w:space="0"/>
                  </w:tcBorders>
                  <w:vAlign w:val="center"/>
                </w:tcPr>
                <w:p>
                  <w:pPr>
                    <w:snapToGrid w:val="0"/>
                    <w:jc w:val="center"/>
                    <w:rPr>
                      <w:color w:val="auto"/>
                      <w:kern w:val="0"/>
                      <w:szCs w:val="21"/>
                      <w:highlight w:val="none"/>
                    </w:rPr>
                  </w:pPr>
                  <w:r>
                    <w:rPr>
                      <w:color w:val="auto"/>
                      <w:kern w:val="0"/>
                      <w:szCs w:val="21"/>
                      <w:highlight w:val="none"/>
                    </w:rPr>
                    <w:t>1次/年</w:t>
                  </w:r>
                </w:p>
              </w:tc>
              <w:tc>
                <w:tcPr>
                  <w:tcW w:w="1153" w:type="pct"/>
                  <w:tcBorders>
                    <w:top w:val="single" w:color="auto" w:sz="4" w:space="0"/>
                    <w:left w:val="single" w:color="auto" w:sz="4" w:space="0"/>
                    <w:bottom w:val="single" w:color="auto" w:sz="4" w:space="0"/>
                  </w:tcBorders>
                  <w:vAlign w:val="center"/>
                </w:tcPr>
                <w:p>
                  <w:pPr>
                    <w:snapToGrid w:val="0"/>
                    <w:jc w:val="center"/>
                    <w:rPr>
                      <w:color w:val="auto"/>
                      <w:kern w:val="0"/>
                      <w:szCs w:val="21"/>
                      <w:highlight w:val="none"/>
                    </w:rPr>
                  </w:pPr>
                  <w:r>
                    <w:rPr>
                      <w:rFonts w:hint="eastAsia"/>
                      <w:color w:val="auto"/>
                      <w:kern w:val="0"/>
                      <w:szCs w:val="21"/>
                      <w:highlight w:val="none"/>
                    </w:rPr>
                    <w:t>20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23" w:hRule="atLeast"/>
              </w:trPr>
              <w:tc>
                <w:tcPr>
                  <w:tcW w:w="1669" w:type="pct"/>
                  <w:gridSpan w:val="2"/>
                  <w:tcBorders>
                    <w:top w:val="single" w:color="auto" w:sz="4" w:space="0"/>
                    <w:bottom w:val="single" w:color="auto" w:sz="4" w:space="0"/>
                  </w:tcBorders>
                  <w:vAlign w:val="center"/>
                </w:tcPr>
                <w:p>
                  <w:pPr>
                    <w:snapToGrid w:val="0"/>
                    <w:jc w:val="center"/>
                    <w:rPr>
                      <w:color w:val="auto"/>
                      <w:szCs w:val="21"/>
                      <w:highlight w:val="none"/>
                    </w:rPr>
                  </w:pPr>
                  <w:r>
                    <w:rPr>
                      <w:rFonts w:hint="eastAsia"/>
                      <w:color w:val="auto"/>
                      <w:szCs w:val="21"/>
                      <w:highlight w:val="none"/>
                    </w:rPr>
                    <w:t>P3（危废库）</w:t>
                  </w:r>
                </w:p>
              </w:tc>
              <w:tc>
                <w:tcPr>
                  <w:tcW w:w="1074" w:type="pct"/>
                  <w:tcBorders>
                    <w:top w:val="single" w:color="auto" w:sz="4" w:space="0"/>
                    <w:bottom w:val="single" w:color="auto" w:sz="4" w:space="0"/>
                  </w:tcBorders>
                  <w:vAlign w:val="center"/>
                </w:tcPr>
                <w:p>
                  <w:pPr>
                    <w:jc w:val="center"/>
                    <w:rPr>
                      <w:color w:val="auto"/>
                      <w:highlight w:val="none"/>
                    </w:rPr>
                  </w:pPr>
                  <w:r>
                    <w:rPr>
                      <w:rFonts w:hint="eastAsia"/>
                      <w:color w:val="auto"/>
                      <w:highlight w:val="none"/>
                    </w:rPr>
                    <w:t>非甲烷总烃</w:t>
                  </w:r>
                </w:p>
              </w:tc>
              <w:tc>
                <w:tcPr>
                  <w:tcW w:w="1103" w:type="pct"/>
                  <w:tcBorders>
                    <w:top w:val="single" w:color="auto" w:sz="4" w:space="0"/>
                    <w:bottom w:val="single" w:color="auto" w:sz="4" w:space="0"/>
                    <w:right w:val="single" w:color="auto" w:sz="4" w:space="0"/>
                  </w:tcBorders>
                  <w:vAlign w:val="center"/>
                </w:tcPr>
                <w:p>
                  <w:pPr>
                    <w:snapToGrid w:val="0"/>
                    <w:jc w:val="center"/>
                    <w:rPr>
                      <w:color w:val="auto"/>
                      <w:kern w:val="0"/>
                      <w:szCs w:val="21"/>
                      <w:highlight w:val="none"/>
                    </w:rPr>
                  </w:pPr>
                  <w:r>
                    <w:rPr>
                      <w:color w:val="auto"/>
                      <w:kern w:val="0"/>
                      <w:szCs w:val="21"/>
                      <w:highlight w:val="none"/>
                    </w:rPr>
                    <w:t>1次/年</w:t>
                  </w:r>
                </w:p>
              </w:tc>
              <w:tc>
                <w:tcPr>
                  <w:tcW w:w="1153" w:type="pct"/>
                  <w:tcBorders>
                    <w:top w:val="single" w:color="auto" w:sz="4" w:space="0"/>
                    <w:left w:val="single" w:color="auto" w:sz="4" w:space="0"/>
                    <w:bottom w:val="single" w:color="auto" w:sz="4" w:space="0"/>
                  </w:tcBorders>
                  <w:vAlign w:val="center"/>
                </w:tcPr>
                <w:p>
                  <w:pPr>
                    <w:snapToGrid w:val="0"/>
                    <w:jc w:val="center"/>
                    <w:rPr>
                      <w:color w:val="auto"/>
                      <w:kern w:val="0"/>
                      <w:szCs w:val="21"/>
                      <w:highlight w:val="none"/>
                    </w:rPr>
                  </w:pPr>
                  <w:r>
                    <w:rPr>
                      <w:rFonts w:hint="eastAsia"/>
                      <w:color w:val="auto"/>
                      <w:kern w:val="0"/>
                      <w:szCs w:val="21"/>
                      <w:highlight w:val="none"/>
                    </w:rPr>
                    <w:t>60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23" w:hRule="atLeast"/>
              </w:trPr>
              <w:tc>
                <w:tcPr>
                  <w:tcW w:w="1669" w:type="pct"/>
                  <w:gridSpan w:val="2"/>
                  <w:vMerge w:val="restart"/>
                  <w:tcBorders>
                    <w:top w:val="single" w:color="auto" w:sz="4" w:space="0"/>
                  </w:tcBorders>
                  <w:vAlign w:val="center"/>
                </w:tcPr>
                <w:p>
                  <w:pPr>
                    <w:snapToGrid w:val="0"/>
                    <w:jc w:val="center"/>
                    <w:rPr>
                      <w:color w:val="auto"/>
                      <w:szCs w:val="21"/>
                      <w:highlight w:val="none"/>
                    </w:rPr>
                  </w:pPr>
                  <w:r>
                    <w:rPr>
                      <w:color w:val="auto"/>
                      <w:szCs w:val="21"/>
                      <w:highlight w:val="none"/>
                    </w:rPr>
                    <w:t>厂界（企业厂界上风向设1个参照点，下风向设3个监控点）</w:t>
                  </w:r>
                </w:p>
              </w:tc>
              <w:tc>
                <w:tcPr>
                  <w:tcW w:w="1074" w:type="pct"/>
                  <w:tcBorders>
                    <w:top w:val="single" w:color="auto" w:sz="4" w:space="0"/>
                    <w:bottom w:val="single" w:color="auto" w:sz="4" w:space="0"/>
                  </w:tcBorders>
                  <w:vAlign w:val="center"/>
                </w:tcPr>
                <w:p>
                  <w:pPr>
                    <w:jc w:val="center"/>
                    <w:rPr>
                      <w:color w:val="auto"/>
                      <w:szCs w:val="21"/>
                      <w:highlight w:val="none"/>
                    </w:rPr>
                  </w:pPr>
                  <w:r>
                    <w:rPr>
                      <w:color w:val="auto"/>
                      <w:szCs w:val="21"/>
                      <w:highlight w:val="none"/>
                    </w:rPr>
                    <w:t>非甲烷总烃</w:t>
                  </w:r>
                </w:p>
              </w:tc>
              <w:tc>
                <w:tcPr>
                  <w:tcW w:w="1103" w:type="pct"/>
                  <w:tcBorders>
                    <w:top w:val="single" w:color="auto" w:sz="4" w:space="0"/>
                    <w:bottom w:val="single" w:color="auto" w:sz="4" w:space="0"/>
                    <w:right w:val="single" w:color="auto" w:sz="4" w:space="0"/>
                  </w:tcBorders>
                  <w:vAlign w:val="center"/>
                </w:tcPr>
                <w:p>
                  <w:pPr>
                    <w:snapToGrid w:val="0"/>
                    <w:jc w:val="center"/>
                    <w:rPr>
                      <w:color w:val="auto"/>
                      <w:kern w:val="0"/>
                      <w:szCs w:val="21"/>
                      <w:highlight w:val="none"/>
                    </w:rPr>
                  </w:pPr>
                  <w:r>
                    <w:rPr>
                      <w:color w:val="auto"/>
                      <w:kern w:val="0"/>
                      <w:szCs w:val="21"/>
                      <w:highlight w:val="none"/>
                    </w:rPr>
                    <w:t>1次/年</w:t>
                  </w:r>
                </w:p>
              </w:tc>
              <w:tc>
                <w:tcPr>
                  <w:tcW w:w="1153" w:type="pct"/>
                  <w:tcBorders>
                    <w:top w:val="single" w:color="auto" w:sz="4" w:space="0"/>
                    <w:left w:val="single" w:color="auto" w:sz="4" w:space="0"/>
                    <w:bottom w:val="single" w:color="auto" w:sz="4" w:space="0"/>
                  </w:tcBorders>
                  <w:vAlign w:val="center"/>
                </w:tcPr>
                <w:p>
                  <w:pPr>
                    <w:snapToGrid w:val="0"/>
                    <w:jc w:val="center"/>
                    <w:rPr>
                      <w:color w:val="auto"/>
                      <w:kern w:val="0"/>
                      <w:szCs w:val="21"/>
                      <w:highlight w:val="none"/>
                    </w:rPr>
                  </w:pPr>
                  <w:r>
                    <w:rPr>
                      <w:color w:val="auto"/>
                      <w:kern w:val="0"/>
                      <w:szCs w:val="21"/>
                      <w:highlight w:val="none"/>
                    </w:rPr>
                    <w:t>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23" w:hRule="atLeast"/>
              </w:trPr>
              <w:tc>
                <w:tcPr>
                  <w:tcW w:w="1669" w:type="pct"/>
                  <w:gridSpan w:val="2"/>
                  <w:vMerge w:val="continue"/>
                  <w:vAlign w:val="center"/>
                </w:tcPr>
                <w:p>
                  <w:pPr>
                    <w:snapToGrid w:val="0"/>
                    <w:jc w:val="center"/>
                    <w:rPr>
                      <w:color w:val="auto"/>
                      <w:szCs w:val="21"/>
                      <w:highlight w:val="none"/>
                    </w:rPr>
                  </w:pPr>
                </w:p>
              </w:tc>
              <w:tc>
                <w:tcPr>
                  <w:tcW w:w="1074" w:type="pct"/>
                  <w:tcBorders>
                    <w:top w:val="single" w:color="auto" w:sz="4" w:space="0"/>
                  </w:tcBorders>
                  <w:vAlign w:val="center"/>
                </w:tcPr>
                <w:p>
                  <w:pPr>
                    <w:jc w:val="center"/>
                    <w:rPr>
                      <w:color w:val="auto"/>
                      <w:highlight w:val="none"/>
                    </w:rPr>
                  </w:pPr>
                  <w:r>
                    <w:rPr>
                      <w:color w:val="auto"/>
                      <w:highlight w:val="none"/>
                    </w:rPr>
                    <w:t>HCl</w:t>
                  </w:r>
                </w:p>
              </w:tc>
              <w:tc>
                <w:tcPr>
                  <w:tcW w:w="1103" w:type="pct"/>
                  <w:tcBorders>
                    <w:top w:val="single" w:color="auto" w:sz="4" w:space="0"/>
                    <w:right w:val="single" w:color="auto" w:sz="4" w:space="0"/>
                  </w:tcBorders>
                  <w:vAlign w:val="center"/>
                </w:tcPr>
                <w:p>
                  <w:pPr>
                    <w:jc w:val="center"/>
                    <w:rPr>
                      <w:color w:val="auto"/>
                      <w:highlight w:val="none"/>
                    </w:rPr>
                  </w:pPr>
                  <w:r>
                    <w:rPr>
                      <w:color w:val="auto"/>
                      <w:kern w:val="0"/>
                      <w:szCs w:val="21"/>
                      <w:highlight w:val="none"/>
                    </w:rPr>
                    <w:t>1次/年</w:t>
                  </w:r>
                </w:p>
              </w:tc>
              <w:tc>
                <w:tcPr>
                  <w:tcW w:w="1153" w:type="pct"/>
                  <w:tcBorders>
                    <w:top w:val="single" w:color="auto" w:sz="4" w:space="0"/>
                    <w:left w:val="single" w:color="auto" w:sz="4" w:space="0"/>
                  </w:tcBorders>
                  <w:vAlign w:val="center"/>
                </w:tcPr>
                <w:p>
                  <w:pPr>
                    <w:snapToGrid w:val="0"/>
                    <w:jc w:val="center"/>
                    <w:rPr>
                      <w:color w:val="auto"/>
                      <w:kern w:val="0"/>
                      <w:szCs w:val="21"/>
                      <w:highlight w:val="none"/>
                    </w:rPr>
                  </w:pPr>
                  <w:r>
                    <w:rPr>
                      <w:color w:val="auto"/>
                      <w:kern w:val="0"/>
                      <w:szCs w:val="21"/>
                      <w:highlight w:val="none"/>
                    </w:rPr>
                    <w:t>0.05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193" w:hRule="atLeast"/>
              </w:trPr>
              <w:tc>
                <w:tcPr>
                  <w:tcW w:w="1669" w:type="pct"/>
                  <w:gridSpan w:val="2"/>
                  <w:vMerge w:val="continue"/>
                  <w:vAlign w:val="center"/>
                </w:tcPr>
                <w:p>
                  <w:pPr>
                    <w:snapToGrid w:val="0"/>
                    <w:jc w:val="center"/>
                    <w:rPr>
                      <w:color w:val="auto"/>
                      <w:szCs w:val="21"/>
                      <w:highlight w:val="none"/>
                    </w:rPr>
                  </w:pPr>
                </w:p>
              </w:tc>
              <w:tc>
                <w:tcPr>
                  <w:tcW w:w="1074" w:type="pct"/>
                  <w:tcBorders>
                    <w:top w:val="single" w:color="auto" w:sz="4" w:space="0"/>
                    <w:bottom w:val="single" w:color="auto" w:sz="4" w:space="0"/>
                  </w:tcBorders>
                  <w:vAlign w:val="center"/>
                </w:tcPr>
                <w:p>
                  <w:pPr>
                    <w:jc w:val="center"/>
                    <w:rPr>
                      <w:color w:val="auto"/>
                      <w:highlight w:val="none"/>
                    </w:rPr>
                  </w:pPr>
                  <w:r>
                    <w:rPr>
                      <w:color w:val="auto"/>
                      <w:highlight w:val="none"/>
                    </w:rPr>
                    <w:t>氮氧化物</w:t>
                  </w:r>
                </w:p>
              </w:tc>
              <w:tc>
                <w:tcPr>
                  <w:tcW w:w="1103" w:type="pct"/>
                  <w:tcBorders>
                    <w:top w:val="single" w:color="auto" w:sz="4" w:space="0"/>
                    <w:bottom w:val="single" w:color="auto" w:sz="4" w:space="0"/>
                    <w:right w:val="single" w:color="auto" w:sz="4" w:space="0"/>
                  </w:tcBorders>
                </w:tcPr>
                <w:p>
                  <w:pPr>
                    <w:jc w:val="center"/>
                    <w:rPr>
                      <w:color w:val="auto"/>
                      <w:highlight w:val="none"/>
                    </w:rPr>
                  </w:pPr>
                  <w:r>
                    <w:rPr>
                      <w:color w:val="auto"/>
                      <w:kern w:val="0"/>
                      <w:szCs w:val="21"/>
                      <w:highlight w:val="none"/>
                    </w:rPr>
                    <w:t>1次/年</w:t>
                  </w:r>
                </w:p>
              </w:tc>
              <w:tc>
                <w:tcPr>
                  <w:tcW w:w="1153" w:type="pct"/>
                  <w:tcBorders>
                    <w:top w:val="single" w:color="auto" w:sz="4" w:space="0"/>
                    <w:left w:val="single" w:color="auto" w:sz="4" w:space="0"/>
                    <w:bottom w:val="single" w:color="auto" w:sz="4" w:space="0"/>
                  </w:tcBorders>
                  <w:vAlign w:val="center"/>
                </w:tcPr>
                <w:p>
                  <w:pPr>
                    <w:snapToGrid w:val="0"/>
                    <w:jc w:val="center"/>
                    <w:rPr>
                      <w:color w:val="auto"/>
                      <w:kern w:val="0"/>
                      <w:szCs w:val="21"/>
                      <w:highlight w:val="none"/>
                    </w:rPr>
                  </w:pPr>
                  <w:r>
                    <w:rPr>
                      <w:color w:val="auto"/>
                      <w:kern w:val="0"/>
                      <w:szCs w:val="21"/>
                      <w:highlight w:val="none"/>
                    </w:rPr>
                    <w:t>0.12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160" w:hRule="atLeast"/>
              </w:trPr>
              <w:tc>
                <w:tcPr>
                  <w:tcW w:w="1669" w:type="pct"/>
                  <w:gridSpan w:val="2"/>
                  <w:vMerge w:val="continue"/>
                  <w:vAlign w:val="center"/>
                </w:tcPr>
                <w:p>
                  <w:pPr>
                    <w:snapToGrid w:val="0"/>
                    <w:jc w:val="center"/>
                    <w:rPr>
                      <w:color w:val="auto"/>
                      <w:szCs w:val="21"/>
                      <w:highlight w:val="none"/>
                    </w:rPr>
                  </w:pPr>
                </w:p>
              </w:tc>
              <w:tc>
                <w:tcPr>
                  <w:tcW w:w="1862" w:type="dxa"/>
                  <w:tcBorders>
                    <w:top w:val="single" w:color="auto" w:sz="4" w:space="0"/>
                    <w:bottom w:val="single" w:color="auto" w:sz="4" w:space="0"/>
                  </w:tcBorders>
                  <w:vAlign w:val="center"/>
                </w:tcPr>
                <w:p>
                  <w:pPr>
                    <w:jc w:val="center"/>
                    <w:rPr>
                      <w:color w:val="auto"/>
                      <w:highlight w:val="none"/>
                    </w:rPr>
                  </w:pPr>
                  <w:r>
                    <w:rPr>
                      <w:rFonts w:hint="eastAsia"/>
                      <w:color w:val="auto"/>
                      <w:highlight w:val="none"/>
                    </w:rPr>
                    <w:t>SO</w:t>
                  </w:r>
                  <w:r>
                    <w:rPr>
                      <w:rFonts w:hint="eastAsia"/>
                      <w:color w:val="auto"/>
                      <w:highlight w:val="none"/>
                      <w:vertAlign w:val="subscript"/>
                    </w:rPr>
                    <w:t>2</w:t>
                  </w:r>
                </w:p>
              </w:tc>
              <w:tc>
                <w:tcPr>
                  <w:tcW w:w="1103" w:type="pct"/>
                  <w:tcBorders>
                    <w:top w:val="single" w:color="auto" w:sz="4" w:space="0"/>
                    <w:bottom w:val="single" w:color="auto" w:sz="4" w:space="0"/>
                    <w:right w:val="single" w:color="auto" w:sz="4" w:space="0"/>
                  </w:tcBorders>
                </w:tcPr>
                <w:p>
                  <w:pPr>
                    <w:jc w:val="center"/>
                    <w:rPr>
                      <w:color w:val="auto"/>
                      <w:kern w:val="0"/>
                      <w:szCs w:val="21"/>
                      <w:highlight w:val="none"/>
                    </w:rPr>
                  </w:pPr>
                  <w:r>
                    <w:rPr>
                      <w:color w:val="auto"/>
                      <w:kern w:val="0"/>
                      <w:szCs w:val="21"/>
                      <w:highlight w:val="none"/>
                    </w:rPr>
                    <w:t>1次/年</w:t>
                  </w:r>
                </w:p>
              </w:tc>
              <w:tc>
                <w:tcPr>
                  <w:tcW w:w="1153" w:type="pct"/>
                  <w:tcBorders>
                    <w:top w:val="single" w:color="auto" w:sz="4" w:space="0"/>
                    <w:left w:val="single" w:color="auto" w:sz="4" w:space="0"/>
                    <w:bottom w:val="single" w:color="auto" w:sz="4" w:space="0"/>
                  </w:tcBorders>
                  <w:vAlign w:val="center"/>
                </w:tcPr>
                <w:p>
                  <w:pPr>
                    <w:snapToGrid w:val="0"/>
                    <w:jc w:val="center"/>
                    <w:rPr>
                      <w:color w:val="auto"/>
                      <w:kern w:val="0"/>
                      <w:szCs w:val="21"/>
                      <w:highlight w:val="none"/>
                    </w:rPr>
                  </w:pPr>
                  <w:r>
                    <w:rPr>
                      <w:rFonts w:hint="eastAsia"/>
                      <w:color w:val="auto"/>
                      <w:kern w:val="0"/>
                      <w:szCs w:val="21"/>
                      <w:highlight w:val="none"/>
                    </w:rPr>
                    <w:t>0.4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96" w:hRule="atLeast"/>
              </w:trPr>
              <w:tc>
                <w:tcPr>
                  <w:tcW w:w="1669" w:type="pct"/>
                  <w:gridSpan w:val="2"/>
                  <w:vMerge w:val="continue"/>
                  <w:vAlign w:val="center"/>
                </w:tcPr>
                <w:p>
                  <w:pPr>
                    <w:snapToGrid w:val="0"/>
                    <w:jc w:val="center"/>
                    <w:rPr>
                      <w:color w:val="auto"/>
                      <w:szCs w:val="21"/>
                      <w:highlight w:val="none"/>
                    </w:rPr>
                  </w:pPr>
                </w:p>
              </w:tc>
              <w:tc>
                <w:tcPr>
                  <w:tcW w:w="1862" w:type="dxa"/>
                  <w:tcBorders>
                    <w:top w:val="single" w:color="auto" w:sz="4" w:space="0"/>
                  </w:tcBorders>
                  <w:vAlign w:val="center"/>
                </w:tcPr>
                <w:p>
                  <w:pPr>
                    <w:jc w:val="center"/>
                    <w:rPr>
                      <w:color w:val="auto"/>
                      <w:highlight w:val="none"/>
                    </w:rPr>
                  </w:pPr>
                  <w:r>
                    <w:rPr>
                      <w:rFonts w:hint="eastAsia"/>
                      <w:color w:val="auto"/>
                      <w:highlight w:val="none"/>
                    </w:rPr>
                    <w:t>颗粒物</w:t>
                  </w:r>
                </w:p>
              </w:tc>
              <w:tc>
                <w:tcPr>
                  <w:tcW w:w="1103" w:type="pct"/>
                  <w:tcBorders>
                    <w:top w:val="single" w:color="auto" w:sz="4" w:space="0"/>
                    <w:right w:val="single" w:color="auto" w:sz="4" w:space="0"/>
                  </w:tcBorders>
                </w:tcPr>
                <w:p>
                  <w:pPr>
                    <w:jc w:val="center"/>
                    <w:rPr>
                      <w:color w:val="auto"/>
                      <w:kern w:val="0"/>
                      <w:szCs w:val="21"/>
                      <w:highlight w:val="none"/>
                    </w:rPr>
                  </w:pPr>
                  <w:r>
                    <w:rPr>
                      <w:color w:val="auto"/>
                      <w:kern w:val="0"/>
                      <w:szCs w:val="21"/>
                      <w:highlight w:val="none"/>
                    </w:rPr>
                    <w:t>1次/年</w:t>
                  </w:r>
                </w:p>
              </w:tc>
              <w:tc>
                <w:tcPr>
                  <w:tcW w:w="1153" w:type="pct"/>
                  <w:tcBorders>
                    <w:top w:val="single" w:color="auto" w:sz="4" w:space="0"/>
                    <w:left w:val="single" w:color="auto" w:sz="4" w:space="0"/>
                    <w:bottom w:val="single" w:color="auto" w:sz="4" w:space="0"/>
                  </w:tcBorders>
                  <w:vAlign w:val="center"/>
                </w:tcPr>
                <w:p>
                  <w:pPr>
                    <w:snapToGrid w:val="0"/>
                    <w:jc w:val="center"/>
                    <w:rPr>
                      <w:color w:val="auto"/>
                      <w:kern w:val="0"/>
                      <w:szCs w:val="21"/>
                      <w:highlight w:val="none"/>
                    </w:rPr>
                  </w:pPr>
                  <w:r>
                    <w:rPr>
                      <w:rFonts w:hint="eastAsia"/>
                      <w:color w:val="auto"/>
                      <w:kern w:val="0"/>
                      <w:szCs w:val="21"/>
                      <w:highlight w:val="none"/>
                    </w:rPr>
                    <w:t>0.5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23" w:hRule="atLeast"/>
              </w:trPr>
              <w:tc>
                <w:tcPr>
                  <w:tcW w:w="1669" w:type="pct"/>
                  <w:gridSpan w:val="2"/>
                  <w:tcBorders>
                    <w:top w:val="single" w:color="auto" w:sz="4" w:space="0"/>
                  </w:tcBorders>
                  <w:vAlign w:val="center"/>
                </w:tcPr>
                <w:p>
                  <w:pPr>
                    <w:snapToGrid w:val="0"/>
                    <w:jc w:val="center"/>
                    <w:rPr>
                      <w:color w:val="auto"/>
                      <w:szCs w:val="21"/>
                      <w:highlight w:val="none"/>
                    </w:rPr>
                  </w:pPr>
                  <w:r>
                    <w:rPr>
                      <w:color w:val="auto"/>
                      <w:szCs w:val="21"/>
                      <w:highlight w:val="none"/>
                    </w:rPr>
                    <w:t>门窗或通风口外1m，距离地面1.5m以上位置设1-2个监控点，检测1h平均浓度值</w:t>
                  </w:r>
                </w:p>
              </w:tc>
              <w:tc>
                <w:tcPr>
                  <w:tcW w:w="1074" w:type="pct"/>
                  <w:tcBorders>
                    <w:top w:val="single" w:color="auto" w:sz="4" w:space="0"/>
                  </w:tcBorders>
                  <w:vAlign w:val="center"/>
                </w:tcPr>
                <w:p>
                  <w:pPr>
                    <w:jc w:val="center"/>
                    <w:rPr>
                      <w:color w:val="auto"/>
                      <w:szCs w:val="21"/>
                      <w:highlight w:val="none"/>
                    </w:rPr>
                  </w:pPr>
                  <w:r>
                    <w:rPr>
                      <w:color w:val="auto"/>
                      <w:szCs w:val="21"/>
                      <w:highlight w:val="none"/>
                    </w:rPr>
                    <w:t>非甲烷总烃</w:t>
                  </w:r>
                </w:p>
              </w:tc>
              <w:tc>
                <w:tcPr>
                  <w:tcW w:w="1103" w:type="pct"/>
                  <w:tcBorders>
                    <w:top w:val="single" w:color="auto" w:sz="4" w:space="0"/>
                    <w:right w:val="single" w:color="auto" w:sz="4" w:space="0"/>
                  </w:tcBorders>
                  <w:vAlign w:val="center"/>
                </w:tcPr>
                <w:p>
                  <w:pPr>
                    <w:snapToGrid w:val="0"/>
                    <w:jc w:val="center"/>
                    <w:rPr>
                      <w:color w:val="auto"/>
                      <w:kern w:val="0"/>
                      <w:szCs w:val="21"/>
                      <w:highlight w:val="none"/>
                    </w:rPr>
                  </w:pPr>
                  <w:r>
                    <w:rPr>
                      <w:color w:val="auto"/>
                      <w:kern w:val="0"/>
                      <w:szCs w:val="21"/>
                      <w:highlight w:val="none"/>
                    </w:rPr>
                    <w:t>1次/年</w:t>
                  </w:r>
                </w:p>
              </w:tc>
              <w:tc>
                <w:tcPr>
                  <w:tcW w:w="1153" w:type="pct"/>
                  <w:tcBorders>
                    <w:top w:val="single" w:color="auto" w:sz="4" w:space="0"/>
                    <w:left w:val="single" w:color="auto" w:sz="4" w:space="0"/>
                  </w:tcBorders>
                  <w:vAlign w:val="center"/>
                </w:tcPr>
                <w:p>
                  <w:pPr>
                    <w:snapToGrid w:val="0"/>
                    <w:jc w:val="center"/>
                    <w:rPr>
                      <w:color w:val="auto"/>
                      <w:kern w:val="0"/>
                      <w:szCs w:val="21"/>
                      <w:highlight w:val="none"/>
                    </w:rPr>
                  </w:pPr>
                  <w:r>
                    <w:rPr>
                      <w:color w:val="auto"/>
                      <w:kern w:val="0"/>
                      <w:szCs w:val="21"/>
                      <w:highlight w:val="none"/>
                    </w:rPr>
                    <w:t>6</w:t>
                  </w:r>
                </w:p>
              </w:tc>
            </w:tr>
          </w:tbl>
          <w:p>
            <w:pPr>
              <w:pStyle w:val="3"/>
              <w:numPr>
                <w:ilvl w:val="0"/>
                <w:numId w:val="13"/>
              </w:numPr>
              <w:spacing w:beforeLines="50" w:line="360" w:lineRule="auto"/>
              <w:jc w:val="left"/>
              <w:rPr>
                <w:b/>
                <w:color w:val="auto"/>
                <w:sz w:val="24"/>
                <w:szCs w:val="24"/>
                <w:highlight w:val="none"/>
              </w:rPr>
            </w:pPr>
            <w:r>
              <w:rPr>
                <w:b/>
                <w:color w:val="auto"/>
                <w:sz w:val="24"/>
                <w:szCs w:val="24"/>
                <w:highlight w:val="none"/>
              </w:rPr>
              <w:t>污染防治技术可行性分析</w:t>
            </w:r>
          </w:p>
          <w:p>
            <w:pPr>
              <w:adjustRightInd w:val="0"/>
              <w:snapToGrid w:val="0"/>
              <w:spacing w:line="360" w:lineRule="auto"/>
              <w:ind w:firstLine="482" w:firstLineChars="200"/>
              <w:rPr>
                <w:b/>
                <w:color w:val="auto"/>
                <w:sz w:val="24"/>
                <w:highlight w:val="none"/>
              </w:rPr>
            </w:pPr>
            <w:r>
              <w:rPr>
                <w:b/>
                <w:color w:val="auto"/>
                <w:sz w:val="24"/>
                <w:highlight w:val="none"/>
              </w:rPr>
              <w:t>零部件清洗废气</w:t>
            </w:r>
            <w:r>
              <w:rPr>
                <w:rFonts w:hint="eastAsia"/>
                <w:b/>
                <w:color w:val="auto"/>
                <w:sz w:val="24"/>
                <w:highlight w:val="none"/>
              </w:rPr>
              <w:t>（G1-G5）</w:t>
            </w:r>
            <w:r>
              <w:rPr>
                <w:b/>
                <w:color w:val="auto"/>
                <w:sz w:val="24"/>
                <w:highlight w:val="none"/>
              </w:rPr>
              <w:t>污染防治措施</w:t>
            </w:r>
          </w:p>
          <w:p>
            <w:pPr>
              <w:adjustRightInd w:val="0"/>
              <w:snapToGrid w:val="0"/>
              <w:spacing w:line="360" w:lineRule="auto"/>
              <w:ind w:firstLine="480" w:firstLineChars="200"/>
              <w:rPr>
                <w:color w:val="auto"/>
                <w:kern w:val="0"/>
                <w:sz w:val="24"/>
                <w:highlight w:val="none"/>
              </w:rPr>
            </w:pPr>
            <w:r>
              <w:rPr>
                <w:rFonts w:hint="eastAsia"/>
                <w:color w:val="auto"/>
                <w:sz w:val="24"/>
                <w:highlight w:val="none"/>
              </w:rPr>
              <w:t>收集的清洗废气收集+</w:t>
            </w:r>
            <w:r>
              <w:rPr>
                <w:color w:val="auto"/>
                <w:sz w:val="24"/>
                <w:highlight w:val="none"/>
              </w:rPr>
              <w:t>碱液喷淋+除雾器+</w:t>
            </w:r>
            <w:r>
              <w:rPr>
                <w:rFonts w:hint="eastAsia"/>
                <w:color w:val="auto"/>
                <w:sz w:val="24"/>
                <w:highlight w:val="none"/>
              </w:rPr>
              <w:t>一级</w:t>
            </w:r>
            <w:r>
              <w:rPr>
                <w:color w:val="auto"/>
                <w:sz w:val="24"/>
                <w:highlight w:val="none"/>
              </w:rPr>
              <w:t>活性炭处理后</w:t>
            </w:r>
            <w:r>
              <w:rPr>
                <w:rFonts w:hint="eastAsia"/>
                <w:color w:val="auto"/>
                <w:sz w:val="24"/>
                <w:highlight w:val="none"/>
              </w:rPr>
              <w:t>同封口工序采用液化石油气火焰对玻壳进行加热产生的废气</w:t>
            </w:r>
            <w:r>
              <w:rPr>
                <w:color w:val="auto"/>
                <w:sz w:val="24"/>
                <w:highlight w:val="none"/>
              </w:rPr>
              <w:t>经15m高排气筒P2排放</w:t>
            </w:r>
            <w:r>
              <w:rPr>
                <w:rFonts w:hint="eastAsia"/>
                <w:color w:val="auto"/>
                <w:sz w:val="24"/>
                <w:highlight w:val="none"/>
              </w:rPr>
              <w:t>，</w:t>
            </w:r>
            <w:r>
              <w:rPr>
                <w:color w:val="auto"/>
                <w:sz w:val="24"/>
                <w:highlight w:val="none"/>
              </w:rPr>
              <w:t>风量为</w:t>
            </w:r>
            <w:r>
              <w:rPr>
                <w:rFonts w:hint="eastAsia"/>
                <w:color w:val="auto"/>
                <w:sz w:val="24"/>
                <w:highlight w:val="none"/>
              </w:rPr>
              <w:t>10</w:t>
            </w:r>
            <w:r>
              <w:rPr>
                <w:color w:val="auto"/>
                <w:sz w:val="24"/>
                <w:highlight w:val="none"/>
              </w:rPr>
              <w:t>000m</w:t>
            </w:r>
            <w:r>
              <w:rPr>
                <w:color w:val="auto"/>
                <w:sz w:val="24"/>
                <w:highlight w:val="none"/>
                <w:vertAlign w:val="superscript"/>
              </w:rPr>
              <w:t>3</w:t>
            </w:r>
            <w:r>
              <w:rPr>
                <w:color w:val="auto"/>
                <w:sz w:val="24"/>
                <w:highlight w:val="none"/>
              </w:rPr>
              <w:t>/h，DN0.5m。</w:t>
            </w:r>
          </w:p>
          <w:p>
            <w:pPr>
              <w:adjustRightInd w:val="0"/>
              <w:snapToGrid w:val="0"/>
              <w:spacing w:line="360" w:lineRule="auto"/>
              <w:ind w:firstLine="480" w:firstLineChars="200"/>
              <w:rPr>
                <w:color w:val="auto"/>
                <w:kern w:val="0"/>
                <w:sz w:val="24"/>
                <w:highlight w:val="none"/>
              </w:rPr>
            </w:pPr>
            <w:r>
              <w:rPr>
                <w:color w:val="auto"/>
                <w:kern w:val="0"/>
                <w:sz w:val="24"/>
                <w:highlight w:val="none"/>
              </w:rPr>
              <w:t>废气收集治理工艺见图4-1。</w:t>
            </w:r>
          </w:p>
          <w:p>
            <w:pPr>
              <w:pStyle w:val="3"/>
              <w:rPr>
                <w:color w:val="auto"/>
                <w:highlight w:val="none"/>
              </w:rPr>
            </w:pPr>
            <w:r>
              <w:rPr>
                <w:color w:val="auto"/>
                <w:highlight w:val="none"/>
              </w:rPr>
              <w:drawing>
                <wp:inline distT="0" distB="0" distL="0" distR="0">
                  <wp:extent cx="5756275" cy="1743075"/>
                  <wp:effectExtent l="1905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13"/>
                          <a:srcRect/>
                          <a:stretch>
                            <a:fillRect/>
                          </a:stretch>
                        </pic:blipFill>
                        <pic:spPr>
                          <a:xfrm>
                            <a:off x="0" y="0"/>
                            <a:ext cx="5756275" cy="1743075"/>
                          </a:xfrm>
                          <a:prstGeom prst="rect">
                            <a:avLst/>
                          </a:prstGeom>
                          <a:noFill/>
                        </pic:spPr>
                      </pic:pic>
                    </a:graphicData>
                  </a:graphic>
                </wp:inline>
              </w:drawing>
            </w:r>
          </w:p>
          <w:p>
            <w:pPr>
              <w:pStyle w:val="2"/>
              <w:jc w:val="center"/>
              <w:rPr>
                <w:b/>
                <w:color w:val="auto"/>
                <w:sz w:val="24"/>
                <w:szCs w:val="24"/>
                <w:highlight w:val="none"/>
              </w:rPr>
            </w:pPr>
          </w:p>
          <w:p>
            <w:pPr>
              <w:pStyle w:val="2"/>
              <w:jc w:val="center"/>
              <w:rPr>
                <w:b/>
                <w:color w:val="auto"/>
                <w:sz w:val="24"/>
                <w:szCs w:val="24"/>
                <w:highlight w:val="none"/>
              </w:rPr>
            </w:pPr>
            <w:r>
              <w:rPr>
                <w:b/>
                <w:color w:val="auto"/>
                <w:sz w:val="24"/>
                <w:szCs w:val="24"/>
                <w:highlight w:val="none"/>
              </w:rPr>
              <w:t>图4-1  废气收集治理工艺流程图</w:t>
            </w:r>
          </w:p>
          <w:p>
            <w:pPr>
              <w:widowControl/>
              <w:spacing w:line="360" w:lineRule="auto"/>
              <w:ind w:firstLine="482" w:firstLineChars="200"/>
              <w:rPr>
                <w:b/>
                <w:color w:val="auto"/>
                <w:kern w:val="0"/>
                <w:sz w:val="24"/>
                <w:highlight w:val="none"/>
              </w:rPr>
            </w:pPr>
            <w:r>
              <w:rPr>
                <w:b/>
                <w:color w:val="auto"/>
                <w:kern w:val="0"/>
                <w:sz w:val="24"/>
                <w:highlight w:val="none"/>
              </w:rPr>
              <w:t>a、废气收集</w:t>
            </w:r>
          </w:p>
          <w:p>
            <w:pPr>
              <w:adjustRightInd w:val="0"/>
              <w:snapToGrid w:val="0"/>
              <w:spacing w:line="360" w:lineRule="auto"/>
              <w:ind w:firstLine="480" w:firstLineChars="200"/>
              <w:rPr>
                <w:color w:val="auto"/>
                <w:sz w:val="24"/>
                <w:highlight w:val="none"/>
              </w:rPr>
            </w:pPr>
            <w:r>
              <w:rPr>
                <w:rFonts w:hint="eastAsia"/>
                <w:color w:val="auto"/>
                <w:sz w:val="24"/>
                <w:highlight w:val="none"/>
              </w:rPr>
              <w:t>清洗工艺设置两个清洗槽设置顶吸集气罩，槽边风速0.3m/s；一个超声波清洗机设置顶吸集气罩，槽边风速0.3m/s；一个光窗清洗机设置顶吸集气罩，槽边风速0.3m/s；一个等离子清洗机从设备腔体内部吸出废气，取件开门时有废气排出，取件门设置顶吸罩，取件门风速0.3m/s，废气收集率90%。</w:t>
            </w:r>
          </w:p>
          <w:p>
            <w:pPr>
              <w:widowControl/>
              <w:spacing w:line="360" w:lineRule="auto"/>
              <w:ind w:firstLine="482" w:firstLineChars="200"/>
              <w:rPr>
                <w:rFonts w:ascii="宋体" w:hAnsi="宋体"/>
                <w:b/>
                <w:color w:val="auto"/>
                <w:sz w:val="24"/>
                <w:highlight w:val="none"/>
              </w:rPr>
            </w:pPr>
            <w:r>
              <w:rPr>
                <w:rFonts w:hint="eastAsia" w:ascii="宋体" w:hAnsi="宋体"/>
                <w:b/>
                <w:color w:val="auto"/>
                <w:sz w:val="24"/>
                <w:highlight w:val="none"/>
              </w:rPr>
              <w:t>b、洗涤塔</w:t>
            </w:r>
          </w:p>
          <w:p>
            <w:pPr>
              <w:widowControl/>
              <w:spacing w:line="360" w:lineRule="auto"/>
              <w:ind w:firstLine="480" w:firstLineChars="200"/>
              <w:rPr>
                <w:rFonts w:ascii="宋体" w:hAnsi="宋体"/>
                <w:color w:val="auto"/>
                <w:sz w:val="24"/>
                <w:highlight w:val="none"/>
              </w:rPr>
            </w:pPr>
            <w:r>
              <w:rPr>
                <w:rFonts w:hint="eastAsia" w:ascii="宋体" w:hAnsi="宋体"/>
                <w:color w:val="auto"/>
                <w:sz w:val="24"/>
                <w:highlight w:val="none"/>
              </w:rPr>
              <w:t>氯化氢</w:t>
            </w:r>
            <w:r>
              <w:rPr>
                <w:rFonts w:ascii="宋体" w:hAnsi="宋体"/>
                <w:color w:val="auto"/>
                <w:sz w:val="24"/>
                <w:highlight w:val="none"/>
              </w:rPr>
              <w:t>经收集系统导入废气洗涤塔后，流经填充层时，洗涤液自喷嘴均匀喷洒于填充材之表面以保持湿润；同时废气与洗涤液在充分润湿之填充层相互接触，藉由物理与化学吸收作用将废气中之污染物吸收于洗涤液中，达成去除污染物质之目的</w:t>
            </w:r>
            <w:r>
              <w:rPr>
                <w:rFonts w:hint="eastAsia" w:ascii="宋体" w:hAnsi="宋体"/>
                <w:color w:val="auto"/>
                <w:sz w:val="24"/>
                <w:highlight w:val="none"/>
              </w:rPr>
              <w:t>，去除效率75%以上。</w:t>
            </w:r>
          </w:p>
          <w:p>
            <w:pPr>
              <w:widowControl/>
              <w:spacing w:line="360" w:lineRule="auto"/>
              <w:ind w:firstLine="482" w:firstLineChars="200"/>
              <w:rPr>
                <w:rFonts w:ascii="宋体" w:hAnsi="宋体"/>
                <w:b/>
                <w:color w:val="auto"/>
                <w:sz w:val="24"/>
                <w:highlight w:val="none"/>
              </w:rPr>
            </w:pPr>
            <w:r>
              <w:rPr>
                <w:rFonts w:hint="eastAsia" w:ascii="宋体" w:hAnsi="宋体"/>
                <w:b/>
                <w:color w:val="auto"/>
                <w:sz w:val="24"/>
                <w:highlight w:val="none"/>
              </w:rPr>
              <w:t>c、除雾器</w:t>
            </w:r>
          </w:p>
          <w:p>
            <w:pPr>
              <w:widowControl/>
              <w:spacing w:line="360" w:lineRule="auto"/>
              <w:ind w:firstLine="480" w:firstLineChars="200"/>
              <w:rPr>
                <w:rFonts w:ascii="宋体" w:hAnsi="宋体"/>
                <w:color w:val="auto"/>
                <w:sz w:val="24"/>
                <w:highlight w:val="none"/>
              </w:rPr>
            </w:pPr>
            <w:r>
              <w:rPr>
                <w:rFonts w:ascii="宋体" w:hAnsi="宋体"/>
                <w:color w:val="auto"/>
                <w:sz w:val="24"/>
                <w:highlight w:val="none"/>
              </w:rPr>
              <w:t>饱含水份气体经过两层除雾器</w:t>
            </w:r>
            <w:r>
              <w:rPr>
                <w:rFonts w:hint="eastAsia" w:ascii="宋体" w:hAnsi="宋体"/>
                <w:color w:val="auto"/>
                <w:sz w:val="24"/>
                <w:highlight w:val="none"/>
              </w:rPr>
              <w:t>，其中一层为</w:t>
            </w:r>
            <w:r>
              <w:rPr>
                <w:rFonts w:ascii="宋体" w:hAnsi="宋体"/>
                <w:color w:val="auto"/>
                <w:sz w:val="24"/>
                <w:highlight w:val="none"/>
              </w:rPr>
              <w:t>塔身上部自带除水层</w:t>
            </w:r>
            <w:r>
              <w:rPr>
                <w:rFonts w:hint="eastAsia"/>
                <w:color w:val="auto"/>
                <w:sz w:val="24"/>
                <w:highlight w:val="none"/>
              </w:rPr>
              <w:t>，</w:t>
            </w:r>
            <w:r>
              <w:rPr>
                <w:rFonts w:ascii="宋体" w:hAnsi="宋体"/>
                <w:color w:val="auto"/>
                <w:sz w:val="24"/>
                <w:highlight w:val="none"/>
              </w:rPr>
              <w:t>特拉瑞德环</w:t>
            </w:r>
            <w:r>
              <w:rPr>
                <w:color w:val="auto"/>
                <w:sz w:val="24"/>
                <w:highlight w:val="none"/>
              </w:rPr>
              <w:t>PPR-1,</w:t>
            </w:r>
            <w:r>
              <w:rPr>
                <w:rFonts w:ascii="宋体" w:hAnsi="宋体"/>
                <w:color w:val="auto"/>
                <w:sz w:val="24"/>
                <w:highlight w:val="none"/>
              </w:rPr>
              <w:t>厚度</w:t>
            </w:r>
            <w:r>
              <w:rPr>
                <w:color w:val="auto"/>
                <w:sz w:val="24"/>
                <w:highlight w:val="none"/>
              </w:rPr>
              <w:t>300mm</w:t>
            </w:r>
            <w:r>
              <w:rPr>
                <w:rFonts w:ascii="宋体" w:hAnsi="宋体"/>
                <w:color w:val="auto"/>
                <w:sz w:val="24"/>
                <w:highlight w:val="none"/>
              </w:rPr>
              <w:t>，洗涤塔出口再增加一套丝网除水系统，除水层为丝网除雾，厚度</w:t>
            </w:r>
            <w:r>
              <w:rPr>
                <w:color w:val="auto"/>
                <w:sz w:val="24"/>
                <w:highlight w:val="none"/>
              </w:rPr>
              <w:t>200mm</w:t>
            </w:r>
            <w:r>
              <w:rPr>
                <w:rFonts w:ascii="宋体" w:hAnsi="宋体"/>
                <w:color w:val="auto"/>
                <w:sz w:val="24"/>
                <w:highlight w:val="none"/>
              </w:rPr>
              <w:t>以移除多余之水份</w:t>
            </w:r>
            <w:r>
              <w:rPr>
                <w:rFonts w:hint="eastAsia" w:ascii="宋体" w:hAnsi="宋体"/>
                <w:color w:val="auto"/>
                <w:sz w:val="24"/>
                <w:highlight w:val="none"/>
              </w:rPr>
              <w:t>。</w:t>
            </w:r>
            <w:r>
              <w:rPr>
                <w:rFonts w:ascii="宋体" w:hAnsi="宋体"/>
                <w:color w:val="auto"/>
                <w:sz w:val="24"/>
                <w:highlight w:val="none"/>
              </w:rPr>
              <w:t>经过洗涤塔洗净并移除水份后的洁净气体进入下一道流程（活性炭吸附系统），而所移除之水份同时被导回循环洗涤液系统重新回收使用</w:t>
            </w:r>
            <w:r>
              <w:rPr>
                <w:rFonts w:hint="eastAsia" w:ascii="宋体" w:hAnsi="宋体"/>
                <w:color w:val="auto"/>
                <w:sz w:val="24"/>
                <w:highlight w:val="none"/>
              </w:rPr>
              <w:t>，定期排放废水30t/a</w:t>
            </w:r>
            <w:r>
              <w:rPr>
                <w:rFonts w:ascii="宋体" w:hAnsi="宋体"/>
                <w:color w:val="auto"/>
                <w:sz w:val="24"/>
                <w:highlight w:val="none"/>
              </w:rPr>
              <w:t>。循环水使用</w:t>
            </w:r>
            <w:r>
              <w:rPr>
                <w:color w:val="auto"/>
                <w:sz w:val="24"/>
                <w:highlight w:val="none"/>
              </w:rPr>
              <w:t>PH</w:t>
            </w:r>
            <w:r>
              <w:rPr>
                <w:rFonts w:ascii="宋体" w:hAnsi="宋体"/>
                <w:color w:val="auto"/>
                <w:sz w:val="24"/>
                <w:highlight w:val="none"/>
              </w:rPr>
              <w:t>在线监测，通过设计高低加药点来控制加药机启停，保证循环水</w:t>
            </w:r>
            <w:r>
              <w:rPr>
                <w:color w:val="auto"/>
                <w:sz w:val="24"/>
                <w:highlight w:val="none"/>
              </w:rPr>
              <w:t>PH</w:t>
            </w:r>
            <w:r>
              <w:rPr>
                <w:rFonts w:ascii="宋体" w:hAnsi="宋体"/>
                <w:color w:val="auto"/>
                <w:sz w:val="24"/>
                <w:highlight w:val="none"/>
              </w:rPr>
              <w:t>为系统要求之范围内，从而确保处理效率。</w:t>
            </w:r>
          </w:p>
          <w:p>
            <w:pPr>
              <w:adjustRightInd w:val="0"/>
              <w:snapToGrid w:val="0"/>
              <w:spacing w:line="360" w:lineRule="auto"/>
              <w:ind w:firstLine="482" w:firstLineChars="200"/>
              <w:rPr>
                <w:b/>
                <w:color w:val="auto"/>
                <w:kern w:val="0"/>
                <w:sz w:val="24"/>
                <w:highlight w:val="none"/>
              </w:rPr>
            </w:pPr>
            <w:r>
              <w:rPr>
                <w:rFonts w:hint="eastAsia"/>
                <w:b/>
                <w:color w:val="auto"/>
                <w:kern w:val="0"/>
                <w:sz w:val="24"/>
                <w:highlight w:val="none"/>
              </w:rPr>
              <w:t>d、活性炭吸附</w:t>
            </w:r>
          </w:p>
          <w:p>
            <w:pPr>
              <w:adjustRightInd w:val="0"/>
              <w:snapToGrid w:val="0"/>
              <w:spacing w:line="360" w:lineRule="auto"/>
              <w:ind w:firstLine="480" w:firstLineChars="200"/>
              <w:rPr>
                <w:color w:val="auto"/>
                <w:kern w:val="0"/>
                <w:sz w:val="24"/>
                <w:highlight w:val="none"/>
              </w:rPr>
            </w:pPr>
            <w:r>
              <w:rPr>
                <w:color w:val="auto"/>
                <w:kern w:val="0"/>
                <w:sz w:val="24"/>
                <w:highlight w:val="none"/>
              </w:rPr>
              <w:t>废气进入活性炭吸附床内装活性炭层及气流分布器，以浓缩净化有机气体，活性炭选用优质活性炭，活性炭砖砌式装填。其主要特点为：具有强度高、比表面积较大、吸附容量高、吸附速度快、孔隙结构发达、废气进入箱体由装填在两侧活性炭吸附净化，以将低吸附箱吸附流速提高净化效率，活性炭吸附系统对非甲烷总烃去除率达75%</w:t>
            </w:r>
            <w:r>
              <w:rPr>
                <w:rFonts w:hint="eastAsia"/>
                <w:color w:val="auto"/>
                <w:kern w:val="0"/>
                <w:sz w:val="24"/>
                <w:highlight w:val="none"/>
              </w:rPr>
              <w:t>，处理后的废气经15m高排气筒P2排放，风量8000m</w:t>
            </w:r>
            <w:r>
              <w:rPr>
                <w:rFonts w:hint="eastAsia"/>
                <w:color w:val="auto"/>
                <w:kern w:val="0"/>
                <w:sz w:val="24"/>
                <w:highlight w:val="none"/>
                <w:vertAlign w:val="superscript"/>
              </w:rPr>
              <w:t>3</w:t>
            </w:r>
            <w:r>
              <w:rPr>
                <w:rFonts w:hint="eastAsia"/>
                <w:color w:val="auto"/>
                <w:kern w:val="0"/>
                <w:sz w:val="24"/>
                <w:highlight w:val="none"/>
              </w:rPr>
              <w:t>/h，内径0.5m。</w:t>
            </w:r>
          </w:p>
          <w:p>
            <w:pPr>
              <w:autoSpaceDE w:val="0"/>
              <w:autoSpaceDN w:val="0"/>
              <w:spacing w:line="360" w:lineRule="auto"/>
              <w:ind w:firstLine="480" w:firstLineChars="200"/>
              <w:rPr>
                <w:color w:val="auto"/>
                <w:kern w:val="0"/>
                <w:sz w:val="24"/>
                <w:highlight w:val="none"/>
              </w:rPr>
            </w:pPr>
            <w:r>
              <w:rPr>
                <w:color w:val="auto"/>
                <w:kern w:val="0"/>
                <w:sz w:val="24"/>
                <w:highlight w:val="none"/>
              </w:rPr>
              <w:t>活性炭吸附是一种常用的吸附方法，吸附法主要利用高孔隙率、高比表面积的吸附剂，藉由物理性吸附(可逆反应)或化学性键结(不可逆反应)作用，将有机气体分子自废气中分离，以达成净化废气的目的。由于一般多采用物理性吸附，随操作时间之增加，吸附剂将逐渐趋于饱和现象，此时则须进行脱附再生或吸附剂更换工作。在有机废气处理过程中，活性炭常被用来吸附烷烃、烯烃、芳香烃、酮、醛、氯代烃、酯以及挥发性有机化合物。</w:t>
            </w:r>
          </w:p>
          <w:p>
            <w:pPr>
              <w:autoSpaceDE w:val="0"/>
              <w:autoSpaceDN w:val="0"/>
              <w:spacing w:line="360" w:lineRule="auto"/>
              <w:ind w:firstLine="480" w:firstLineChars="200"/>
              <w:rPr>
                <w:color w:val="auto"/>
                <w:kern w:val="0"/>
                <w:sz w:val="24"/>
                <w:highlight w:val="none"/>
              </w:rPr>
            </w:pPr>
            <w:r>
              <w:rPr>
                <w:color w:val="auto"/>
                <w:kern w:val="0"/>
                <w:sz w:val="24"/>
                <w:highlight w:val="none"/>
              </w:rPr>
              <w:t>活性炭吸附结构见下图。</w:t>
            </w:r>
          </w:p>
          <w:p>
            <w:pPr>
              <w:autoSpaceDE w:val="0"/>
              <w:autoSpaceDN w:val="0"/>
              <w:spacing w:line="360" w:lineRule="auto"/>
              <w:jc w:val="center"/>
              <w:rPr>
                <w:color w:val="auto"/>
                <w:kern w:val="0"/>
                <w:sz w:val="24"/>
                <w:highlight w:val="none"/>
              </w:rPr>
            </w:pPr>
            <w:r>
              <w:rPr>
                <w:rFonts w:eastAsia="仿宋"/>
                <w:color w:val="auto"/>
                <w:szCs w:val="22"/>
                <w:highlight w:val="none"/>
              </w:rPr>
              <w:drawing>
                <wp:inline distT="0" distB="0" distL="0" distR="0">
                  <wp:extent cx="4186555" cy="1936115"/>
                  <wp:effectExtent l="19050" t="0" r="4445" b="0"/>
                  <wp:docPr id="6" name="图片 33" descr="6353497125248815424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3" descr="635349712524881542471"/>
                          <pic:cNvPicPr>
                            <a:picLocks noChangeAspect="1" noChangeArrowheads="1"/>
                          </pic:cNvPicPr>
                        </pic:nvPicPr>
                        <pic:blipFill>
                          <a:blip r:embed="rId14"/>
                          <a:srcRect/>
                          <a:stretch>
                            <a:fillRect/>
                          </a:stretch>
                        </pic:blipFill>
                        <pic:spPr>
                          <a:xfrm>
                            <a:off x="0" y="0"/>
                            <a:ext cx="4186555" cy="1936115"/>
                          </a:xfrm>
                          <a:prstGeom prst="rect">
                            <a:avLst/>
                          </a:prstGeom>
                          <a:noFill/>
                          <a:ln w="9525">
                            <a:noFill/>
                            <a:miter lim="800000"/>
                            <a:headEnd/>
                            <a:tailEnd/>
                          </a:ln>
                        </pic:spPr>
                      </pic:pic>
                    </a:graphicData>
                  </a:graphic>
                </wp:inline>
              </w:drawing>
            </w:r>
          </w:p>
          <w:p>
            <w:pPr>
              <w:autoSpaceDE w:val="0"/>
              <w:autoSpaceDN w:val="0"/>
              <w:spacing w:line="360" w:lineRule="auto"/>
              <w:jc w:val="center"/>
              <w:rPr>
                <w:b/>
                <w:bCs/>
                <w:color w:val="auto"/>
                <w:kern w:val="0"/>
                <w:sz w:val="24"/>
                <w:highlight w:val="none"/>
              </w:rPr>
            </w:pPr>
            <w:r>
              <w:rPr>
                <w:b/>
                <w:bCs/>
                <w:color w:val="auto"/>
                <w:kern w:val="0"/>
                <w:sz w:val="24"/>
                <w:highlight w:val="none"/>
              </w:rPr>
              <w:t>图4-2  活性炭吸附结构图</w:t>
            </w:r>
          </w:p>
          <w:p>
            <w:pPr>
              <w:autoSpaceDE w:val="0"/>
              <w:autoSpaceDN w:val="0"/>
              <w:spacing w:line="360" w:lineRule="auto"/>
              <w:ind w:firstLine="480" w:firstLineChars="200"/>
              <w:rPr>
                <w:color w:val="auto"/>
                <w:kern w:val="0"/>
                <w:sz w:val="24"/>
                <w:highlight w:val="none"/>
              </w:rPr>
            </w:pPr>
            <w:r>
              <w:rPr>
                <w:color w:val="auto"/>
                <w:kern w:val="0"/>
                <w:sz w:val="24"/>
                <w:highlight w:val="none"/>
              </w:rPr>
              <w:t>活性炭吸附装置参数如下</w:t>
            </w:r>
            <w:r>
              <w:rPr>
                <w:rFonts w:hint="eastAsia"/>
                <w:color w:val="auto"/>
                <w:kern w:val="0"/>
                <w:sz w:val="24"/>
                <w:highlight w:val="none"/>
              </w:rPr>
              <w:t>表</w:t>
            </w:r>
            <w:r>
              <w:rPr>
                <w:color w:val="auto"/>
                <w:kern w:val="0"/>
                <w:sz w:val="24"/>
                <w:highlight w:val="none"/>
              </w:rPr>
              <w:t>。</w:t>
            </w:r>
          </w:p>
          <w:p>
            <w:pPr>
              <w:adjustRightInd w:val="0"/>
              <w:snapToGrid w:val="0"/>
              <w:spacing w:line="360" w:lineRule="auto"/>
              <w:jc w:val="center"/>
              <w:rPr>
                <w:b/>
                <w:color w:val="auto"/>
                <w:kern w:val="0"/>
                <w:sz w:val="24"/>
                <w:highlight w:val="none"/>
              </w:rPr>
            </w:pPr>
            <w:r>
              <w:rPr>
                <w:b/>
                <w:color w:val="auto"/>
                <w:kern w:val="0"/>
                <w:sz w:val="24"/>
                <w:highlight w:val="none"/>
              </w:rPr>
              <w:t>表4-</w:t>
            </w:r>
            <w:r>
              <w:rPr>
                <w:rFonts w:hint="eastAsia"/>
                <w:b/>
                <w:color w:val="auto"/>
                <w:kern w:val="0"/>
                <w:sz w:val="24"/>
                <w:highlight w:val="none"/>
              </w:rPr>
              <w:t>9</w:t>
            </w:r>
            <w:r>
              <w:rPr>
                <w:b/>
                <w:color w:val="auto"/>
                <w:kern w:val="0"/>
                <w:sz w:val="24"/>
                <w:highlight w:val="none"/>
              </w:rPr>
              <w:t xml:space="preserve">  活性炭吸附装置参数</w:t>
            </w:r>
            <w:r>
              <w:rPr>
                <w:rFonts w:hint="eastAsia"/>
                <w:b/>
                <w:color w:val="auto"/>
                <w:kern w:val="0"/>
                <w:sz w:val="24"/>
                <w:highlight w:val="none"/>
              </w:rPr>
              <w:t>表</w:t>
            </w:r>
          </w:p>
          <w:tbl>
            <w:tblPr>
              <w:tblStyle w:val="34"/>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0" w:type="dxa"/>
                <w:bottom w:w="0" w:type="dxa"/>
                <w:right w:w="0" w:type="dxa"/>
              </w:tblCellMar>
            </w:tblPr>
            <w:tblGrid>
              <w:gridCol w:w="1272"/>
              <w:gridCol w:w="997"/>
              <w:gridCol w:w="867"/>
              <w:gridCol w:w="867"/>
              <w:gridCol w:w="865"/>
              <w:gridCol w:w="813"/>
              <w:gridCol w:w="681"/>
              <w:gridCol w:w="738"/>
              <w:gridCol w:w="782"/>
              <w:gridCol w:w="80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jc w:val="center"/>
              </w:trPr>
              <w:tc>
                <w:tcPr>
                  <w:tcW w:w="733" w:type="pct"/>
                  <w:shd w:val="clear" w:color="auto" w:fill="auto"/>
                  <w:vAlign w:val="center"/>
                </w:tcPr>
                <w:p>
                  <w:pPr>
                    <w:widowControl/>
                    <w:jc w:val="center"/>
                    <w:rPr>
                      <w:bCs/>
                      <w:color w:val="auto"/>
                      <w:kern w:val="0"/>
                      <w:szCs w:val="21"/>
                      <w:highlight w:val="none"/>
                    </w:rPr>
                  </w:pPr>
                  <w:r>
                    <w:rPr>
                      <w:bCs/>
                      <w:color w:val="auto"/>
                      <w:kern w:val="0"/>
                      <w:szCs w:val="21"/>
                      <w:highlight w:val="none"/>
                    </w:rPr>
                    <w:t>活性炭装置</w:t>
                  </w:r>
                </w:p>
              </w:tc>
              <w:tc>
                <w:tcPr>
                  <w:tcW w:w="574" w:type="pct"/>
                  <w:shd w:val="clear" w:color="auto" w:fill="auto"/>
                  <w:vAlign w:val="center"/>
                </w:tcPr>
                <w:p>
                  <w:pPr>
                    <w:adjustRightInd w:val="0"/>
                    <w:snapToGrid w:val="0"/>
                    <w:jc w:val="center"/>
                    <w:rPr>
                      <w:bCs/>
                      <w:color w:val="auto"/>
                      <w:kern w:val="0"/>
                      <w:szCs w:val="21"/>
                      <w:highlight w:val="none"/>
                    </w:rPr>
                  </w:pPr>
                  <w:r>
                    <w:rPr>
                      <w:bCs/>
                      <w:color w:val="auto"/>
                      <w:kern w:val="0"/>
                      <w:szCs w:val="21"/>
                      <w:highlight w:val="none"/>
                    </w:rPr>
                    <w:t>活性炭装置风量m</w:t>
                  </w:r>
                  <w:r>
                    <w:rPr>
                      <w:bCs/>
                      <w:color w:val="auto"/>
                      <w:kern w:val="0"/>
                      <w:szCs w:val="21"/>
                      <w:highlight w:val="none"/>
                      <w:vertAlign w:val="superscript"/>
                    </w:rPr>
                    <w:t>3</w:t>
                  </w:r>
                  <w:r>
                    <w:rPr>
                      <w:bCs/>
                      <w:color w:val="auto"/>
                      <w:kern w:val="0"/>
                      <w:szCs w:val="21"/>
                      <w:highlight w:val="none"/>
                    </w:rPr>
                    <w:t>/h</w:t>
                  </w:r>
                </w:p>
              </w:tc>
              <w:tc>
                <w:tcPr>
                  <w:tcW w:w="499" w:type="pct"/>
                  <w:shd w:val="clear" w:color="auto" w:fill="auto"/>
                  <w:vAlign w:val="center"/>
                </w:tcPr>
                <w:p>
                  <w:pPr>
                    <w:adjustRightInd w:val="0"/>
                    <w:snapToGrid w:val="0"/>
                    <w:jc w:val="center"/>
                    <w:rPr>
                      <w:bCs/>
                      <w:color w:val="auto"/>
                      <w:kern w:val="0"/>
                      <w:szCs w:val="21"/>
                      <w:highlight w:val="none"/>
                    </w:rPr>
                  </w:pPr>
                  <w:r>
                    <w:rPr>
                      <w:rFonts w:hint="eastAsia"/>
                      <w:bCs/>
                      <w:color w:val="auto"/>
                      <w:kern w:val="0"/>
                      <w:szCs w:val="21"/>
                      <w:highlight w:val="none"/>
                    </w:rPr>
                    <w:t>比表</w:t>
                  </w:r>
                </w:p>
                <w:p>
                  <w:pPr>
                    <w:adjustRightInd w:val="0"/>
                    <w:snapToGrid w:val="0"/>
                    <w:jc w:val="center"/>
                    <w:rPr>
                      <w:color w:val="auto"/>
                      <w:kern w:val="0"/>
                      <w:sz w:val="24"/>
                      <w:highlight w:val="none"/>
                    </w:rPr>
                  </w:pPr>
                  <w:r>
                    <w:rPr>
                      <w:rFonts w:hint="eastAsia"/>
                      <w:bCs/>
                      <w:color w:val="auto"/>
                      <w:kern w:val="0"/>
                      <w:szCs w:val="21"/>
                      <w:highlight w:val="none"/>
                    </w:rPr>
                    <w:t>面积</w:t>
                  </w:r>
                </w:p>
                <w:p>
                  <w:pPr>
                    <w:adjustRightInd w:val="0"/>
                    <w:snapToGrid w:val="0"/>
                    <w:jc w:val="center"/>
                    <w:rPr>
                      <w:bCs/>
                      <w:color w:val="auto"/>
                      <w:kern w:val="0"/>
                      <w:szCs w:val="21"/>
                      <w:highlight w:val="none"/>
                    </w:rPr>
                  </w:pPr>
                  <w:r>
                    <w:rPr>
                      <w:rFonts w:hint="eastAsia"/>
                      <w:color w:val="auto"/>
                      <w:kern w:val="0"/>
                      <w:sz w:val="24"/>
                      <w:highlight w:val="none"/>
                    </w:rPr>
                    <w:t>m</w:t>
                  </w:r>
                  <w:r>
                    <w:rPr>
                      <w:rFonts w:hint="eastAsia"/>
                      <w:color w:val="auto"/>
                      <w:kern w:val="0"/>
                      <w:sz w:val="24"/>
                      <w:highlight w:val="none"/>
                      <w:vertAlign w:val="superscript"/>
                    </w:rPr>
                    <w:t>2</w:t>
                  </w:r>
                  <w:r>
                    <w:rPr>
                      <w:rFonts w:hint="eastAsia"/>
                      <w:color w:val="auto"/>
                      <w:kern w:val="0"/>
                      <w:sz w:val="24"/>
                      <w:highlight w:val="none"/>
                    </w:rPr>
                    <w:t>/g</w:t>
                  </w:r>
                </w:p>
              </w:tc>
              <w:tc>
                <w:tcPr>
                  <w:tcW w:w="499" w:type="pct"/>
                  <w:shd w:val="clear" w:color="auto" w:fill="auto"/>
                </w:tcPr>
                <w:p>
                  <w:pPr>
                    <w:adjustRightInd w:val="0"/>
                    <w:snapToGrid w:val="0"/>
                    <w:jc w:val="center"/>
                    <w:rPr>
                      <w:bCs/>
                      <w:color w:val="auto"/>
                      <w:kern w:val="0"/>
                      <w:szCs w:val="21"/>
                      <w:highlight w:val="none"/>
                    </w:rPr>
                  </w:pPr>
                  <w:r>
                    <w:rPr>
                      <w:bCs/>
                      <w:color w:val="auto"/>
                      <w:kern w:val="0"/>
                      <w:szCs w:val="21"/>
                      <w:highlight w:val="none"/>
                    </w:rPr>
                    <w:t>活性炭</w:t>
                  </w:r>
                </w:p>
                <w:p>
                  <w:pPr>
                    <w:adjustRightInd w:val="0"/>
                    <w:snapToGrid w:val="0"/>
                    <w:jc w:val="center"/>
                    <w:rPr>
                      <w:bCs/>
                      <w:color w:val="auto"/>
                      <w:kern w:val="0"/>
                      <w:szCs w:val="21"/>
                      <w:highlight w:val="none"/>
                    </w:rPr>
                  </w:pPr>
                  <w:r>
                    <w:rPr>
                      <w:bCs/>
                      <w:color w:val="auto"/>
                      <w:kern w:val="0"/>
                      <w:szCs w:val="21"/>
                      <w:highlight w:val="none"/>
                    </w:rPr>
                    <w:t>碘值</w:t>
                  </w:r>
                </w:p>
                <w:p>
                  <w:pPr>
                    <w:jc w:val="center"/>
                    <w:rPr>
                      <w:color w:val="auto"/>
                      <w:szCs w:val="21"/>
                      <w:highlight w:val="none"/>
                    </w:rPr>
                  </w:pPr>
                  <w:r>
                    <w:rPr>
                      <w:color w:val="auto"/>
                      <w:szCs w:val="21"/>
                      <w:highlight w:val="none"/>
                    </w:rPr>
                    <w:t>mg/g</w:t>
                  </w:r>
                </w:p>
              </w:tc>
              <w:tc>
                <w:tcPr>
                  <w:tcW w:w="498" w:type="pct"/>
                  <w:shd w:val="clear" w:color="auto" w:fill="auto"/>
                  <w:vAlign w:val="center"/>
                </w:tcPr>
                <w:p>
                  <w:pPr>
                    <w:adjustRightInd w:val="0"/>
                    <w:snapToGrid w:val="0"/>
                    <w:jc w:val="center"/>
                    <w:rPr>
                      <w:bCs/>
                      <w:color w:val="auto"/>
                      <w:kern w:val="0"/>
                      <w:szCs w:val="21"/>
                      <w:highlight w:val="none"/>
                    </w:rPr>
                  </w:pPr>
                  <w:r>
                    <w:rPr>
                      <w:bCs/>
                      <w:color w:val="auto"/>
                      <w:kern w:val="0"/>
                      <w:szCs w:val="21"/>
                      <w:highlight w:val="none"/>
                    </w:rPr>
                    <w:t>活性炭装填量t</w:t>
                  </w:r>
                </w:p>
              </w:tc>
              <w:tc>
                <w:tcPr>
                  <w:tcW w:w="468" w:type="pct"/>
                  <w:shd w:val="clear" w:color="auto" w:fill="auto"/>
                  <w:vAlign w:val="center"/>
                </w:tcPr>
                <w:p>
                  <w:pPr>
                    <w:adjustRightInd w:val="0"/>
                    <w:snapToGrid w:val="0"/>
                    <w:jc w:val="center"/>
                    <w:rPr>
                      <w:bCs/>
                      <w:color w:val="auto"/>
                      <w:kern w:val="0"/>
                      <w:szCs w:val="21"/>
                      <w:highlight w:val="none"/>
                    </w:rPr>
                  </w:pPr>
                  <w:r>
                    <w:rPr>
                      <w:bCs/>
                      <w:color w:val="auto"/>
                      <w:kern w:val="0"/>
                      <w:szCs w:val="21"/>
                      <w:highlight w:val="none"/>
                    </w:rPr>
                    <w:t>碳层</w:t>
                  </w:r>
                </w:p>
                <w:p>
                  <w:pPr>
                    <w:adjustRightInd w:val="0"/>
                    <w:snapToGrid w:val="0"/>
                    <w:jc w:val="center"/>
                    <w:rPr>
                      <w:bCs/>
                      <w:color w:val="auto"/>
                      <w:kern w:val="0"/>
                      <w:szCs w:val="21"/>
                      <w:highlight w:val="none"/>
                    </w:rPr>
                  </w:pPr>
                  <w:r>
                    <w:rPr>
                      <w:bCs/>
                      <w:color w:val="auto"/>
                      <w:kern w:val="0"/>
                      <w:szCs w:val="21"/>
                      <w:highlight w:val="none"/>
                    </w:rPr>
                    <w:t>厚度</w:t>
                  </w:r>
                </w:p>
                <w:p>
                  <w:pPr>
                    <w:adjustRightInd w:val="0"/>
                    <w:snapToGrid w:val="0"/>
                    <w:jc w:val="center"/>
                    <w:rPr>
                      <w:bCs/>
                      <w:color w:val="auto"/>
                      <w:kern w:val="0"/>
                      <w:szCs w:val="21"/>
                      <w:highlight w:val="none"/>
                    </w:rPr>
                  </w:pPr>
                  <w:r>
                    <w:rPr>
                      <w:bCs/>
                      <w:color w:val="auto"/>
                      <w:kern w:val="0"/>
                      <w:szCs w:val="21"/>
                      <w:highlight w:val="none"/>
                    </w:rPr>
                    <w:t>mm</w:t>
                  </w:r>
                </w:p>
              </w:tc>
              <w:tc>
                <w:tcPr>
                  <w:tcW w:w="392" w:type="pct"/>
                  <w:shd w:val="clear" w:color="auto" w:fill="auto"/>
                  <w:vAlign w:val="center"/>
                </w:tcPr>
                <w:p>
                  <w:pPr>
                    <w:adjustRightInd w:val="0"/>
                    <w:snapToGrid w:val="0"/>
                    <w:jc w:val="center"/>
                    <w:rPr>
                      <w:bCs/>
                      <w:color w:val="auto"/>
                      <w:kern w:val="0"/>
                      <w:szCs w:val="21"/>
                      <w:highlight w:val="none"/>
                    </w:rPr>
                  </w:pPr>
                  <w:r>
                    <w:rPr>
                      <w:bCs/>
                      <w:color w:val="auto"/>
                      <w:kern w:val="0"/>
                      <w:szCs w:val="21"/>
                      <w:highlight w:val="none"/>
                    </w:rPr>
                    <w:t>过流截面积m</w:t>
                  </w:r>
                  <w:r>
                    <w:rPr>
                      <w:bCs/>
                      <w:color w:val="auto"/>
                      <w:kern w:val="0"/>
                      <w:szCs w:val="21"/>
                      <w:highlight w:val="none"/>
                      <w:vertAlign w:val="superscript"/>
                    </w:rPr>
                    <w:t>2</w:t>
                  </w:r>
                </w:p>
              </w:tc>
              <w:tc>
                <w:tcPr>
                  <w:tcW w:w="425" w:type="pct"/>
                  <w:shd w:val="clear" w:color="auto" w:fill="auto"/>
                  <w:vAlign w:val="center"/>
                </w:tcPr>
                <w:p>
                  <w:pPr>
                    <w:adjustRightInd w:val="0"/>
                    <w:snapToGrid w:val="0"/>
                    <w:jc w:val="center"/>
                    <w:rPr>
                      <w:bCs/>
                      <w:color w:val="auto"/>
                      <w:kern w:val="0"/>
                      <w:szCs w:val="21"/>
                      <w:highlight w:val="none"/>
                    </w:rPr>
                  </w:pPr>
                  <w:r>
                    <w:rPr>
                      <w:bCs/>
                      <w:color w:val="auto"/>
                      <w:kern w:val="0"/>
                      <w:szCs w:val="21"/>
                      <w:highlight w:val="none"/>
                    </w:rPr>
                    <w:t>过滤</w:t>
                  </w:r>
                </w:p>
                <w:p>
                  <w:pPr>
                    <w:adjustRightInd w:val="0"/>
                    <w:snapToGrid w:val="0"/>
                    <w:jc w:val="center"/>
                    <w:rPr>
                      <w:bCs/>
                      <w:color w:val="auto"/>
                      <w:kern w:val="0"/>
                      <w:szCs w:val="21"/>
                      <w:highlight w:val="none"/>
                    </w:rPr>
                  </w:pPr>
                  <w:r>
                    <w:rPr>
                      <w:bCs/>
                      <w:color w:val="auto"/>
                      <w:kern w:val="0"/>
                      <w:szCs w:val="21"/>
                      <w:highlight w:val="none"/>
                    </w:rPr>
                    <w:t>速度</w:t>
                  </w:r>
                </w:p>
                <w:p>
                  <w:pPr>
                    <w:adjustRightInd w:val="0"/>
                    <w:snapToGrid w:val="0"/>
                    <w:jc w:val="center"/>
                    <w:rPr>
                      <w:bCs/>
                      <w:color w:val="auto"/>
                      <w:kern w:val="0"/>
                      <w:szCs w:val="21"/>
                      <w:highlight w:val="none"/>
                    </w:rPr>
                  </w:pPr>
                  <w:r>
                    <w:rPr>
                      <w:bCs/>
                      <w:color w:val="auto"/>
                      <w:kern w:val="0"/>
                      <w:szCs w:val="21"/>
                      <w:highlight w:val="none"/>
                    </w:rPr>
                    <w:t>m/s</w:t>
                  </w:r>
                </w:p>
              </w:tc>
              <w:tc>
                <w:tcPr>
                  <w:tcW w:w="450" w:type="pct"/>
                  <w:shd w:val="clear" w:color="auto" w:fill="auto"/>
                  <w:vAlign w:val="center"/>
                </w:tcPr>
                <w:p>
                  <w:pPr>
                    <w:adjustRightInd w:val="0"/>
                    <w:snapToGrid w:val="0"/>
                    <w:jc w:val="center"/>
                    <w:rPr>
                      <w:bCs/>
                      <w:color w:val="auto"/>
                      <w:kern w:val="0"/>
                      <w:szCs w:val="21"/>
                      <w:highlight w:val="none"/>
                    </w:rPr>
                  </w:pPr>
                  <w:r>
                    <w:rPr>
                      <w:bCs/>
                      <w:color w:val="auto"/>
                      <w:kern w:val="0"/>
                      <w:szCs w:val="21"/>
                      <w:highlight w:val="none"/>
                    </w:rPr>
                    <w:t>停留</w:t>
                  </w:r>
                </w:p>
                <w:p>
                  <w:pPr>
                    <w:adjustRightInd w:val="0"/>
                    <w:snapToGrid w:val="0"/>
                    <w:jc w:val="center"/>
                    <w:rPr>
                      <w:bCs/>
                      <w:color w:val="auto"/>
                      <w:kern w:val="0"/>
                      <w:szCs w:val="21"/>
                      <w:highlight w:val="none"/>
                    </w:rPr>
                  </w:pPr>
                  <w:r>
                    <w:rPr>
                      <w:bCs/>
                      <w:color w:val="auto"/>
                      <w:kern w:val="0"/>
                      <w:szCs w:val="21"/>
                      <w:highlight w:val="none"/>
                    </w:rPr>
                    <w:t>时间</w:t>
                  </w:r>
                </w:p>
                <w:p>
                  <w:pPr>
                    <w:adjustRightInd w:val="0"/>
                    <w:snapToGrid w:val="0"/>
                    <w:jc w:val="center"/>
                    <w:rPr>
                      <w:bCs/>
                      <w:color w:val="auto"/>
                      <w:kern w:val="0"/>
                      <w:szCs w:val="21"/>
                      <w:highlight w:val="none"/>
                    </w:rPr>
                  </w:pPr>
                  <w:r>
                    <w:rPr>
                      <w:bCs/>
                      <w:color w:val="auto"/>
                      <w:kern w:val="0"/>
                      <w:szCs w:val="21"/>
                      <w:highlight w:val="none"/>
                    </w:rPr>
                    <w:t>s</w:t>
                  </w:r>
                </w:p>
              </w:tc>
              <w:tc>
                <w:tcPr>
                  <w:tcW w:w="462" w:type="pct"/>
                  <w:shd w:val="clear" w:color="auto" w:fill="auto"/>
                  <w:vAlign w:val="center"/>
                </w:tcPr>
                <w:p>
                  <w:pPr>
                    <w:adjustRightInd w:val="0"/>
                    <w:snapToGrid w:val="0"/>
                    <w:jc w:val="center"/>
                    <w:rPr>
                      <w:bCs/>
                      <w:color w:val="auto"/>
                      <w:kern w:val="0"/>
                      <w:szCs w:val="21"/>
                      <w:highlight w:val="none"/>
                    </w:rPr>
                  </w:pPr>
                  <w:r>
                    <w:rPr>
                      <w:bCs/>
                      <w:color w:val="auto"/>
                      <w:kern w:val="0"/>
                      <w:szCs w:val="21"/>
                      <w:highlight w:val="none"/>
                    </w:rPr>
                    <w:t>废气温度</w:t>
                  </w:r>
                  <w:r>
                    <w:rPr>
                      <w:rFonts w:hint="eastAsia" w:ascii="宋体" w:hAnsi="宋体" w:cs="宋体"/>
                      <w:bCs/>
                      <w:color w:val="auto"/>
                      <w:kern w:val="0"/>
                      <w:szCs w:val="21"/>
                      <w:highlight w:val="none"/>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jc w:val="center"/>
              </w:trPr>
              <w:tc>
                <w:tcPr>
                  <w:tcW w:w="733" w:type="pct"/>
                  <w:shd w:val="clear" w:color="auto" w:fill="auto"/>
                  <w:vAlign w:val="center"/>
                </w:tcPr>
                <w:p>
                  <w:pPr>
                    <w:adjustRightInd w:val="0"/>
                    <w:snapToGrid w:val="0"/>
                    <w:jc w:val="center"/>
                    <w:rPr>
                      <w:color w:val="auto"/>
                      <w:kern w:val="0"/>
                      <w:szCs w:val="21"/>
                      <w:highlight w:val="none"/>
                    </w:rPr>
                  </w:pPr>
                  <w:r>
                    <w:rPr>
                      <w:rFonts w:hint="eastAsia"/>
                      <w:color w:val="auto"/>
                      <w:spacing w:val="-4"/>
                      <w:szCs w:val="21"/>
                      <w:highlight w:val="none"/>
                    </w:rPr>
                    <w:t>8号厂房废气处理装置</w:t>
                  </w:r>
                </w:p>
              </w:tc>
              <w:tc>
                <w:tcPr>
                  <w:tcW w:w="574" w:type="pct"/>
                  <w:shd w:val="clear" w:color="auto" w:fill="auto"/>
                  <w:vAlign w:val="center"/>
                </w:tcPr>
                <w:p>
                  <w:pPr>
                    <w:adjustRightInd w:val="0"/>
                    <w:snapToGrid w:val="0"/>
                    <w:jc w:val="center"/>
                    <w:rPr>
                      <w:bCs/>
                      <w:color w:val="auto"/>
                      <w:kern w:val="0"/>
                      <w:szCs w:val="21"/>
                      <w:highlight w:val="none"/>
                    </w:rPr>
                  </w:pPr>
                  <w:r>
                    <w:rPr>
                      <w:rFonts w:hint="eastAsia"/>
                      <w:color w:val="auto"/>
                      <w:spacing w:val="-4"/>
                      <w:szCs w:val="21"/>
                      <w:highlight w:val="none"/>
                    </w:rPr>
                    <w:t>8</w:t>
                  </w:r>
                  <w:r>
                    <w:rPr>
                      <w:color w:val="auto"/>
                      <w:spacing w:val="-4"/>
                      <w:szCs w:val="21"/>
                      <w:highlight w:val="none"/>
                    </w:rPr>
                    <w:t>000</w:t>
                  </w:r>
                </w:p>
              </w:tc>
              <w:tc>
                <w:tcPr>
                  <w:tcW w:w="499" w:type="pct"/>
                  <w:shd w:val="clear" w:color="auto" w:fill="auto"/>
                  <w:vAlign w:val="center"/>
                </w:tcPr>
                <w:p>
                  <w:pPr>
                    <w:adjustRightInd w:val="0"/>
                    <w:snapToGrid w:val="0"/>
                    <w:jc w:val="center"/>
                    <w:rPr>
                      <w:bCs/>
                      <w:color w:val="auto"/>
                      <w:kern w:val="0"/>
                      <w:szCs w:val="21"/>
                      <w:highlight w:val="none"/>
                    </w:rPr>
                  </w:pPr>
                  <w:r>
                    <w:rPr>
                      <w:rFonts w:hint="eastAsia"/>
                      <w:bCs/>
                      <w:color w:val="auto"/>
                      <w:kern w:val="0"/>
                      <w:szCs w:val="21"/>
                      <w:highlight w:val="none"/>
                    </w:rPr>
                    <w:t>850</w:t>
                  </w:r>
                </w:p>
              </w:tc>
              <w:tc>
                <w:tcPr>
                  <w:tcW w:w="499" w:type="pct"/>
                  <w:shd w:val="clear" w:color="auto" w:fill="auto"/>
                  <w:vAlign w:val="center"/>
                </w:tcPr>
                <w:p>
                  <w:pPr>
                    <w:adjustRightInd w:val="0"/>
                    <w:snapToGrid w:val="0"/>
                    <w:jc w:val="center"/>
                    <w:rPr>
                      <w:bCs/>
                      <w:color w:val="auto"/>
                      <w:kern w:val="0"/>
                      <w:szCs w:val="21"/>
                      <w:highlight w:val="none"/>
                    </w:rPr>
                  </w:pPr>
                  <w:r>
                    <w:rPr>
                      <w:bCs/>
                      <w:color w:val="auto"/>
                      <w:kern w:val="0"/>
                      <w:szCs w:val="21"/>
                      <w:highlight w:val="none"/>
                    </w:rPr>
                    <w:t>800</w:t>
                  </w:r>
                </w:p>
              </w:tc>
              <w:tc>
                <w:tcPr>
                  <w:tcW w:w="498" w:type="pct"/>
                  <w:shd w:val="clear" w:color="auto" w:fill="auto"/>
                  <w:vAlign w:val="center"/>
                </w:tcPr>
                <w:p>
                  <w:pPr>
                    <w:widowControl/>
                    <w:jc w:val="center"/>
                    <w:rPr>
                      <w:bCs/>
                      <w:color w:val="auto"/>
                      <w:kern w:val="0"/>
                      <w:szCs w:val="21"/>
                      <w:highlight w:val="none"/>
                    </w:rPr>
                  </w:pPr>
                  <w:r>
                    <w:rPr>
                      <w:rFonts w:hint="eastAsia"/>
                      <w:color w:val="auto"/>
                      <w:kern w:val="0"/>
                      <w:szCs w:val="21"/>
                      <w:highlight w:val="none"/>
                    </w:rPr>
                    <w:t>1</w:t>
                  </w:r>
                </w:p>
              </w:tc>
              <w:tc>
                <w:tcPr>
                  <w:tcW w:w="468" w:type="pct"/>
                  <w:shd w:val="clear" w:color="auto" w:fill="auto"/>
                  <w:vAlign w:val="center"/>
                </w:tcPr>
                <w:p>
                  <w:pPr>
                    <w:adjustRightInd w:val="0"/>
                    <w:snapToGrid w:val="0"/>
                    <w:jc w:val="center"/>
                    <w:rPr>
                      <w:bCs/>
                      <w:color w:val="auto"/>
                      <w:kern w:val="0"/>
                      <w:szCs w:val="21"/>
                      <w:highlight w:val="none"/>
                    </w:rPr>
                  </w:pPr>
                  <w:r>
                    <w:rPr>
                      <w:rFonts w:hint="eastAsia"/>
                      <w:bCs/>
                      <w:color w:val="auto"/>
                      <w:kern w:val="0"/>
                      <w:szCs w:val="21"/>
                      <w:highlight w:val="none"/>
                    </w:rPr>
                    <w:t>4</w:t>
                  </w:r>
                  <w:r>
                    <w:rPr>
                      <w:bCs/>
                      <w:color w:val="auto"/>
                      <w:kern w:val="0"/>
                      <w:szCs w:val="21"/>
                      <w:highlight w:val="none"/>
                    </w:rPr>
                    <w:t>00</w:t>
                  </w:r>
                </w:p>
              </w:tc>
              <w:tc>
                <w:tcPr>
                  <w:tcW w:w="392" w:type="pct"/>
                  <w:shd w:val="clear" w:color="auto" w:fill="auto"/>
                  <w:vAlign w:val="center"/>
                </w:tcPr>
                <w:p>
                  <w:pPr>
                    <w:widowControl/>
                    <w:jc w:val="center"/>
                    <w:rPr>
                      <w:bCs/>
                      <w:color w:val="auto"/>
                      <w:kern w:val="0"/>
                      <w:szCs w:val="21"/>
                      <w:highlight w:val="none"/>
                    </w:rPr>
                  </w:pPr>
                  <w:r>
                    <w:rPr>
                      <w:rFonts w:hint="eastAsia"/>
                      <w:color w:val="auto"/>
                      <w:kern w:val="0"/>
                      <w:szCs w:val="21"/>
                      <w:highlight w:val="none"/>
                    </w:rPr>
                    <w:t>0.8</w:t>
                  </w:r>
                </w:p>
              </w:tc>
              <w:tc>
                <w:tcPr>
                  <w:tcW w:w="425" w:type="pct"/>
                  <w:shd w:val="clear" w:color="auto" w:fill="auto"/>
                  <w:vAlign w:val="center"/>
                </w:tcPr>
                <w:p>
                  <w:pPr>
                    <w:adjustRightInd w:val="0"/>
                    <w:snapToGrid w:val="0"/>
                    <w:jc w:val="center"/>
                    <w:rPr>
                      <w:bCs/>
                      <w:color w:val="auto"/>
                      <w:kern w:val="0"/>
                      <w:szCs w:val="21"/>
                      <w:highlight w:val="none"/>
                    </w:rPr>
                  </w:pPr>
                  <w:r>
                    <w:rPr>
                      <w:rFonts w:hint="eastAsia"/>
                      <w:bCs/>
                      <w:color w:val="auto"/>
                      <w:kern w:val="0"/>
                      <w:szCs w:val="21"/>
                      <w:highlight w:val="none"/>
                    </w:rPr>
                    <w:t>1.1</w:t>
                  </w:r>
                </w:p>
              </w:tc>
              <w:tc>
                <w:tcPr>
                  <w:tcW w:w="450" w:type="pct"/>
                  <w:shd w:val="clear" w:color="auto" w:fill="auto"/>
                  <w:vAlign w:val="center"/>
                </w:tcPr>
                <w:p>
                  <w:pPr>
                    <w:adjustRightInd w:val="0"/>
                    <w:snapToGrid w:val="0"/>
                    <w:jc w:val="center"/>
                    <w:rPr>
                      <w:bCs/>
                      <w:color w:val="auto"/>
                      <w:kern w:val="0"/>
                      <w:szCs w:val="21"/>
                      <w:highlight w:val="none"/>
                    </w:rPr>
                  </w:pPr>
                  <w:r>
                    <w:rPr>
                      <w:rFonts w:hint="eastAsia"/>
                      <w:bCs/>
                      <w:color w:val="auto"/>
                      <w:kern w:val="0"/>
                      <w:szCs w:val="21"/>
                      <w:highlight w:val="none"/>
                    </w:rPr>
                    <w:t>1</w:t>
                  </w:r>
                </w:p>
              </w:tc>
              <w:tc>
                <w:tcPr>
                  <w:tcW w:w="462" w:type="pct"/>
                  <w:shd w:val="clear" w:color="auto" w:fill="auto"/>
                  <w:vAlign w:val="center"/>
                </w:tcPr>
                <w:p>
                  <w:pPr>
                    <w:adjustRightInd w:val="0"/>
                    <w:snapToGrid w:val="0"/>
                    <w:jc w:val="center"/>
                    <w:rPr>
                      <w:bCs/>
                      <w:color w:val="auto"/>
                      <w:kern w:val="0"/>
                      <w:szCs w:val="21"/>
                      <w:highlight w:val="none"/>
                    </w:rPr>
                  </w:pPr>
                  <w:r>
                    <w:rPr>
                      <w:color w:val="auto"/>
                      <w:spacing w:val="-4"/>
                      <w:szCs w:val="21"/>
                      <w:highlight w:val="none"/>
                    </w:rPr>
                    <w:t>25</w:t>
                  </w:r>
                </w:p>
              </w:tc>
            </w:tr>
          </w:tbl>
          <w:p>
            <w:pPr>
              <w:autoSpaceDE w:val="0"/>
              <w:autoSpaceDN w:val="0"/>
              <w:spacing w:line="360" w:lineRule="auto"/>
              <w:ind w:firstLine="480" w:firstLineChars="200"/>
              <w:rPr>
                <w:color w:val="auto"/>
                <w:kern w:val="0"/>
                <w:sz w:val="24"/>
                <w:highlight w:val="none"/>
              </w:rPr>
            </w:pPr>
            <w:r>
              <w:rPr>
                <w:color w:val="auto"/>
                <w:kern w:val="0"/>
                <w:sz w:val="24"/>
                <w:highlight w:val="none"/>
              </w:rPr>
              <w:t>本项目使用活性炭更换下来的废活性炭委托有资质的单位处理。</w:t>
            </w:r>
          </w:p>
          <w:p>
            <w:pPr>
              <w:autoSpaceDE w:val="0"/>
              <w:autoSpaceDN w:val="0"/>
              <w:spacing w:line="360" w:lineRule="auto"/>
              <w:ind w:firstLine="482" w:firstLineChars="200"/>
              <w:rPr>
                <w:b/>
                <w:bCs/>
                <w:color w:val="auto"/>
                <w:kern w:val="0"/>
                <w:sz w:val="24"/>
                <w:highlight w:val="none"/>
              </w:rPr>
            </w:pPr>
            <w:r>
              <w:rPr>
                <w:b/>
                <w:bCs/>
                <w:color w:val="auto"/>
                <w:kern w:val="0"/>
                <w:sz w:val="24"/>
                <w:highlight w:val="none"/>
              </w:rPr>
              <w:t>e、活性炭更换周期</w:t>
            </w:r>
          </w:p>
          <w:p>
            <w:pPr>
              <w:spacing w:line="360" w:lineRule="auto"/>
              <w:ind w:firstLine="480" w:firstLineChars="200"/>
              <w:rPr>
                <w:color w:val="auto"/>
                <w:sz w:val="24"/>
                <w:highlight w:val="none"/>
              </w:rPr>
            </w:pPr>
            <w:r>
              <w:rPr>
                <w:color w:val="auto"/>
                <w:sz w:val="24"/>
                <w:highlight w:val="none"/>
              </w:rPr>
              <w:t>根据《省生态环境厅关于将排污单位活性炭使用更换纳入排污许可的管理》，活性炭更换周期如下：</w:t>
            </w:r>
          </w:p>
          <w:p>
            <w:pPr>
              <w:spacing w:line="360" w:lineRule="auto"/>
              <w:ind w:firstLine="480" w:firstLineChars="200"/>
              <w:rPr>
                <w:color w:val="auto"/>
                <w:sz w:val="24"/>
                <w:highlight w:val="none"/>
              </w:rPr>
            </w:pPr>
            <w:r>
              <w:rPr>
                <w:color w:val="auto"/>
                <w:sz w:val="24"/>
                <w:highlight w:val="none"/>
              </w:rPr>
              <w:t>T=m×s÷（c×10</w:t>
            </w:r>
            <w:r>
              <w:rPr>
                <w:color w:val="auto"/>
                <w:sz w:val="24"/>
                <w:highlight w:val="none"/>
                <w:vertAlign w:val="superscript"/>
              </w:rPr>
              <w:t>-6</w:t>
            </w:r>
            <w:r>
              <w:rPr>
                <w:color w:val="auto"/>
                <w:sz w:val="24"/>
                <w:highlight w:val="none"/>
              </w:rPr>
              <w:t>×Q×t）</w:t>
            </w:r>
          </w:p>
          <w:p>
            <w:pPr>
              <w:spacing w:line="360" w:lineRule="auto"/>
              <w:ind w:firstLine="480" w:firstLineChars="200"/>
              <w:rPr>
                <w:color w:val="auto"/>
                <w:sz w:val="24"/>
                <w:highlight w:val="none"/>
              </w:rPr>
            </w:pPr>
            <w:r>
              <w:rPr>
                <w:color w:val="auto"/>
                <w:sz w:val="24"/>
                <w:highlight w:val="none"/>
              </w:rPr>
              <w:t>式中：T─活性炭更换周期，天；</w:t>
            </w:r>
          </w:p>
          <w:p>
            <w:pPr>
              <w:spacing w:line="360" w:lineRule="auto"/>
              <w:ind w:firstLine="480" w:firstLineChars="200"/>
              <w:rPr>
                <w:color w:val="auto"/>
                <w:sz w:val="24"/>
                <w:highlight w:val="none"/>
              </w:rPr>
            </w:pPr>
            <w:r>
              <w:rPr>
                <w:color w:val="auto"/>
                <w:sz w:val="24"/>
                <w:highlight w:val="none"/>
              </w:rPr>
              <w:t>m─活性炭的用量，kg；</w:t>
            </w:r>
          </w:p>
          <w:p>
            <w:pPr>
              <w:spacing w:line="360" w:lineRule="auto"/>
              <w:ind w:firstLine="480" w:firstLineChars="200"/>
              <w:rPr>
                <w:color w:val="auto"/>
                <w:sz w:val="24"/>
                <w:highlight w:val="none"/>
              </w:rPr>
            </w:pPr>
            <w:r>
              <w:rPr>
                <w:color w:val="auto"/>
                <w:sz w:val="24"/>
                <w:highlight w:val="none"/>
              </w:rPr>
              <w:t>s─动态吸附量，%（一般取值10%）；</w:t>
            </w:r>
          </w:p>
          <w:p>
            <w:pPr>
              <w:spacing w:line="360" w:lineRule="auto"/>
              <w:ind w:firstLine="480" w:firstLineChars="200"/>
              <w:rPr>
                <w:color w:val="auto"/>
                <w:sz w:val="24"/>
                <w:highlight w:val="none"/>
              </w:rPr>
            </w:pPr>
            <w:r>
              <w:rPr>
                <w:color w:val="auto"/>
                <w:sz w:val="24"/>
                <w:highlight w:val="none"/>
              </w:rPr>
              <w:t>c─活性炭削减的VOCs浓度，mg/m</w:t>
            </w:r>
            <w:r>
              <w:rPr>
                <w:color w:val="auto"/>
                <w:sz w:val="24"/>
                <w:highlight w:val="none"/>
                <w:vertAlign w:val="superscript"/>
              </w:rPr>
              <w:t>3</w:t>
            </w:r>
            <w:r>
              <w:rPr>
                <w:color w:val="auto"/>
                <w:sz w:val="24"/>
                <w:highlight w:val="none"/>
              </w:rPr>
              <w:t>；</w:t>
            </w:r>
          </w:p>
          <w:p>
            <w:pPr>
              <w:spacing w:line="360" w:lineRule="auto"/>
              <w:ind w:firstLine="480" w:firstLineChars="200"/>
              <w:rPr>
                <w:color w:val="auto"/>
                <w:sz w:val="24"/>
                <w:highlight w:val="none"/>
              </w:rPr>
            </w:pPr>
            <w:r>
              <w:rPr>
                <w:color w:val="auto"/>
                <w:sz w:val="24"/>
                <w:highlight w:val="none"/>
              </w:rPr>
              <w:t>Q─风量，m</w:t>
            </w:r>
            <w:r>
              <w:rPr>
                <w:color w:val="auto"/>
                <w:sz w:val="24"/>
                <w:highlight w:val="none"/>
                <w:vertAlign w:val="superscript"/>
              </w:rPr>
              <w:t>3</w:t>
            </w:r>
            <w:r>
              <w:rPr>
                <w:color w:val="auto"/>
                <w:sz w:val="24"/>
                <w:highlight w:val="none"/>
              </w:rPr>
              <w:t>/h</w:t>
            </w:r>
          </w:p>
          <w:p>
            <w:pPr>
              <w:spacing w:line="360" w:lineRule="auto"/>
              <w:ind w:firstLine="480" w:firstLineChars="200"/>
              <w:rPr>
                <w:color w:val="auto"/>
                <w:sz w:val="24"/>
                <w:highlight w:val="none"/>
              </w:rPr>
            </w:pPr>
            <w:r>
              <w:rPr>
                <w:color w:val="auto"/>
                <w:sz w:val="24"/>
                <w:highlight w:val="none"/>
              </w:rPr>
              <w:t>t─运行时间，h/d。</w:t>
            </w:r>
          </w:p>
          <w:p>
            <w:pPr>
              <w:spacing w:line="360" w:lineRule="auto"/>
              <w:jc w:val="center"/>
              <w:rPr>
                <w:b/>
                <w:color w:val="auto"/>
                <w:sz w:val="24"/>
                <w:highlight w:val="none"/>
              </w:rPr>
            </w:pPr>
            <w:r>
              <w:rPr>
                <w:rFonts w:hint="eastAsia"/>
                <w:b/>
                <w:color w:val="auto"/>
                <w:sz w:val="24"/>
                <w:highlight w:val="none"/>
              </w:rPr>
              <w:t>表4-10  活性炭更换周期计算参数一览表</w:t>
            </w:r>
          </w:p>
          <w:tbl>
            <w:tblPr>
              <w:tblStyle w:val="3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63"/>
              <w:gridCol w:w="927"/>
              <w:gridCol w:w="926"/>
              <w:gridCol w:w="926"/>
              <w:gridCol w:w="1399"/>
              <w:gridCol w:w="1032"/>
              <w:gridCol w:w="9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477" w:type="pct"/>
                  <w:shd w:val="clear" w:color="auto" w:fill="auto"/>
                  <w:vAlign w:val="center"/>
                </w:tcPr>
                <w:p>
                  <w:pPr>
                    <w:jc w:val="center"/>
                    <w:rPr>
                      <w:color w:val="auto"/>
                      <w:szCs w:val="21"/>
                      <w:highlight w:val="none"/>
                    </w:rPr>
                  </w:pPr>
                  <w:r>
                    <w:rPr>
                      <w:rFonts w:hint="eastAsia"/>
                      <w:color w:val="auto"/>
                      <w:szCs w:val="21"/>
                      <w:highlight w:val="none"/>
                    </w:rPr>
                    <w:t>废气治理措施</w:t>
                  </w:r>
                </w:p>
              </w:tc>
              <w:tc>
                <w:tcPr>
                  <w:tcW w:w="536" w:type="pct"/>
                  <w:shd w:val="clear" w:color="auto" w:fill="auto"/>
                  <w:vAlign w:val="center"/>
                </w:tcPr>
                <w:p>
                  <w:pPr>
                    <w:jc w:val="center"/>
                    <w:rPr>
                      <w:color w:val="auto"/>
                      <w:szCs w:val="21"/>
                      <w:highlight w:val="none"/>
                    </w:rPr>
                  </w:pPr>
                  <w:r>
                    <w:rPr>
                      <w:rFonts w:hint="eastAsia"/>
                      <w:color w:val="auto"/>
                      <w:szCs w:val="21"/>
                      <w:highlight w:val="none"/>
                    </w:rPr>
                    <w:t>活性炭更换周期（天）</w:t>
                  </w:r>
                </w:p>
              </w:tc>
              <w:tc>
                <w:tcPr>
                  <w:tcW w:w="535" w:type="pct"/>
                  <w:shd w:val="clear" w:color="auto" w:fill="auto"/>
                  <w:vAlign w:val="center"/>
                </w:tcPr>
                <w:p>
                  <w:pPr>
                    <w:jc w:val="center"/>
                    <w:rPr>
                      <w:color w:val="auto"/>
                      <w:szCs w:val="21"/>
                      <w:highlight w:val="none"/>
                    </w:rPr>
                  </w:pPr>
                  <w:r>
                    <w:rPr>
                      <w:rFonts w:hint="eastAsia"/>
                      <w:color w:val="auto"/>
                      <w:szCs w:val="21"/>
                      <w:highlight w:val="none"/>
                    </w:rPr>
                    <w:t>活性炭的用量（kg）</w:t>
                  </w:r>
                </w:p>
              </w:tc>
              <w:tc>
                <w:tcPr>
                  <w:tcW w:w="535" w:type="pct"/>
                  <w:shd w:val="clear" w:color="auto" w:fill="auto"/>
                  <w:vAlign w:val="center"/>
                </w:tcPr>
                <w:p>
                  <w:pPr>
                    <w:jc w:val="center"/>
                    <w:rPr>
                      <w:color w:val="auto"/>
                      <w:szCs w:val="21"/>
                      <w:highlight w:val="none"/>
                    </w:rPr>
                  </w:pPr>
                  <w:r>
                    <w:rPr>
                      <w:rFonts w:hint="eastAsia"/>
                      <w:color w:val="auto"/>
                      <w:szCs w:val="21"/>
                      <w:highlight w:val="none"/>
                    </w:rPr>
                    <w:t>动态吸附量（%）</w:t>
                  </w:r>
                </w:p>
              </w:tc>
              <w:tc>
                <w:tcPr>
                  <w:tcW w:w="807" w:type="pct"/>
                  <w:shd w:val="clear" w:color="auto" w:fill="auto"/>
                  <w:vAlign w:val="center"/>
                </w:tcPr>
                <w:p>
                  <w:pPr>
                    <w:jc w:val="center"/>
                    <w:rPr>
                      <w:color w:val="auto"/>
                      <w:szCs w:val="21"/>
                      <w:highlight w:val="none"/>
                    </w:rPr>
                  </w:pPr>
                  <w:r>
                    <w:rPr>
                      <w:rFonts w:hint="eastAsia"/>
                      <w:color w:val="auto"/>
                      <w:szCs w:val="21"/>
                      <w:highlight w:val="none"/>
                    </w:rPr>
                    <w:t>活性炭削减的VOCs浓度（mg/m</w:t>
                  </w:r>
                  <w:r>
                    <w:rPr>
                      <w:rFonts w:hint="eastAsia"/>
                      <w:color w:val="auto"/>
                      <w:szCs w:val="21"/>
                      <w:highlight w:val="none"/>
                      <w:vertAlign w:val="superscript"/>
                    </w:rPr>
                    <w:t>3</w:t>
                  </w:r>
                  <w:r>
                    <w:rPr>
                      <w:rFonts w:hint="eastAsia"/>
                      <w:color w:val="auto"/>
                      <w:szCs w:val="21"/>
                      <w:highlight w:val="none"/>
                    </w:rPr>
                    <w:t>）</w:t>
                  </w:r>
                </w:p>
              </w:tc>
              <w:tc>
                <w:tcPr>
                  <w:tcW w:w="581" w:type="pct"/>
                  <w:shd w:val="clear" w:color="auto" w:fill="auto"/>
                  <w:vAlign w:val="center"/>
                </w:tcPr>
                <w:p>
                  <w:pPr>
                    <w:jc w:val="center"/>
                    <w:rPr>
                      <w:color w:val="auto"/>
                      <w:szCs w:val="21"/>
                      <w:highlight w:val="none"/>
                    </w:rPr>
                  </w:pPr>
                  <w:r>
                    <w:rPr>
                      <w:rFonts w:hint="eastAsia"/>
                      <w:color w:val="auto"/>
                      <w:szCs w:val="21"/>
                      <w:highlight w:val="none"/>
                    </w:rPr>
                    <w:t>风量（m</w:t>
                  </w:r>
                  <w:r>
                    <w:rPr>
                      <w:rFonts w:hint="eastAsia"/>
                      <w:color w:val="auto"/>
                      <w:szCs w:val="21"/>
                      <w:highlight w:val="none"/>
                      <w:vertAlign w:val="superscript"/>
                    </w:rPr>
                    <w:t>3</w:t>
                  </w:r>
                  <w:r>
                    <w:rPr>
                      <w:rFonts w:hint="eastAsia"/>
                      <w:color w:val="auto"/>
                      <w:szCs w:val="21"/>
                      <w:highlight w:val="none"/>
                    </w:rPr>
                    <w:t>/h）</w:t>
                  </w:r>
                </w:p>
              </w:tc>
              <w:tc>
                <w:tcPr>
                  <w:tcW w:w="529" w:type="pct"/>
                  <w:shd w:val="clear" w:color="auto" w:fill="auto"/>
                  <w:vAlign w:val="center"/>
                </w:tcPr>
                <w:p>
                  <w:pPr>
                    <w:jc w:val="center"/>
                    <w:rPr>
                      <w:color w:val="auto"/>
                      <w:szCs w:val="21"/>
                      <w:highlight w:val="none"/>
                    </w:rPr>
                  </w:pPr>
                  <w:r>
                    <w:rPr>
                      <w:rFonts w:hint="eastAsia"/>
                      <w:color w:val="auto"/>
                      <w:szCs w:val="21"/>
                      <w:highlight w:val="none"/>
                    </w:rPr>
                    <w:t>运行</w:t>
                  </w:r>
                </w:p>
                <w:p>
                  <w:pPr>
                    <w:jc w:val="center"/>
                    <w:rPr>
                      <w:color w:val="auto"/>
                      <w:szCs w:val="21"/>
                      <w:highlight w:val="none"/>
                    </w:rPr>
                  </w:pPr>
                  <w:r>
                    <w:rPr>
                      <w:rFonts w:hint="eastAsia"/>
                      <w:color w:val="auto"/>
                      <w:szCs w:val="21"/>
                      <w:highlight w:val="none"/>
                    </w:rPr>
                    <w:t>时间（h/d）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477" w:type="pct"/>
                  <w:shd w:val="clear" w:color="auto" w:fill="auto"/>
                  <w:vAlign w:val="center"/>
                </w:tcPr>
                <w:p>
                  <w:pPr>
                    <w:jc w:val="center"/>
                    <w:rPr>
                      <w:color w:val="auto"/>
                      <w:szCs w:val="21"/>
                      <w:highlight w:val="none"/>
                    </w:rPr>
                  </w:pPr>
                  <w:r>
                    <w:rPr>
                      <w:rFonts w:hint="eastAsia"/>
                      <w:color w:val="auto"/>
                      <w:szCs w:val="21"/>
                      <w:highlight w:val="none"/>
                    </w:rPr>
                    <w:t>8号厂房废气处理装置为废气收集+碱液喷淋+除雾器+一级活性炭处理后经15m高排气筒P2排放</w:t>
                  </w:r>
                </w:p>
              </w:tc>
              <w:tc>
                <w:tcPr>
                  <w:tcW w:w="536" w:type="pct"/>
                  <w:shd w:val="clear" w:color="auto" w:fill="auto"/>
                  <w:vAlign w:val="center"/>
                </w:tcPr>
                <w:p>
                  <w:pPr>
                    <w:jc w:val="center"/>
                    <w:rPr>
                      <w:color w:val="auto"/>
                      <w:szCs w:val="21"/>
                      <w:highlight w:val="none"/>
                    </w:rPr>
                  </w:pPr>
                  <w:r>
                    <w:rPr>
                      <w:rFonts w:hint="eastAsia"/>
                      <w:color w:val="auto"/>
                      <w:szCs w:val="21"/>
                      <w:highlight w:val="none"/>
                    </w:rPr>
                    <w:t>90</w:t>
                  </w:r>
                </w:p>
              </w:tc>
              <w:tc>
                <w:tcPr>
                  <w:tcW w:w="535" w:type="pct"/>
                  <w:shd w:val="clear" w:color="auto" w:fill="auto"/>
                  <w:vAlign w:val="center"/>
                </w:tcPr>
                <w:p>
                  <w:pPr>
                    <w:jc w:val="center"/>
                    <w:rPr>
                      <w:color w:val="auto"/>
                      <w:szCs w:val="21"/>
                      <w:highlight w:val="none"/>
                    </w:rPr>
                  </w:pPr>
                  <w:r>
                    <w:rPr>
                      <w:rFonts w:hint="eastAsia"/>
                      <w:color w:val="auto"/>
                      <w:szCs w:val="21"/>
                      <w:highlight w:val="none"/>
                    </w:rPr>
                    <w:t>1000</w:t>
                  </w:r>
                </w:p>
              </w:tc>
              <w:tc>
                <w:tcPr>
                  <w:tcW w:w="535" w:type="pct"/>
                  <w:shd w:val="clear" w:color="auto" w:fill="auto"/>
                  <w:vAlign w:val="center"/>
                </w:tcPr>
                <w:p>
                  <w:pPr>
                    <w:jc w:val="center"/>
                    <w:rPr>
                      <w:color w:val="auto"/>
                      <w:szCs w:val="21"/>
                      <w:highlight w:val="none"/>
                    </w:rPr>
                  </w:pPr>
                  <w:r>
                    <w:rPr>
                      <w:rFonts w:hint="eastAsia"/>
                      <w:color w:val="auto"/>
                      <w:szCs w:val="21"/>
                      <w:highlight w:val="none"/>
                    </w:rPr>
                    <w:t>10%</w:t>
                  </w:r>
                </w:p>
              </w:tc>
              <w:tc>
                <w:tcPr>
                  <w:tcW w:w="807" w:type="pct"/>
                  <w:shd w:val="clear" w:color="auto" w:fill="auto"/>
                  <w:vAlign w:val="center"/>
                </w:tcPr>
                <w:p>
                  <w:pPr>
                    <w:jc w:val="center"/>
                    <w:rPr>
                      <w:color w:val="auto"/>
                      <w:szCs w:val="21"/>
                      <w:highlight w:val="none"/>
                    </w:rPr>
                  </w:pPr>
                  <w:r>
                    <w:rPr>
                      <w:rFonts w:hint="eastAsia"/>
                      <w:color w:val="auto"/>
                      <w:szCs w:val="21"/>
                      <w:highlight w:val="none"/>
                    </w:rPr>
                    <w:t>17.2</w:t>
                  </w:r>
                </w:p>
              </w:tc>
              <w:tc>
                <w:tcPr>
                  <w:tcW w:w="581" w:type="pct"/>
                  <w:shd w:val="clear" w:color="auto" w:fill="auto"/>
                  <w:vAlign w:val="center"/>
                </w:tcPr>
                <w:p>
                  <w:pPr>
                    <w:jc w:val="center"/>
                    <w:rPr>
                      <w:color w:val="auto"/>
                      <w:szCs w:val="21"/>
                      <w:highlight w:val="none"/>
                    </w:rPr>
                  </w:pPr>
                  <w:r>
                    <w:rPr>
                      <w:rFonts w:hint="eastAsia"/>
                      <w:color w:val="auto"/>
                      <w:szCs w:val="21"/>
                      <w:highlight w:val="none"/>
                    </w:rPr>
                    <w:t>8000</w:t>
                  </w:r>
                </w:p>
              </w:tc>
              <w:tc>
                <w:tcPr>
                  <w:tcW w:w="529" w:type="pct"/>
                  <w:shd w:val="clear" w:color="auto" w:fill="auto"/>
                  <w:vAlign w:val="center"/>
                </w:tcPr>
                <w:p>
                  <w:pPr>
                    <w:jc w:val="center"/>
                    <w:rPr>
                      <w:color w:val="auto"/>
                      <w:szCs w:val="21"/>
                      <w:highlight w:val="none"/>
                    </w:rPr>
                  </w:pPr>
                  <w:r>
                    <w:rPr>
                      <w:rFonts w:hint="eastAsia"/>
                      <w:color w:val="auto"/>
                      <w:szCs w:val="21"/>
                      <w:highlight w:val="none"/>
                    </w:rPr>
                    <w:t>8</w:t>
                  </w:r>
                </w:p>
              </w:tc>
            </w:tr>
          </w:tbl>
          <w:p>
            <w:pPr>
              <w:adjustRightInd w:val="0"/>
              <w:snapToGrid w:val="0"/>
              <w:spacing w:beforeLines="50" w:line="360" w:lineRule="auto"/>
              <w:ind w:firstLine="480" w:firstLineChars="200"/>
              <w:rPr>
                <w:b/>
                <w:bCs/>
                <w:color w:val="auto"/>
                <w:kern w:val="0"/>
                <w:sz w:val="24"/>
                <w:highlight w:val="none"/>
              </w:rPr>
            </w:pPr>
            <w:r>
              <w:rPr>
                <w:color w:val="auto"/>
                <w:kern w:val="0"/>
                <w:sz w:val="24"/>
                <w:highlight w:val="none"/>
              </w:rPr>
              <w:t>根据计算</w:t>
            </w:r>
            <w:r>
              <w:rPr>
                <w:rFonts w:hint="eastAsia"/>
                <w:color w:val="auto"/>
                <w:sz w:val="24"/>
                <w:highlight w:val="none"/>
              </w:rPr>
              <w:t>8号厂房废气处理装置</w:t>
            </w:r>
            <w:r>
              <w:rPr>
                <w:color w:val="auto"/>
                <w:sz w:val="24"/>
                <w:highlight w:val="none"/>
              </w:rPr>
              <w:t>活性炭更换周期</w:t>
            </w:r>
            <w:r>
              <w:rPr>
                <w:rFonts w:hint="eastAsia"/>
                <w:color w:val="auto"/>
                <w:sz w:val="24"/>
                <w:highlight w:val="none"/>
              </w:rPr>
              <w:t>为90</w:t>
            </w:r>
            <w:r>
              <w:rPr>
                <w:color w:val="auto"/>
                <w:sz w:val="24"/>
                <w:highlight w:val="none"/>
              </w:rPr>
              <w:t>天。</w:t>
            </w:r>
            <w:r>
              <w:rPr>
                <w:rFonts w:hint="eastAsia"/>
                <w:color w:val="auto"/>
                <w:sz w:val="24"/>
                <w:highlight w:val="none"/>
              </w:rPr>
              <w:t>根据《省生态环境厅关于深入开展涉VOCs治理重点工作核查的通知》（苏[2022]218号）活性炭吸附装置入户核查基本要求，活性炭更换周期一般不应超过累计运行500小时或3个月，</w:t>
            </w:r>
            <w:r>
              <w:rPr>
                <w:rFonts w:hint="eastAsia"/>
                <w:color w:val="auto"/>
                <w:kern w:val="0"/>
                <w:sz w:val="24"/>
                <w:highlight w:val="none"/>
              </w:rPr>
              <w:t>企业需按照苏[2022]218号执行</w:t>
            </w:r>
            <w:r>
              <w:rPr>
                <w:color w:val="auto"/>
                <w:kern w:val="0"/>
                <w:sz w:val="24"/>
                <w:highlight w:val="none"/>
              </w:rPr>
              <w:t>。</w:t>
            </w:r>
          </w:p>
          <w:p>
            <w:pPr>
              <w:autoSpaceDE w:val="0"/>
              <w:autoSpaceDN w:val="0"/>
              <w:spacing w:line="360" w:lineRule="auto"/>
              <w:ind w:firstLine="482" w:firstLineChars="200"/>
              <w:rPr>
                <w:b/>
                <w:color w:val="auto"/>
                <w:kern w:val="0"/>
                <w:sz w:val="24"/>
                <w:highlight w:val="none"/>
              </w:rPr>
            </w:pPr>
            <w:r>
              <w:rPr>
                <w:b/>
                <w:color w:val="auto"/>
                <w:kern w:val="0"/>
                <w:sz w:val="24"/>
                <w:highlight w:val="none"/>
              </w:rPr>
              <w:t>液化石油气燃烧废气</w:t>
            </w:r>
            <w:r>
              <w:rPr>
                <w:rFonts w:hint="eastAsia"/>
                <w:bCs/>
                <w:color w:val="auto"/>
                <w:kern w:val="0"/>
                <w:sz w:val="24"/>
                <w:highlight w:val="none"/>
              </w:rPr>
              <w:t>（</w:t>
            </w:r>
            <w:r>
              <w:rPr>
                <w:rFonts w:hint="eastAsia"/>
                <w:bCs/>
                <w:color w:val="auto"/>
                <w:sz w:val="24"/>
                <w:highlight w:val="none"/>
              </w:rPr>
              <w:t>G6</w:t>
            </w:r>
            <w:r>
              <w:rPr>
                <w:rFonts w:hint="eastAsia"/>
                <w:bCs/>
                <w:color w:val="auto"/>
                <w:kern w:val="0"/>
                <w:sz w:val="24"/>
                <w:highlight w:val="none"/>
              </w:rPr>
              <w:t>）</w:t>
            </w:r>
            <w:r>
              <w:rPr>
                <w:b/>
                <w:color w:val="auto"/>
                <w:kern w:val="0"/>
                <w:sz w:val="24"/>
                <w:highlight w:val="none"/>
              </w:rPr>
              <w:t>处理措施</w:t>
            </w:r>
          </w:p>
          <w:p>
            <w:pPr>
              <w:autoSpaceDE w:val="0"/>
              <w:autoSpaceDN w:val="0"/>
              <w:spacing w:line="360" w:lineRule="auto"/>
              <w:ind w:firstLine="480" w:firstLineChars="200"/>
              <w:rPr>
                <w:color w:val="auto"/>
                <w:kern w:val="0"/>
                <w:sz w:val="24"/>
                <w:highlight w:val="none"/>
              </w:rPr>
            </w:pPr>
            <w:r>
              <w:rPr>
                <w:color w:val="auto"/>
                <w:sz w:val="24"/>
                <w:highlight w:val="none"/>
              </w:rPr>
              <w:t>封口工序采用液化石油气火焰对玻壳进行加热封口，液化石油气用量1.5t/a，产生的废气主要有烟尘、二氧化硫、氮氧化物</w:t>
            </w:r>
            <w:r>
              <w:rPr>
                <w:rFonts w:hint="eastAsia"/>
                <w:color w:val="auto"/>
                <w:sz w:val="24"/>
                <w:highlight w:val="none"/>
              </w:rPr>
              <w:t>、非甲烷总烃，设置顶吸集气罩，加热炉排气口风速0.3m/s，废气收集率90%。</w:t>
            </w:r>
            <w:r>
              <w:rPr>
                <w:rFonts w:hint="eastAsia"/>
                <w:color w:val="auto"/>
                <w:kern w:val="0"/>
                <w:sz w:val="24"/>
                <w:szCs w:val="20"/>
                <w:highlight w:val="none"/>
              </w:rPr>
              <w:t>收</w:t>
            </w:r>
            <w:r>
              <w:rPr>
                <w:rFonts w:hint="eastAsia"/>
                <w:color w:val="auto"/>
                <w:sz w:val="24"/>
                <w:highlight w:val="none"/>
              </w:rPr>
              <w:t>集的废气通过</w:t>
            </w:r>
            <w:r>
              <w:rPr>
                <w:color w:val="auto"/>
                <w:sz w:val="24"/>
                <w:highlight w:val="none"/>
              </w:rPr>
              <w:t>15</w:t>
            </w:r>
            <w:r>
              <w:rPr>
                <w:rFonts w:hint="eastAsia"/>
                <w:color w:val="auto"/>
                <w:sz w:val="24"/>
                <w:highlight w:val="none"/>
              </w:rPr>
              <w:t>m</w:t>
            </w:r>
            <w:r>
              <w:rPr>
                <w:color w:val="auto"/>
                <w:sz w:val="24"/>
                <w:highlight w:val="none"/>
              </w:rPr>
              <w:t>高排气筒P2排放，</w:t>
            </w:r>
            <w:r>
              <w:rPr>
                <w:rFonts w:hint="eastAsia"/>
                <w:color w:val="auto"/>
                <w:sz w:val="24"/>
                <w:highlight w:val="none"/>
              </w:rPr>
              <w:t>内径</w:t>
            </w:r>
            <w:r>
              <w:rPr>
                <w:color w:val="auto"/>
                <w:sz w:val="24"/>
                <w:highlight w:val="none"/>
              </w:rPr>
              <w:t>0.5m，风量2</w:t>
            </w:r>
            <w:r>
              <w:rPr>
                <w:rFonts w:hint="eastAsia"/>
                <w:color w:val="auto"/>
                <w:sz w:val="24"/>
                <w:highlight w:val="none"/>
              </w:rPr>
              <w:t>0</w:t>
            </w:r>
            <w:r>
              <w:rPr>
                <w:color w:val="auto"/>
                <w:sz w:val="24"/>
                <w:highlight w:val="none"/>
              </w:rPr>
              <w:t>00m</w:t>
            </w:r>
            <w:r>
              <w:rPr>
                <w:color w:val="auto"/>
                <w:sz w:val="24"/>
                <w:highlight w:val="none"/>
                <w:vertAlign w:val="superscript"/>
              </w:rPr>
              <w:t>3</w:t>
            </w:r>
            <w:r>
              <w:rPr>
                <w:color w:val="auto"/>
                <w:sz w:val="24"/>
                <w:highlight w:val="none"/>
              </w:rPr>
              <w:t>/h。</w:t>
            </w:r>
            <w:r>
              <w:rPr>
                <w:color w:val="auto"/>
                <w:kern w:val="0"/>
                <w:sz w:val="24"/>
                <w:highlight w:val="none"/>
              </w:rPr>
              <w:t>液化石油气燃烧废气走向见图4-3。</w:t>
            </w:r>
          </w:p>
          <w:p>
            <w:pPr>
              <w:spacing w:beforeLines="50" w:line="360" w:lineRule="auto"/>
              <w:jc w:val="center"/>
              <w:rPr>
                <w:color w:val="auto"/>
                <w:sz w:val="24"/>
                <w:highlight w:val="none"/>
              </w:rPr>
            </w:pPr>
            <w:r>
              <w:rPr>
                <w:color w:val="auto"/>
                <w:highlight w:val="none"/>
              </w:rPr>
              <w:object>
                <v:shape id="_x0000_i1027" o:spt="75" type="#_x0000_t75" style="height:95.35pt;width:412.65pt;" o:ole="t" filled="f" o:preferrelative="t" stroked="f" coordsize="21600,21600">
                  <v:path/>
                  <v:fill on="f" focussize="0,0"/>
                  <v:stroke on="f" joinstyle="miter"/>
                  <v:imagedata r:id="rId16" o:title=""/>
                  <o:lock v:ext="edit" aspectratio="t"/>
                  <w10:wrap type="none"/>
                  <w10:anchorlock/>
                </v:shape>
                <o:OLEObject Type="Embed" ProgID="Visio.Drawing.11" ShapeID="_x0000_i1027" DrawAspect="Content" ObjectID="_1468075727" r:id="rId15">
                  <o:LockedField>false</o:LockedField>
                </o:OLEObject>
              </w:object>
            </w:r>
          </w:p>
          <w:p>
            <w:pPr>
              <w:widowControl/>
              <w:rPr>
                <w:bCs/>
                <w:color w:val="auto"/>
                <w:kern w:val="0"/>
                <w:szCs w:val="21"/>
                <w:highlight w:val="none"/>
              </w:rPr>
            </w:pPr>
            <w:r>
              <w:rPr>
                <w:rFonts w:hint="eastAsia"/>
                <w:bCs/>
                <w:color w:val="auto"/>
                <w:kern w:val="0"/>
                <w:szCs w:val="21"/>
                <w:highlight w:val="none"/>
              </w:rPr>
              <w:t>*零部件清洗废气污染防治措施送排气筒P2排放，管道风量8000m</w:t>
            </w:r>
            <w:r>
              <w:rPr>
                <w:rFonts w:hint="eastAsia"/>
                <w:bCs/>
                <w:color w:val="auto"/>
                <w:kern w:val="0"/>
                <w:szCs w:val="21"/>
                <w:highlight w:val="none"/>
                <w:vertAlign w:val="superscript"/>
              </w:rPr>
              <w:t>3</w:t>
            </w:r>
            <w:r>
              <w:rPr>
                <w:rFonts w:hint="eastAsia"/>
                <w:bCs/>
                <w:color w:val="auto"/>
                <w:kern w:val="0"/>
                <w:szCs w:val="21"/>
                <w:highlight w:val="none"/>
              </w:rPr>
              <w:t>/h，液化石油气燃烧废气送排气筒P2排放，管道风量2000m</w:t>
            </w:r>
            <w:r>
              <w:rPr>
                <w:rFonts w:hint="eastAsia"/>
                <w:bCs/>
                <w:color w:val="auto"/>
                <w:kern w:val="0"/>
                <w:szCs w:val="21"/>
                <w:highlight w:val="none"/>
                <w:vertAlign w:val="superscript"/>
              </w:rPr>
              <w:t>3</w:t>
            </w:r>
            <w:r>
              <w:rPr>
                <w:rFonts w:hint="eastAsia"/>
                <w:bCs/>
                <w:color w:val="auto"/>
                <w:kern w:val="0"/>
                <w:szCs w:val="21"/>
                <w:highlight w:val="none"/>
              </w:rPr>
              <w:t>/h，P2排气筒风量10000m</w:t>
            </w:r>
            <w:r>
              <w:rPr>
                <w:rFonts w:hint="eastAsia"/>
                <w:bCs/>
                <w:color w:val="auto"/>
                <w:kern w:val="0"/>
                <w:szCs w:val="21"/>
                <w:highlight w:val="none"/>
                <w:vertAlign w:val="superscript"/>
              </w:rPr>
              <w:t>3</w:t>
            </w:r>
            <w:r>
              <w:rPr>
                <w:rFonts w:hint="eastAsia"/>
                <w:bCs/>
                <w:color w:val="auto"/>
                <w:kern w:val="0"/>
                <w:szCs w:val="21"/>
                <w:highlight w:val="none"/>
              </w:rPr>
              <w:t>/h。</w:t>
            </w:r>
          </w:p>
          <w:p>
            <w:pPr>
              <w:widowControl/>
              <w:spacing w:beforeLines="50" w:line="360" w:lineRule="auto"/>
              <w:jc w:val="center"/>
              <w:rPr>
                <w:b/>
                <w:bCs/>
                <w:color w:val="auto"/>
                <w:kern w:val="0"/>
                <w:sz w:val="24"/>
                <w:highlight w:val="none"/>
              </w:rPr>
            </w:pPr>
            <w:r>
              <w:rPr>
                <w:b/>
                <w:bCs/>
                <w:color w:val="auto"/>
                <w:kern w:val="0"/>
                <w:sz w:val="24"/>
                <w:highlight w:val="none"/>
              </w:rPr>
              <w:t>图4-3  液化石油气燃烧废气走向示意图</w:t>
            </w:r>
          </w:p>
          <w:p>
            <w:pPr>
              <w:spacing w:line="360" w:lineRule="auto"/>
              <w:ind w:firstLine="482" w:firstLineChars="200"/>
              <w:rPr>
                <w:b/>
                <w:color w:val="auto"/>
                <w:sz w:val="24"/>
                <w:highlight w:val="none"/>
              </w:rPr>
            </w:pPr>
            <w:r>
              <w:rPr>
                <w:rFonts w:hint="eastAsia"/>
                <w:b/>
                <w:color w:val="auto"/>
                <w:sz w:val="24"/>
                <w:highlight w:val="none"/>
              </w:rPr>
              <w:t>危废废气（G7）污染防治措施</w:t>
            </w:r>
          </w:p>
          <w:p>
            <w:pPr>
              <w:spacing w:line="360" w:lineRule="auto"/>
              <w:ind w:firstLine="480" w:firstLineChars="200"/>
              <w:rPr>
                <w:color w:val="auto"/>
                <w:sz w:val="24"/>
                <w:highlight w:val="none"/>
              </w:rPr>
            </w:pPr>
            <w:r>
              <w:rPr>
                <w:color w:val="auto"/>
                <w:sz w:val="24"/>
                <w:highlight w:val="none"/>
              </w:rPr>
              <w:t>危废库内危废会挥发出非甲烷总烃，废油、废液放置于加盖吨桶内，废活性炭放置于密封袋中，危废库废气负压收集后通过活性炭吸附处理后经15m高排气筒P</w:t>
            </w:r>
            <w:r>
              <w:rPr>
                <w:rFonts w:hint="eastAsia"/>
                <w:color w:val="auto"/>
                <w:sz w:val="24"/>
                <w:highlight w:val="none"/>
              </w:rPr>
              <w:t>3</w:t>
            </w:r>
            <w:r>
              <w:rPr>
                <w:color w:val="auto"/>
                <w:sz w:val="24"/>
                <w:highlight w:val="none"/>
              </w:rPr>
              <w:t>排放，收集效率90%，危废库工作时间</w:t>
            </w:r>
            <w:r>
              <w:rPr>
                <w:rFonts w:hint="eastAsia"/>
                <w:color w:val="auto"/>
                <w:sz w:val="24"/>
                <w:highlight w:val="none"/>
              </w:rPr>
              <w:t>8760</w:t>
            </w:r>
            <w:r>
              <w:rPr>
                <w:color w:val="auto"/>
                <w:sz w:val="24"/>
                <w:highlight w:val="none"/>
              </w:rPr>
              <w:t>h/a，废气处理效率75%，风量</w:t>
            </w:r>
            <w:r>
              <w:rPr>
                <w:rFonts w:hint="eastAsia"/>
                <w:color w:val="auto"/>
                <w:sz w:val="24"/>
                <w:highlight w:val="none"/>
              </w:rPr>
              <w:t>2</w:t>
            </w:r>
            <w:r>
              <w:rPr>
                <w:color w:val="auto"/>
                <w:sz w:val="24"/>
                <w:highlight w:val="none"/>
              </w:rPr>
              <w:t>000m</w:t>
            </w:r>
            <w:r>
              <w:rPr>
                <w:color w:val="auto"/>
                <w:sz w:val="24"/>
                <w:highlight w:val="none"/>
                <w:vertAlign w:val="superscript"/>
              </w:rPr>
              <w:t>3</w:t>
            </w:r>
            <w:r>
              <w:rPr>
                <w:color w:val="auto"/>
                <w:sz w:val="24"/>
                <w:highlight w:val="none"/>
              </w:rPr>
              <w:t>/h</w:t>
            </w:r>
            <w:r>
              <w:rPr>
                <w:rFonts w:hint="eastAsia"/>
                <w:color w:val="auto"/>
                <w:sz w:val="24"/>
                <w:highlight w:val="none"/>
              </w:rPr>
              <w:t>、内径0.2</w:t>
            </w:r>
            <w:r>
              <w:rPr>
                <w:color w:val="auto"/>
                <w:sz w:val="24"/>
                <w:highlight w:val="none"/>
              </w:rPr>
              <w:t>。</w:t>
            </w:r>
          </w:p>
          <w:p>
            <w:pPr>
              <w:adjustRightInd w:val="0"/>
              <w:snapToGrid w:val="0"/>
              <w:spacing w:line="360" w:lineRule="auto"/>
              <w:ind w:firstLine="480" w:firstLineChars="200"/>
              <w:rPr>
                <w:bCs/>
                <w:color w:val="auto"/>
                <w:kern w:val="0"/>
                <w:sz w:val="24"/>
                <w:highlight w:val="none"/>
              </w:rPr>
            </w:pPr>
            <w:r>
              <w:rPr>
                <w:bCs/>
                <w:color w:val="auto"/>
                <w:kern w:val="0"/>
                <w:sz w:val="24"/>
                <w:highlight w:val="none"/>
              </w:rPr>
              <w:t>活性炭吸附装置</w:t>
            </w:r>
            <w:r>
              <w:rPr>
                <w:rFonts w:hint="eastAsia"/>
                <w:bCs/>
                <w:color w:val="auto"/>
                <w:kern w:val="0"/>
                <w:sz w:val="24"/>
                <w:highlight w:val="none"/>
              </w:rPr>
              <w:t>、活性炭吸原理见上节</w:t>
            </w:r>
            <w:r>
              <w:rPr>
                <w:bCs/>
                <w:color w:val="auto"/>
                <w:kern w:val="0"/>
                <w:sz w:val="24"/>
                <w:highlight w:val="none"/>
              </w:rPr>
              <w:fldChar w:fldCharType="begin"/>
            </w:r>
            <w:r>
              <w:rPr>
                <w:rFonts w:hint="eastAsia"/>
                <w:bCs/>
                <w:color w:val="auto"/>
                <w:kern w:val="0"/>
                <w:sz w:val="24"/>
                <w:highlight w:val="none"/>
              </w:rPr>
              <w:instrText xml:space="preserve">= 1 \* GB3</w:instrText>
            </w:r>
            <w:r>
              <w:rPr>
                <w:bCs/>
                <w:color w:val="auto"/>
                <w:kern w:val="0"/>
                <w:sz w:val="24"/>
                <w:highlight w:val="none"/>
              </w:rPr>
              <w:fldChar w:fldCharType="separate"/>
            </w:r>
            <w:r>
              <w:rPr>
                <w:rFonts w:hint="eastAsia"/>
                <w:bCs/>
                <w:color w:val="auto"/>
                <w:kern w:val="0"/>
                <w:sz w:val="24"/>
                <w:highlight w:val="none"/>
              </w:rPr>
              <w:t>①</w:t>
            </w:r>
            <w:r>
              <w:rPr>
                <w:bCs/>
                <w:color w:val="auto"/>
                <w:kern w:val="0"/>
                <w:sz w:val="24"/>
                <w:highlight w:val="none"/>
              </w:rPr>
              <w:fldChar w:fldCharType="end"/>
            </w:r>
            <w:r>
              <w:rPr>
                <w:bCs/>
                <w:color w:val="auto"/>
                <w:kern w:val="0"/>
                <w:sz w:val="24"/>
                <w:highlight w:val="none"/>
              </w:rPr>
              <w:t>。</w:t>
            </w:r>
          </w:p>
          <w:p>
            <w:pPr>
              <w:adjustRightInd w:val="0"/>
              <w:snapToGrid w:val="0"/>
              <w:spacing w:line="360" w:lineRule="auto"/>
              <w:jc w:val="center"/>
              <w:rPr>
                <w:b/>
                <w:color w:val="auto"/>
                <w:kern w:val="0"/>
                <w:sz w:val="24"/>
                <w:highlight w:val="none"/>
              </w:rPr>
            </w:pPr>
            <w:r>
              <w:rPr>
                <w:b/>
                <w:color w:val="auto"/>
                <w:kern w:val="0"/>
                <w:sz w:val="24"/>
                <w:highlight w:val="none"/>
              </w:rPr>
              <w:t>表4-</w:t>
            </w:r>
            <w:r>
              <w:rPr>
                <w:rFonts w:hint="eastAsia"/>
                <w:b/>
                <w:color w:val="auto"/>
                <w:kern w:val="0"/>
                <w:sz w:val="24"/>
                <w:highlight w:val="none"/>
              </w:rPr>
              <w:t>11</w:t>
            </w:r>
            <w:r>
              <w:rPr>
                <w:b/>
                <w:color w:val="auto"/>
                <w:kern w:val="0"/>
                <w:sz w:val="24"/>
                <w:highlight w:val="none"/>
              </w:rPr>
              <w:t xml:space="preserve">  活性炭吸附装置参数</w:t>
            </w:r>
            <w:r>
              <w:rPr>
                <w:rFonts w:hint="eastAsia"/>
                <w:b/>
                <w:color w:val="auto"/>
                <w:kern w:val="0"/>
                <w:sz w:val="24"/>
                <w:highlight w:val="none"/>
              </w:rPr>
              <w:t>表</w:t>
            </w:r>
          </w:p>
          <w:tbl>
            <w:tblPr>
              <w:tblStyle w:val="34"/>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0" w:type="dxa"/>
                <w:bottom w:w="0" w:type="dxa"/>
                <w:right w:w="0" w:type="dxa"/>
              </w:tblCellMar>
            </w:tblPr>
            <w:tblGrid>
              <w:gridCol w:w="1270"/>
              <w:gridCol w:w="997"/>
              <w:gridCol w:w="867"/>
              <w:gridCol w:w="867"/>
              <w:gridCol w:w="865"/>
              <w:gridCol w:w="813"/>
              <w:gridCol w:w="681"/>
              <w:gridCol w:w="740"/>
              <w:gridCol w:w="782"/>
              <w:gridCol w:w="80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23" w:hRule="atLeast"/>
                <w:jc w:val="center"/>
              </w:trPr>
              <w:tc>
                <w:tcPr>
                  <w:tcW w:w="732" w:type="pct"/>
                  <w:vAlign w:val="center"/>
                </w:tcPr>
                <w:p>
                  <w:pPr>
                    <w:widowControl/>
                    <w:jc w:val="center"/>
                    <w:rPr>
                      <w:bCs/>
                      <w:color w:val="auto"/>
                      <w:kern w:val="0"/>
                      <w:szCs w:val="21"/>
                      <w:highlight w:val="none"/>
                    </w:rPr>
                  </w:pPr>
                  <w:r>
                    <w:rPr>
                      <w:bCs/>
                      <w:color w:val="auto"/>
                      <w:kern w:val="0"/>
                      <w:szCs w:val="21"/>
                      <w:highlight w:val="none"/>
                    </w:rPr>
                    <w:t>活性炭装置</w:t>
                  </w:r>
                </w:p>
              </w:tc>
              <w:tc>
                <w:tcPr>
                  <w:tcW w:w="574" w:type="pct"/>
                  <w:vAlign w:val="center"/>
                </w:tcPr>
                <w:p>
                  <w:pPr>
                    <w:adjustRightInd w:val="0"/>
                    <w:snapToGrid w:val="0"/>
                    <w:jc w:val="center"/>
                    <w:rPr>
                      <w:bCs/>
                      <w:color w:val="auto"/>
                      <w:kern w:val="0"/>
                      <w:szCs w:val="21"/>
                      <w:highlight w:val="none"/>
                    </w:rPr>
                  </w:pPr>
                  <w:r>
                    <w:rPr>
                      <w:bCs/>
                      <w:color w:val="auto"/>
                      <w:kern w:val="0"/>
                      <w:szCs w:val="21"/>
                      <w:highlight w:val="none"/>
                    </w:rPr>
                    <w:t>活性炭装置风量m</w:t>
                  </w:r>
                  <w:r>
                    <w:rPr>
                      <w:bCs/>
                      <w:color w:val="auto"/>
                      <w:kern w:val="0"/>
                      <w:szCs w:val="21"/>
                      <w:highlight w:val="none"/>
                      <w:vertAlign w:val="superscript"/>
                    </w:rPr>
                    <w:t>3</w:t>
                  </w:r>
                  <w:r>
                    <w:rPr>
                      <w:bCs/>
                      <w:color w:val="auto"/>
                      <w:kern w:val="0"/>
                      <w:szCs w:val="21"/>
                      <w:highlight w:val="none"/>
                    </w:rPr>
                    <w:t>/h</w:t>
                  </w:r>
                </w:p>
              </w:tc>
              <w:tc>
                <w:tcPr>
                  <w:tcW w:w="499" w:type="pct"/>
                  <w:vAlign w:val="center"/>
                </w:tcPr>
                <w:p>
                  <w:pPr>
                    <w:adjustRightInd w:val="0"/>
                    <w:snapToGrid w:val="0"/>
                    <w:jc w:val="center"/>
                    <w:rPr>
                      <w:bCs/>
                      <w:color w:val="auto"/>
                      <w:kern w:val="0"/>
                      <w:szCs w:val="21"/>
                      <w:highlight w:val="none"/>
                    </w:rPr>
                  </w:pPr>
                  <w:r>
                    <w:rPr>
                      <w:rFonts w:hint="eastAsia"/>
                      <w:bCs/>
                      <w:color w:val="auto"/>
                      <w:kern w:val="0"/>
                      <w:szCs w:val="21"/>
                      <w:highlight w:val="none"/>
                    </w:rPr>
                    <w:t>比表</w:t>
                  </w:r>
                </w:p>
                <w:p>
                  <w:pPr>
                    <w:adjustRightInd w:val="0"/>
                    <w:snapToGrid w:val="0"/>
                    <w:jc w:val="center"/>
                    <w:rPr>
                      <w:color w:val="auto"/>
                      <w:kern w:val="0"/>
                      <w:sz w:val="24"/>
                      <w:highlight w:val="none"/>
                    </w:rPr>
                  </w:pPr>
                  <w:r>
                    <w:rPr>
                      <w:rFonts w:hint="eastAsia"/>
                      <w:bCs/>
                      <w:color w:val="auto"/>
                      <w:kern w:val="0"/>
                      <w:szCs w:val="21"/>
                      <w:highlight w:val="none"/>
                    </w:rPr>
                    <w:t>面积</w:t>
                  </w:r>
                </w:p>
                <w:p>
                  <w:pPr>
                    <w:adjustRightInd w:val="0"/>
                    <w:snapToGrid w:val="0"/>
                    <w:jc w:val="center"/>
                    <w:rPr>
                      <w:bCs/>
                      <w:color w:val="auto"/>
                      <w:kern w:val="0"/>
                      <w:szCs w:val="21"/>
                      <w:highlight w:val="none"/>
                    </w:rPr>
                  </w:pPr>
                  <w:r>
                    <w:rPr>
                      <w:rFonts w:hint="eastAsia"/>
                      <w:color w:val="auto"/>
                      <w:kern w:val="0"/>
                      <w:sz w:val="24"/>
                      <w:highlight w:val="none"/>
                    </w:rPr>
                    <w:t>m</w:t>
                  </w:r>
                  <w:r>
                    <w:rPr>
                      <w:rFonts w:hint="eastAsia"/>
                      <w:color w:val="auto"/>
                      <w:kern w:val="0"/>
                      <w:sz w:val="24"/>
                      <w:highlight w:val="none"/>
                      <w:vertAlign w:val="superscript"/>
                    </w:rPr>
                    <w:t>2</w:t>
                  </w:r>
                  <w:r>
                    <w:rPr>
                      <w:rFonts w:hint="eastAsia"/>
                      <w:color w:val="auto"/>
                      <w:kern w:val="0"/>
                      <w:sz w:val="24"/>
                      <w:highlight w:val="none"/>
                    </w:rPr>
                    <w:t>/g</w:t>
                  </w:r>
                </w:p>
              </w:tc>
              <w:tc>
                <w:tcPr>
                  <w:tcW w:w="499" w:type="pct"/>
                </w:tcPr>
                <w:p>
                  <w:pPr>
                    <w:adjustRightInd w:val="0"/>
                    <w:snapToGrid w:val="0"/>
                    <w:jc w:val="center"/>
                    <w:rPr>
                      <w:bCs/>
                      <w:color w:val="auto"/>
                      <w:kern w:val="0"/>
                      <w:szCs w:val="21"/>
                      <w:highlight w:val="none"/>
                    </w:rPr>
                  </w:pPr>
                  <w:r>
                    <w:rPr>
                      <w:bCs/>
                      <w:color w:val="auto"/>
                      <w:kern w:val="0"/>
                      <w:szCs w:val="21"/>
                      <w:highlight w:val="none"/>
                    </w:rPr>
                    <w:t>活性炭</w:t>
                  </w:r>
                </w:p>
                <w:p>
                  <w:pPr>
                    <w:adjustRightInd w:val="0"/>
                    <w:snapToGrid w:val="0"/>
                    <w:jc w:val="center"/>
                    <w:rPr>
                      <w:bCs/>
                      <w:color w:val="auto"/>
                      <w:kern w:val="0"/>
                      <w:szCs w:val="21"/>
                      <w:highlight w:val="none"/>
                    </w:rPr>
                  </w:pPr>
                  <w:r>
                    <w:rPr>
                      <w:bCs/>
                      <w:color w:val="auto"/>
                      <w:kern w:val="0"/>
                      <w:szCs w:val="21"/>
                      <w:highlight w:val="none"/>
                    </w:rPr>
                    <w:t>碘值</w:t>
                  </w:r>
                </w:p>
                <w:p>
                  <w:pPr>
                    <w:jc w:val="center"/>
                    <w:rPr>
                      <w:color w:val="auto"/>
                      <w:szCs w:val="21"/>
                      <w:highlight w:val="none"/>
                    </w:rPr>
                  </w:pPr>
                  <w:r>
                    <w:rPr>
                      <w:color w:val="auto"/>
                      <w:szCs w:val="21"/>
                      <w:highlight w:val="none"/>
                    </w:rPr>
                    <w:t>mg/g</w:t>
                  </w:r>
                </w:p>
              </w:tc>
              <w:tc>
                <w:tcPr>
                  <w:tcW w:w="498" w:type="pct"/>
                  <w:vAlign w:val="center"/>
                </w:tcPr>
                <w:p>
                  <w:pPr>
                    <w:adjustRightInd w:val="0"/>
                    <w:snapToGrid w:val="0"/>
                    <w:jc w:val="center"/>
                    <w:rPr>
                      <w:bCs/>
                      <w:color w:val="auto"/>
                      <w:kern w:val="0"/>
                      <w:szCs w:val="21"/>
                      <w:highlight w:val="none"/>
                    </w:rPr>
                  </w:pPr>
                  <w:r>
                    <w:rPr>
                      <w:bCs/>
                      <w:color w:val="auto"/>
                      <w:kern w:val="0"/>
                      <w:szCs w:val="21"/>
                      <w:highlight w:val="none"/>
                    </w:rPr>
                    <w:t>活性炭装填量t</w:t>
                  </w:r>
                </w:p>
              </w:tc>
              <w:tc>
                <w:tcPr>
                  <w:tcW w:w="468" w:type="pct"/>
                  <w:vAlign w:val="center"/>
                </w:tcPr>
                <w:p>
                  <w:pPr>
                    <w:adjustRightInd w:val="0"/>
                    <w:snapToGrid w:val="0"/>
                    <w:jc w:val="center"/>
                    <w:rPr>
                      <w:bCs/>
                      <w:color w:val="auto"/>
                      <w:kern w:val="0"/>
                      <w:szCs w:val="21"/>
                      <w:highlight w:val="none"/>
                    </w:rPr>
                  </w:pPr>
                  <w:r>
                    <w:rPr>
                      <w:bCs/>
                      <w:color w:val="auto"/>
                      <w:kern w:val="0"/>
                      <w:szCs w:val="21"/>
                      <w:highlight w:val="none"/>
                    </w:rPr>
                    <w:t>碳层</w:t>
                  </w:r>
                </w:p>
                <w:p>
                  <w:pPr>
                    <w:adjustRightInd w:val="0"/>
                    <w:snapToGrid w:val="0"/>
                    <w:jc w:val="center"/>
                    <w:rPr>
                      <w:bCs/>
                      <w:color w:val="auto"/>
                      <w:kern w:val="0"/>
                      <w:szCs w:val="21"/>
                      <w:highlight w:val="none"/>
                    </w:rPr>
                  </w:pPr>
                  <w:r>
                    <w:rPr>
                      <w:bCs/>
                      <w:color w:val="auto"/>
                      <w:kern w:val="0"/>
                      <w:szCs w:val="21"/>
                      <w:highlight w:val="none"/>
                    </w:rPr>
                    <w:t>厚度</w:t>
                  </w:r>
                </w:p>
                <w:p>
                  <w:pPr>
                    <w:adjustRightInd w:val="0"/>
                    <w:snapToGrid w:val="0"/>
                    <w:jc w:val="center"/>
                    <w:rPr>
                      <w:bCs/>
                      <w:color w:val="auto"/>
                      <w:kern w:val="0"/>
                      <w:szCs w:val="21"/>
                      <w:highlight w:val="none"/>
                    </w:rPr>
                  </w:pPr>
                  <w:r>
                    <w:rPr>
                      <w:bCs/>
                      <w:color w:val="auto"/>
                      <w:kern w:val="0"/>
                      <w:szCs w:val="21"/>
                      <w:highlight w:val="none"/>
                    </w:rPr>
                    <w:t>mm</w:t>
                  </w:r>
                </w:p>
              </w:tc>
              <w:tc>
                <w:tcPr>
                  <w:tcW w:w="392" w:type="pct"/>
                  <w:vAlign w:val="center"/>
                </w:tcPr>
                <w:p>
                  <w:pPr>
                    <w:adjustRightInd w:val="0"/>
                    <w:snapToGrid w:val="0"/>
                    <w:jc w:val="center"/>
                    <w:rPr>
                      <w:bCs/>
                      <w:color w:val="auto"/>
                      <w:kern w:val="0"/>
                      <w:szCs w:val="21"/>
                      <w:highlight w:val="none"/>
                    </w:rPr>
                  </w:pPr>
                  <w:r>
                    <w:rPr>
                      <w:bCs/>
                      <w:color w:val="auto"/>
                      <w:kern w:val="0"/>
                      <w:szCs w:val="21"/>
                      <w:highlight w:val="none"/>
                    </w:rPr>
                    <w:t>过流截面积m</w:t>
                  </w:r>
                  <w:r>
                    <w:rPr>
                      <w:bCs/>
                      <w:color w:val="auto"/>
                      <w:kern w:val="0"/>
                      <w:szCs w:val="21"/>
                      <w:highlight w:val="none"/>
                      <w:vertAlign w:val="superscript"/>
                    </w:rPr>
                    <w:t>2</w:t>
                  </w:r>
                </w:p>
              </w:tc>
              <w:tc>
                <w:tcPr>
                  <w:tcW w:w="426" w:type="pct"/>
                  <w:vAlign w:val="center"/>
                </w:tcPr>
                <w:p>
                  <w:pPr>
                    <w:adjustRightInd w:val="0"/>
                    <w:snapToGrid w:val="0"/>
                    <w:jc w:val="center"/>
                    <w:rPr>
                      <w:bCs/>
                      <w:color w:val="auto"/>
                      <w:kern w:val="0"/>
                      <w:szCs w:val="21"/>
                      <w:highlight w:val="none"/>
                    </w:rPr>
                  </w:pPr>
                  <w:r>
                    <w:rPr>
                      <w:bCs/>
                      <w:color w:val="auto"/>
                      <w:kern w:val="0"/>
                      <w:szCs w:val="21"/>
                      <w:highlight w:val="none"/>
                    </w:rPr>
                    <w:t>过滤</w:t>
                  </w:r>
                </w:p>
                <w:p>
                  <w:pPr>
                    <w:adjustRightInd w:val="0"/>
                    <w:snapToGrid w:val="0"/>
                    <w:jc w:val="center"/>
                    <w:rPr>
                      <w:bCs/>
                      <w:color w:val="auto"/>
                      <w:kern w:val="0"/>
                      <w:szCs w:val="21"/>
                      <w:highlight w:val="none"/>
                    </w:rPr>
                  </w:pPr>
                  <w:r>
                    <w:rPr>
                      <w:bCs/>
                      <w:color w:val="auto"/>
                      <w:kern w:val="0"/>
                      <w:szCs w:val="21"/>
                      <w:highlight w:val="none"/>
                    </w:rPr>
                    <w:t>速度</w:t>
                  </w:r>
                </w:p>
                <w:p>
                  <w:pPr>
                    <w:adjustRightInd w:val="0"/>
                    <w:snapToGrid w:val="0"/>
                    <w:jc w:val="center"/>
                    <w:rPr>
                      <w:bCs/>
                      <w:color w:val="auto"/>
                      <w:kern w:val="0"/>
                      <w:szCs w:val="21"/>
                      <w:highlight w:val="none"/>
                    </w:rPr>
                  </w:pPr>
                  <w:r>
                    <w:rPr>
                      <w:bCs/>
                      <w:color w:val="auto"/>
                      <w:kern w:val="0"/>
                      <w:szCs w:val="21"/>
                      <w:highlight w:val="none"/>
                    </w:rPr>
                    <w:t>m/s</w:t>
                  </w:r>
                </w:p>
              </w:tc>
              <w:tc>
                <w:tcPr>
                  <w:tcW w:w="450" w:type="pct"/>
                  <w:vAlign w:val="center"/>
                </w:tcPr>
                <w:p>
                  <w:pPr>
                    <w:adjustRightInd w:val="0"/>
                    <w:snapToGrid w:val="0"/>
                    <w:jc w:val="center"/>
                    <w:rPr>
                      <w:bCs/>
                      <w:color w:val="auto"/>
                      <w:kern w:val="0"/>
                      <w:szCs w:val="21"/>
                      <w:highlight w:val="none"/>
                    </w:rPr>
                  </w:pPr>
                  <w:r>
                    <w:rPr>
                      <w:bCs/>
                      <w:color w:val="auto"/>
                      <w:kern w:val="0"/>
                      <w:szCs w:val="21"/>
                      <w:highlight w:val="none"/>
                    </w:rPr>
                    <w:t>停留</w:t>
                  </w:r>
                </w:p>
                <w:p>
                  <w:pPr>
                    <w:adjustRightInd w:val="0"/>
                    <w:snapToGrid w:val="0"/>
                    <w:jc w:val="center"/>
                    <w:rPr>
                      <w:bCs/>
                      <w:color w:val="auto"/>
                      <w:kern w:val="0"/>
                      <w:szCs w:val="21"/>
                      <w:highlight w:val="none"/>
                    </w:rPr>
                  </w:pPr>
                  <w:r>
                    <w:rPr>
                      <w:bCs/>
                      <w:color w:val="auto"/>
                      <w:kern w:val="0"/>
                      <w:szCs w:val="21"/>
                      <w:highlight w:val="none"/>
                    </w:rPr>
                    <w:t>时间</w:t>
                  </w:r>
                </w:p>
                <w:p>
                  <w:pPr>
                    <w:adjustRightInd w:val="0"/>
                    <w:snapToGrid w:val="0"/>
                    <w:jc w:val="center"/>
                    <w:rPr>
                      <w:bCs/>
                      <w:color w:val="auto"/>
                      <w:kern w:val="0"/>
                      <w:szCs w:val="21"/>
                      <w:highlight w:val="none"/>
                    </w:rPr>
                  </w:pPr>
                  <w:r>
                    <w:rPr>
                      <w:bCs/>
                      <w:color w:val="auto"/>
                      <w:kern w:val="0"/>
                      <w:szCs w:val="21"/>
                      <w:highlight w:val="none"/>
                    </w:rPr>
                    <w:t>s</w:t>
                  </w:r>
                </w:p>
              </w:tc>
              <w:tc>
                <w:tcPr>
                  <w:tcW w:w="462" w:type="pct"/>
                  <w:vAlign w:val="center"/>
                </w:tcPr>
                <w:p>
                  <w:pPr>
                    <w:adjustRightInd w:val="0"/>
                    <w:snapToGrid w:val="0"/>
                    <w:jc w:val="center"/>
                    <w:rPr>
                      <w:bCs/>
                      <w:color w:val="auto"/>
                      <w:kern w:val="0"/>
                      <w:szCs w:val="21"/>
                      <w:highlight w:val="none"/>
                    </w:rPr>
                  </w:pPr>
                  <w:r>
                    <w:rPr>
                      <w:bCs/>
                      <w:color w:val="auto"/>
                      <w:kern w:val="0"/>
                      <w:szCs w:val="21"/>
                      <w:highlight w:val="none"/>
                    </w:rPr>
                    <w:t>废气温度</w:t>
                  </w:r>
                  <w:r>
                    <w:rPr>
                      <w:rFonts w:hint="eastAsia" w:ascii="宋体" w:hAnsi="宋体" w:cs="宋体"/>
                      <w:bCs/>
                      <w:color w:val="auto"/>
                      <w:kern w:val="0"/>
                      <w:szCs w:val="21"/>
                      <w:highlight w:val="none"/>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23" w:hRule="atLeast"/>
                <w:jc w:val="center"/>
              </w:trPr>
              <w:tc>
                <w:tcPr>
                  <w:tcW w:w="732" w:type="pct"/>
                  <w:tcBorders>
                    <w:bottom w:val="single" w:color="auto" w:sz="4" w:space="0"/>
                  </w:tcBorders>
                  <w:vAlign w:val="center"/>
                </w:tcPr>
                <w:p>
                  <w:pPr>
                    <w:adjustRightInd w:val="0"/>
                    <w:snapToGrid w:val="0"/>
                    <w:jc w:val="center"/>
                    <w:rPr>
                      <w:color w:val="auto"/>
                      <w:kern w:val="0"/>
                      <w:szCs w:val="21"/>
                      <w:highlight w:val="none"/>
                    </w:rPr>
                  </w:pPr>
                  <w:r>
                    <w:rPr>
                      <w:rFonts w:hint="eastAsia"/>
                      <w:color w:val="auto"/>
                      <w:spacing w:val="-4"/>
                      <w:szCs w:val="21"/>
                      <w:highlight w:val="none"/>
                    </w:rPr>
                    <w:t>危废库有机废气经活性炭处理装置</w:t>
                  </w:r>
                </w:p>
              </w:tc>
              <w:tc>
                <w:tcPr>
                  <w:tcW w:w="574" w:type="pct"/>
                  <w:tcBorders>
                    <w:bottom w:val="single" w:color="auto" w:sz="4" w:space="0"/>
                  </w:tcBorders>
                  <w:vAlign w:val="center"/>
                </w:tcPr>
                <w:p>
                  <w:pPr>
                    <w:adjustRightInd w:val="0"/>
                    <w:snapToGrid w:val="0"/>
                    <w:jc w:val="center"/>
                    <w:rPr>
                      <w:bCs/>
                      <w:color w:val="auto"/>
                      <w:kern w:val="0"/>
                      <w:szCs w:val="21"/>
                      <w:highlight w:val="none"/>
                    </w:rPr>
                  </w:pPr>
                  <w:r>
                    <w:rPr>
                      <w:rFonts w:hint="eastAsia"/>
                      <w:color w:val="auto"/>
                      <w:spacing w:val="-4"/>
                      <w:szCs w:val="21"/>
                      <w:highlight w:val="none"/>
                    </w:rPr>
                    <w:t>2000</w:t>
                  </w:r>
                </w:p>
              </w:tc>
              <w:tc>
                <w:tcPr>
                  <w:tcW w:w="499" w:type="pct"/>
                  <w:tcBorders>
                    <w:bottom w:val="single" w:color="auto" w:sz="4" w:space="0"/>
                  </w:tcBorders>
                  <w:vAlign w:val="center"/>
                </w:tcPr>
                <w:p>
                  <w:pPr>
                    <w:adjustRightInd w:val="0"/>
                    <w:snapToGrid w:val="0"/>
                    <w:jc w:val="center"/>
                    <w:rPr>
                      <w:bCs/>
                      <w:color w:val="auto"/>
                      <w:kern w:val="0"/>
                      <w:szCs w:val="21"/>
                      <w:highlight w:val="none"/>
                    </w:rPr>
                  </w:pPr>
                  <w:r>
                    <w:rPr>
                      <w:rFonts w:hint="eastAsia"/>
                      <w:bCs/>
                      <w:color w:val="auto"/>
                      <w:kern w:val="0"/>
                      <w:szCs w:val="21"/>
                      <w:highlight w:val="none"/>
                    </w:rPr>
                    <w:t>850</w:t>
                  </w:r>
                </w:p>
              </w:tc>
              <w:tc>
                <w:tcPr>
                  <w:tcW w:w="499" w:type="pct"/>
                  <w:tcBorders>
                    <w:bottom w:val="single" w:color="auto" w:sz="4" w:space="0"/>
                  </w:tcBorders>
                  <w:vAlign w:val="center"/>
                </w:tcPr>
                <w:p>
                  <w:pPr>
                    <w:adjustRightInd w:val="0"/>
                    <w:snapToGrid w:val="0"/>
                    <w:jc w:val="center"/>
                    <w:rPr>
                      <w:bCs/>
                      <w:color w:val="auto"/>
                      <w:kern w:val="0"/>
                      <w:szCs w:val="21"/>
                      <w:highlight w:val="none"/>
                    </w:rPr>
                  </w:pPr>
                  <w:r>
                    <w:rPr>
                      <w:bCs/>
                      <w:color w:val="auto"/>
                      <w:kern w:val="0"/>
                      <w:szCs w:val="21"/>
                      <w:highlight w:val="none"/>
                    </w:rPr>
                    <w:t>800</w:t>
                  </w:r>
                </w:p>
              </w:tc>
              <w:tc>
                <w:tcPr>
                  <w:tcW w:w="498" w:type="pct"/>
                  <w:tcBorders>
                    <w:bottom w:val="single" w:color="auto" w:sz="4" w:space="0"/>
                  </w:tcBorders>
                  <w:vAlign w:val="center"/>
                </w:tcPr>
                <w:p>
                  <w:pPr>
                    <w:widowControl/>
                    <w:jc w:val="center"/>
                    <w:rPr>
                      <w:bCs/>
                      <w:color w:val="auto"/>
                      <w:kern w:val="0"/>
                      <w:szCs w:val="21"/>
                      <w:highlight w:val="none"/>
                    </w:rPr>
                  </w:pPr>
                  <w:r>
                    <w:rPr>
                      <w:rFonts w:hint="eastAsia"/>
                      <w:color w:val="auto"/>
                      <w:kern w:val="0"/>
                      <w:szCs w:val="21"/>
                      <w:highlight w:val="none"/>
                    </w:rPr>
                    <w:t>0.2</w:t>
                  </w:r>
                </w:p>
              </w:tc>
              <w:tc>
                <w:tcPr>
                  <w:tcW w:w="468" w:type="pct"/>
                  <w:tcBorders>
                    <w:bottom w:val="single" w:color="auto" w:sz="4" w:space="0"/>
                  </w:tcBorders>
                  <w:vAlign w:val="center"/>
                </w:tcPr>
                <w:p>
                  <w:pPr>
                    <w:adjustRightInd w:val="0"/>
                    <w:snapToGrid w:val="0"/>
                    <w:jc w:val="center"/>
                    <w:rPr>
                      <w:bCs/>
                      <w:color w:val="auto"/>
                      <w:kern w:val="0"/>
                      <w:szCs w:val="21"/>
                      <w:highlight w:val="none"/>
                    </w:rPr>
                  </w:pPr>
                  <w:r>
                    <w:rPr>
                      <w:rFonts w:hint="eastAsia"/>
                      <w:bCs/>
                      <w:color w:val="auto"/>
                      <w:kern w:val="0"/>
                      <w:szCs w:val="21"/>
                      <w:highlight w:val="none"/>
                    </w:rPr>
                    <w:t>4</w:t>
                  </w:r>
                  <w:r>
                    <w:rPr>
                      <w:bCs/>
                      <w:color w:val="auto"/>
                      <w:kern w:val="0"/>
                      <w:szCs w:val="21"/>
                      <w:highlight w:val="none"/>
                    </w:rPr>
                    <w:t>00</w:t>
                  </w:r>
                </w:p>
              </w:tc>
              <w:tc>
                <w:tcPr>
                  <w:tcW w:w="392" w:type="pct"/>
                  <w:tcBorders>
                    <w:bottom w:val="single" w:color="auto" w:sz="4" w:space="0"/>
                  </w:tcBorders>
                  <w:vAlign w:val="center"/>
                </w:tcPr>
                <w:p>
                  <w:pPr>
                    <w:widowControl/>
                    <w:jc w:val="center"/>
                    <w:rPr>
                      <w:bCs/>
                      <w:color w:val="auto"/>
                      <w:kern w:val="0"/>
                      <w:szCs w:val="21"/>
                      <w:highlight w:val="none"/>
                    </w:rPr>
                  </w:pPr>
                  <w:r>
                    <w:rPr>
                      <w:rFonts w:hint="eastAsia"/>
                      <w:color w:val="auto"/>
                      <w:kern w:val="0"/>
                      <w:szCs w:val="21"/>
                      <w:highlight w:val="none"/>
                    </w:rPr>
                    <w:t>0.8</w:t>
                  </w:r>
                </w:p>
              </w:tc>
              <w:tc>
                <w:tcPr>
                  <w:tcW w:w="426" w:type="pct"/>
                  <w:tcBorders>
                    <w:bottom w:val="single" w:color="auto" w:sz="4" w:space="0"/>
                  </w:tcBorders>
                  <w:vAlign w:val="center"/>
                </w:tcPr>
                <w:p>
                  <w:pPr>
                    <w:adjustRightInd w:val="0"/>
                    <w:snapToGrid w:val="0"/>
                    <w:jc w:val="center"/>
                    <w:rPr>
                      <w:bCs/>
                      <w:color w:val="auto"/>
                      <w:kern w:val="0"/>
                      <w:szCs w:val="21"/>
                      <w:highlight w:val="none"/>
                    </w:rPr>
                  </w:pPr>
                  <w:r>
                    <w:rPr>
                      <w:rFonts w:hint="eastAsia"/>
                      <w:bCs/>
                      <w:color w:val="auto"/>
                      <w:kern w:val="0"/>
                      <w:szCs w:val="21"/>
                      <w:highlight w:val="none"/>
                    </w:rPr>
                    <w:t>1.1</w:t>
                  </w:r>
                </w:p>
              </w:tc>
              <w:tc>
                <w:tcPr>
                  <w:tcW w:w="450" w:type="pct"/>
                  <w:tcBorders>
                    <w:bottom w:val="single" w:color="auto" w:sz="4" w:space="0"/>
                  </w:tcBorders>
                  <w:vAlign w:val="center"/>
                </w:tcPr>
                <w:p>
                  <w:pPr>
                    <w:adjustRightInd w:val="0"/>
                    <w:snapToGrid w:val="0"/>
                    <w:jc w:val="center"/>
                    <w:rPr>
                      <w:bCs/>
                      <w:color w:val="auto"/>
                      <w:kern w:val="0"/>
                      <w:szCs w:val="21"/>
                      <w:highlight w:val="none"/>
                    </w:rPr>
                  </w:pPr>
                  <w:r>
                    <w:rPr>
                      <w:rFonts w:hint="eastAsia"/>
                      <w:bCs/>
                      <w:color w:val="auto"/>
                      <w:kern w:val="0"/>
                      <w:szCs w:val="21"/>
                      <w:highlight w:val="none"/>
                    </w:rPr>
                    <w:t>1</w:t>
                  </w:r>
                </w:p>
              </w:tc>
              <w:tc>
                <w:tcPr>
                  <w:tcW w:w="462" w:type="pct"/>
                  <w:tcBorders>
                    <w:bottom w:val="single" w:color="auto" w:sz="4" w:space="0"/>
                  </w:tcBorders>
                  <w:vAlign w:val="center"/>
                </w:tcPr>
                <w:p>
                  <w:pPr>
                    <w:adjustRightInd w:val="0"/>
                    <w:snapToGrid w:val="0"/>
                    <w:jc w:val="center"/>
                    <w:rPr>
                      <w:bCs/>
                      <w:color w:val="auto"/>
                      <w:kern w:val="0"/>
                      <w:szCs w:val="21"/>
                      <w:highlight w:val="none"/>
                    </w:rPr>
                  </w:pPr>
                  <w:r>
                    <w:rPr>
                      <w:color w:val="auto"/>
                      <w:spacing w:val="-4"/>
                      <w:szCs w:val="21"/>
                      <w:highlight w:val="none"/>
                    </w:rPr>
                    <w:t>25</w:t>
                  </w:r>
                </w:p>
              </w:tc>
            </w:tr>
          </w:tbl>
          <w:p>
            <w:pPr>
              <w:autoSpaceDE w:val="0"/>
              <w:autoSpaceDN w:val="0"/>
              <w:spacing w:line="360" w:lineRule="auto"/>
              <w:ind w:firstLine="480" w:firstLineChars="200"/>
              <w:rPr>
                <w:color w:val="auto"/>
                <w:kern w:val="0"/>
                <w:sz w:val="24"/>
                <w:highlight w:val="none"/>
              </w:rPr>
            </w:pPr>
            <w:r>
              <w:rPr>
                <w:color w:val="auto"/>
                <w:kern w:val="0"/>
                <w:sz w:val="24"/>
                <w:highlight w:val="none"/>
              </w:rPr>
              <w:t>本项目使用活性炭更换下来的废活性炭委托有资质的单位处理。</w:t>
            </w:r>
          </w:p>
          <w:p>
            <w:pPr>
              <w:spacing w:line="360" w:lineRule="auto"/>
              <w:ind w:firstLine="482" w:firstLineChars="200"/>
              <w:rPr>
                <w:color w:val="auto"/>
                <w:sz w:val="24"/>
                <w:highlight w:val="none"/>
              </w:rPr>
            </w:pPr>
            <w:r>
              <w:rPr>
                <w:b/>
                <w:bCs/>
                <w:color w:val="auto"/>
                <w:kern w:val="0"/>
                <w:sz w:val="24"/>
                <w:highlight w:val="none"/>
              </w:rPr>
              <w:t>活性炭更换周期</w:t>
            </w:r>
          </w:p>
          <w:p>
            <w:pPr>
              <w:spacing w:line="360" w:lineRule="auto"/>
              <w:ind w:firstLine="480" w:firstLineChars="200"/>
              <w:rPr>
                <w:color w:val="auto"/>
                <w:sz w:val="24"/>
                <w:highlight w:val="none"/>
              </w:rPr>
            </w:pPr>
            <w:r>
              <w:rPr>
                <w:color w:val="auto"/>
                <w:sz w:val="24"/>
                <w:highlight w:val="none"/>
              </w:rPr>
              <w:t>根据《省生态环境厅关于将排污单位活性炭使用更换纳入排污许可的管理》，活性炭更换周期如下：</w:t>
            </w:r>
          </w:p>
          <w:p>
            <w:pPr>
              <w:spacing w:line="360" w:lineRule="auto"/>
              <w:ind w:firstLine="480" w:firstLineChars="200"/>
              <w:rPr>
                <w:color w:val="auto"/>
                <w:sz w:val="24"/>
                <w:highlight w:val="none"/>
              </w:rPr>
            </w:pPr>
            <w:r>
              <w:rPr>
                <w:color w:val="auto"/>
                <w:sz w:val="24"/>
                <w:highlight w:val="none"/>
              </w:rPr>
              <w:t>T=m×s÷（c×10</w:t>
            </w:r>
            <w:r>
              <w:rPr>
                <w:color w:val="auto"/>
                <w:sz w:val="24"/>
                <w:highlight w:val="none"/>
                <w:vertAlign w:val="superscript"/>
              </w:rPr>
              <w:t>-6</w:t>
            </w:r>
            <w:r>
              <w:rPr>
                <w:color w:val="auto"/>
                <w:sz w:val="24"/>
                <w:highlight w:val="none"/>
              </w:rPr>
              <w:t>×Q×t）</w:t>
            </w:r>
          </w:p>
          <w:p>
            <w:pPr>
              <w:spacing w:line="360" w:lineRule="auto"/>
              <w:ind w:firstLine="480" w:firstLineChars="200"/>
              <w:rPr>
                <w:color w:val="auto"/>
                <w:sz w:val="24"/>
                <w:highlight w:val="none"/>
              </w:rPr>
            </w:pPr>
            <w:r>
              <w:rPr>
                <w:color w:val="auto"/>
                <w:sz w:val="24"/>
                <w:highlight w:val="none"/>
              </w:rPr>
              <w:t>式中：T─活性炭更换周期，天；</w:t>
            </w:r>
          </w:p>
          <w:p>
            <w:pPr>
              <w:spacing w:line="360" w:lineRule="auto"/>
              <w:ind w:firstLine="480" w:firstLineChars="200"/>
              <w:rPr>
                <w:color w:val="auto"/>
                <w:sz w:val="24"/>
                <w:highlight w:val="none"/>
              </w:rPr>
            </w:pPr>
            <w:r>
              <w:rPr>
                <w:color w:val="auto"/>
                <w:sz w:val="24"/>
                <w:highlight w:val="none"/>
              </w:rPr>
              <w:t>m─活性炭的用量，kg；</w:t>
            </w:r>
          </w:p>
          <w:p>
            <w:pPr>
              <w:spacing w:line="360" w:lineRule="auto"/>
              <w:ind w:firstLine="480" w:firstLineChars="200"/>
              <w:rPr>
                <w:color w:val="auto"/>
                <w:sz w:val="24"/>
                <w:highlight w:val="none"/>
              </w:rPr>
            </w:pPr>
            <w:r>
              <w:rPr>
                <w:color w:val="auto"/>
                <w:sz w:val="24"/>
                <w:highlight w:val="none"/>
              </w:rPr>
              <w:t>s─动态吸附量，%（一般取值10%）；</w:t>
            </w:r>
          </w:p>
          <w:p>
            <w:pPr>
              <w:spacing w:line="360" w:lineRule="auto"/>
              <w:ind w:firstLine="480" w:firstLineChars="200"/>
              <w:rPr>
                <w:color w:val="auto"/>
                <w:sz w:val="24"/>
                <w:highlight w:val="none"/>
              </w:rPr>
            </w:pPr>
            <w:r>
              <w:rPr>
                <w:color w:val="auto"/>
                <w:sz w:val="24"/>
                <w:highlight w:val="none"/>
              </w:rPr>
              <w:t>c─活性炭削减的VOCs浓度，mg/m</w:t>
            </w:r>
            <w:r>
              <w:rPr>
                <w:color w:val="auto"/>
                <w:sz w:val="24"/>
                <w:highlight w:val="none"/>
                <w:vertAlign w:val="superscript"/>
              </w:rPr>
              <w:t>3</w:t>
            </w:r>
            <w:r>
              <w:rPr>
                <w:color w:val="auto"/>
                <w:sz w:val="24"/>
                <w:highlight w:val="none"/>
              </w:rPr>
              <w:t>；</w:t>
            </w:r>
          </w:p>
          <w:p>
            <w:pPr>
              <w:spacing w:line="360" w:lineRule="auto"/>
              <w:ind w:firstLine="480" w:firstLineChars="200"/>
              <w:rPr>
                <w:color w:val="auto"/>
                <w:sz w:val="24"/>
                <w:highlight w:val="none"/>
              </w:rPr>
            </w:pPr>
            <w:r>
              <w:rPr>
                <w:color w:val="auto"/>
                <w:sz w:val="24"/>
                <w:highlight w:val="none"/>
              </w:rPr>
              <w:t>Q─风量，m</w:t>
            </w:r>
            <w:r>
              <w:rPr>
                <w:color w:val="auto"/>
                <w:sz w:val="24"/>
                <w:highlight w:val="none"/>
                <w:vertAlign w:val="superscript"/>
              </w:rPr>
              <w:t>3</w:t>
            </w:r>
            <w:r>
              <w:rPr>
                <w:color w:val="auto"/>
                <w:sz w:val="24"/>
                <w:highlight w:val="none"/>
              </w:rPr>
              <w:t>/h</w:t>
            </w:r>
          </w:p>
          <w:p>
            <w:pPr>
              <w:spacing w:line="360" w:lineRule="auto"/>
              <w:ind w:firstLine="480" w:firstLineChars="200"/>
              <w:rPr>
                <w:color w:val="auto"/>
                <w:sz w:val="24"/>
                <w:highlight w:val="none"/>
              </w:rPr>
            </w:pPr>
            <w:r>
              <w:rPr>
                <w:color w:val="auto"/>
                <w:sz w:val="24"/>
                <w:highlight w:val="none"/>
              </w:rPr>
              <w:t>t─运行时间，h/d。</w:t>
            </w:r>
          </w:p>
          <w:p>
            <w:pPr>
              <w:spacing w:line="360" w:lineRule="auto"/>
              <w:jc w:val="center"/>
              <w:rPr>
                <w:b/>
                <w:color w:val="auto"/>
                <w:sz w:val="24"/>
                <w:highlight w:val="none"/>
              </w:rPr>
            </w:pPr>
            <w:r>
              <w:rPr>
                <w:rFonts w:hint="eastAsia"/>
                <w:b/>
                <w:color w:val="auto"/>
                <w:sz w:val="24"/>
                <w:highlight w:val="none"/>
              </w:rPr>
              <w:t>表4-12  活性炭更换周期计算参数一览表</w:t>
            </w:r>
          </w:p>
          <w:tbl>
            <w:tblPr>
              <w:tblStyle w:val="3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63"/>
              <w:gridCol w:w="927"/>
              <w:gridCol w:w="926"/>
              <w:gridCol w:w="926"/>
              <w:gridCol w:w="1399"/>
              <w:gridCol w:w="1032"/>
              <w:gridCol w:w="9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477" w:type="pct"/>
                  <w:shd w:val="clear" w:color="auto" w:fill="auto"/>
                  <w:vAlign w:val="center"/>
                </w:tcPr>
                <w:p>
                  <w:pPr>
                    <w:jc w:val="center"/>
                    <w:rPr>
                      <w:color w:val="auto"/>
                      <w:szCs w:val="21"/>
                      <w:highlight w:val="none"/>
                    </w:rPr>
                  </w:pPr>
                  <w:r>
                    <w:rPr>
                      <w:rFonts w:hint="eastAsia"/>
                      <w:color w:val="auto"/>
                      <w:szCs w:val="21"/>
                      <w:highlight w:val="none"/>
                    </w:rPr>
                    <w:t>废气治理措施</w:t>
                  </w:r>
                </w:p>
              </w:tc>
              <w:tc>
                <w:tcPr>
                  <w:tcW w:w="536" w:type="pct"/>
                  <w:shd w:val="clear" w:color="auto" w:fill="auto"/>
                  <w:vAlign w:val="center"/>
                </w:tcPr>
                <w:p>
                  <w:pPr>
                    <w:jc w:val="center"/>
                    <w:rPr>
                      <w:color w:val="auto"/>
                      <w:szCs w:val="21"/>
                      <w:highlight w:val="none"/>
                    </w:rPr>
                  </w:pPr>
                  <w:r>
                    <w:rPr>
                      <w:rFonts w:hint="eastAsia"/>
                      <w:color w:val="auto"/>
                      <w:szCs w:val="21"/>
                      <w:highlight w:val="none"/>
                    </w:rPr>
                    <w:t>活性炭更换周期（天）</w:t>
                  </w:r>
                </w:p>
              </w:tc>
              <w:tc>
                <w:tcPr>
                  <w:tcW w:w="535" w:type="pct"/>
                  <w:shd w:val="clear" w:color="auto" w:fill="auto"/>
                  <w:vAlign w:val="center"/>
                </w:tcPr>
                <w:p>
                  <w:pPr>
                    <w:jc w:val="center"/>
                    <w:rPr>
                      <w:color w:val="auto"/>
                      <w:szCs w:val="21"/>
                      <w:highlight w:val="none"/>
                    </w:rPr>
                  </w:pPr>
                  <w:r>
                    <w:rPr>
                      <w:rFonts w:hint="eastAsia"/>
                      <w:color w:val="auto"/>
                      <w:szCs w:val="21"/>
                      <w:highlight w:val="none"/>
                    </w:rPr>
                    <w:t>活性炭的用量（kg）</w:t>
                  </w:r>
                </w:p>
              </w:tc>
              <w:tc>
                <w:tcPr>
                  <w:tcW w:w="535" w:type="pct"/>
                  <w:shd w:val="clear" w:color="auto" w:fill="auto"/>
                  <w:vAlign w:val="center"/>
                </w:tcPr>
                <w:p>
                  <w:pPr>
                    <w:jc w:val="center"/>
                    <w:rPr>
                      <w:color w:val="auto"/>
                      <w:szCs w:val="21"/>
                      <w:highlight w:val="none"/>
                    </w:rPr>
                  </w:pPr>
                  <w:r>
                    <w:rPr>
                      <w:rFonts w:hint="eastAsia"/>
                      <w:color w:val="auto"/>
                      <w:szCs w:val="21"/>
                      <w:highlight w:val="none"/>
                    </w:rPr>
                    <w:t>动态吸附量（%）</w:t>
                  </w:r>
                </w:p>
              </w:tc>
              <w:tc>
                <w:tcPr>
                  <w:tcW w:w="807" w:type="pct"/>
                  <w:shd w:val="clear" w:color="auto" w:fill="auto"/>
                  <w:vAlign w:val="center"/>
                </w:tcPr>
                <w:p>
                  <w:pPr>
                    <w:jc w:val="center"/>
                    <w:rPr>
                      <w:color w:val="auto"/>
                      <w:szCs w:val="21"/>
                      <w:highlight w:val="none"/>
                    </w:rPr>
                  </w:pPr>
                  <w:r>
                    <w:rPr>
                      <w:rFonts w:hint="eastAsia"/>
                      <w:color w:val="auto"/>
                      <w:szCs w:val="21"/>
                      <w:highlight w:val="none"/>
                    </w:rPr>
                    <w:t>活性炭削减的VOCs浓度（mg/m</w:t>
                  </w:r>
                  <w:r>
                    <w:rPr>
                      <w:rFonts w:hint="eastAsia"/>
                      <w:color w:val="auto"/>
                      <w:szCs w:val="21"/>
                      <w:highlight w:val="none"/>
                      <w:vertAlign w:val="superscript"/>
                    </w:rPr>
                    <w:t>3</w:t>
                  </w:r>
                  <w:r>
                    <w:rPr>
                      <w:rFonts w:hint="eastAsia"/>
                      <w:color w:val="auto"/>
                      <w:szCs w:val="21"/>
                      <w:highlight w:val="none"/>
                    </w:rPr>
                    <w:t>）</w:t>
                  </w:r>
                </w:p>
              </w:tc>
              <w:tc>
                <w:tcPr>
                  <w:tcW w:w="581" w:type="pct"/>
                  <w:shd w:val="clear" w:color="auto" w:fill="auto"/>
                  <w:vAlign w:val="center"/>
                </w:tcPr>
                <w:p>
                  <w:pPr>
                    <w:jc w:val="center"/>
                    <w:rPr>
                      <w:color w:val="auto"/>
                      <w:szCs w:val="21"/>
                      <w:highlight w:val="none"/>
                    </w:rPr>
                  </w:pPr>
                  <w:r>
                    <w:rPr>
                      <w:rFonts w:hint="eastAsia"/>
                      <w:color w:val="auto"/>
                      <w:szCs w:val="21"/>
                      <w:highlight w:val="none"/>
                    </w:rPr>
                    <w:t>风量（m</w:t>
                  </w:r>
                  <w:r>
                    <w:rPr>
                      <w:rFonts w:hint="eastAsia"/>
                      <w:color w:val="auto"/>
                      <w:szCs w:val="21"/>
                      <w:highlight w:val="none"/>
                      <w:vertAlign w:val="superscript"/>
                    </w:rPr>
                    <w:t>3</w:t>
                  </w:r>
                  <w:r>
                    <w:rPr>
                      <w:rFonts w:hint="eastAsia"/>
                      <w:color w:val="auto"/>
                      <w:szCs w:val="21"/>
                      <w:highlight w:val="none"/>
                    </w:rPr>
                    <w:t>/h）</w:t>
                  </w:r>
                </w:p>
              </w:tc>
              <w:tc>
                <w:tcPr>
                  <w:tcW w:w="529" w:type="pct"/>
                  <w:shd w:val="clear" w:color="auto" w:fill="auto"/>
                  <w:vAlign w:val="center"/>
                </w:tcPr>
                <w:p>
                  <w:pPr>
                    <w:jc w:val="center"/>
                    <w:rPr>
                      <w:color w:val="auto"/>
                      <w:szCs w:val="21"/>
                      <w:highlight w:val="none"/>
                    </w:rPr>
                  </w:pPr>
                  <w:r>
                    <w:rPr>
                      <w:rFonts w:hint="eastAsia"/>
                      <w:color w:val="auto"/>
                      <w:szCs w:val="21"/>
                      <w:highlight w:val="none"/>
                    </w:rPr>
                    <w:t>运行时间（h/d）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477" w:type="pct"/>
                  <w:shd w:val="clear" w:color="auto" w:fill="auto"/>
                  <w:vAlign w:val="center"/>
                </w:tcPr>
                <w:p>
                  <w:pPr>
                    <w:adjustRightInd w:val="0"/>
                    <w:snapToGrid w:val="0"/>
                    <w:jc w:val="center"/>
                    <w:rPr>
                      <w:color w:val="auto"/>
                      <w:kern w:val="0"/>
                      <w:szCs w:val="21"/>
                      <w:highlight w:val="none"/>
                    </w:rPr>
                  </w:pPr>
                  <w:r>
                    <w:rPr>
                      <w:rFonts w:hint="eastAsia"/>
                      <w:color w:val="auto"/>
                      <w:spacing w:val="-4"/>
                      <w:szCs w:val="21"/>
                      <w:highlight w:val="none"/>
                    </w:rPr>
                    <w:t>危废库有机废气经负压收集+活性炭处理+15m高排气筒P3排放</w:t>
                  </w:r>
                </w:p>
              </w:tc>
              <w:tc>
                <w:tcPr>
                  <w:tcW w:w="536" w:type="pct"/>
                  <w:shd w:val="clear" w:color="auto" w:fill="auto"/>
                  <w:vAlign w:val="center"/>
                </w:tcPr>
                <w:p>
                  <w:pPr>
                    <w:jc w:val="center"/>
                    <w:rPr>
                      <w:color w:val="auto"/>
                      <w:szCs w:val="21"/>
                      <w:highlight w:val="none"/>
                    </w:rPr>
                  </w:pPr>
                  <w:r>
                    <w:rPr>
                      <w:rFonts w:hint="eastAsia"/>
                      <w:color w:val="auto"/>
                      <w:szCs w:val="21"/>
                      <w:highlight w:val="none"/>
                    </w:rPr>
                    <w:t>138</w:t>
                  </w:r>
                </w:p>
              </w:tc>
              <w:tc>
                <w:tcPr>
                  <w:tcW w:w="535" w:type="pct"/>
                  <w:shd w:val="clear" w:color="auto" w:fill="auto"/>
                  <w:vAlign w:val="center"/>
                </w:tcPr>
                <w:p>
                  <w:pPr>
                    <w:widowControl/>
                    <w:jc w:val="center"/>
                    <w:rPr>
                      <w:bCs/>
                      <w:color w:val="auto"/>
                      <w:kern w:val="0"/>
                      <w:szCs w:val="21"/>
                      <w:highlight w:val="none"/>
                    </w:rPr>
                  </w:pPr>
                  <w:r>
                    <w:rPr>
                      <w:rFonts w:hint="eastAsia"/>
                      <w:color w:val="auto"/>
                      <w:kern w:val="0"/>
                      <w:szCs w:val="21"/>
                      <w:highlight w:val="none"/>
                    </w:rPr>
                    <w:t>200</w:t>
                  </w:r>
                </w:p>
              </w:tc>
              <w:tc>
                <w:tcPr>
                  <w:tcW w:w="535" w:type="pct"/>
                  <w:shd w:val="clear" w:color="auto" w:fill="auto"/>
                  <w:vAlign w:val="center"/>
                </w:tcPr>
                <w:p>
                  <w:pPr>
                    <w:jc w:val="center"/>
                    <w:rPr>
                      <w:color w:val="auto"/>
                      <w:szCs w:val="21"/>
                      <w:highlight w:val="none"/>
                    </w:rPr>
                  </w:pPr>
                  <w:r>
                    <w:rPr>
                      <w:rFonts w:hint="eastAsia"/>
                      <w:color w:val="auto"/>
                      <w:szCs w:val="21"/>
                      <w:highlight w:val="none"/>
                    </w:rPr>
                    <w:t>10%</w:t>
                  </w:r>
                </w:p>
              </w:tc>
              <w:tc>
                <w:tcPr>
                  <w:tcW w:w="807" w:type="pct"/>
                  <w:shd w:val="clear" w:color="auto" w:fill="auto"/>
                  <w:vAlign w:val="center"/>
                </w:tcPr>
                <w:p>
                  <w:pPr>
                    <w:jc w:val="center"/>
                    <w:rPr>
                      <w:color w:val="auto"/>
                      <w:szCs w:val="21"/>
                      <w:highlight w:val="none"/>
                    </w:rPr>
                  </w:pPr>
                  <w:r>
                    <w:rPr>
                      <w:rFonts w:hint="eastAsia"/>
                      <w:color w:val="auto"/>
                      <w:szCs w:val="21"/>
                      <w:highlight w:val="none"/>
                    </w:rPr>
                    <w:t>3</w:t>
                  </w:r>
                </w:p>
              </w:tc>
              <w:tc>
                <w:tcPr>
                  <w:tcW w:w="581" w:type="pct"/>
                  <w:shd w:val="clear" w:color="auto" w:fill="auto"/>
                  <w:vAlign w:val="center"/>
                </w:tcPr>
                <w:p>
                  <w:pPr>
                    <w:adjustRightInd w:val="0"/>
                    <w:snapToGrid w:val="0"/>
                    <w:jc w:val="center"/>
                    <w:rPr>
                      <w:bCs/>
                      <w:color w:val="auto"/>
                      <w:kern w:val="0"/>
                      <w:szCs w:val="21"/>
                      <w:highlight w:val="none"/>
                    </w:rPr>
                  </w:pPr>
                  <w:r>
                    <w:rPr>
                      <w:rFonts w:hint="eastAsia"/>
                      <w:color w:val="auto"/>
                      <w:spacing w:val="-4"/>
                      <w:szCs w:val="21"/>
                      <w:highlight w:val="none"/>
                    </w:rPr>
                    <w:t>2000</w:t>
                  </w:r>
                </w:p>
              </w:tc>
              <w:tc>
                <w:tcPr>
                  <w:tcW w:w="529" w:type="pct"/>
                  <w:shd w:val="clear" w:color="auto" w:fill="auto"/>
                  <w:vAlign w:val="center"/>
                </w:tcPr>
                <w:p>
                  <w:pPr>
                    <w:jc w:val="center"/>
                    <w:rPr>
                      <w:color w:val="auto"/>
                      <w:szCs w:val="21"/>
                      <w:highlight w:val="none"/>
                    </w:rPr>
                  </w:pPr>
                  <w:r>
                    <w:rPr>
                      <w:rFonts w:hint="eastAsia"/>
                      <w:color w:val="auto"/>
                      <w:szCs w:val="21"/>
                      <w:highlight w:val="none"/>
                    </w:rPr>
                    <w:t>24</w:t>
                  </w:r>
                </w:p>
              </w:tc>
            </w:tr>
          </w:tbl>
          <w:p>
            <w:pPr>
              <w:adjustRightInd w:val="0"/>
              <w:snapToGrid w:val="0"/>
              <w:spacing w:beforeLines="50" w:line="360" w:lineRule="auto"/>
              <w:ind w:firstLine="480" w:firstLineChars="200"/>
              <w:rPr>
                <w:b/>
                <w:bCs/>
                <w:color w:val="auto"/>
                <w:kern w:val="0"/>
                <w:sz w:val="24"/>
                <w:highlight w:val="none"/>
              </w:rPr>
            </w:pPr>
            <w:r>
              <w:rPr>
                <w:color w:val="auto"/>
                <w:kern w:val="0"/>
                <w:sz w:val="24"/>
                <w:highlight w:val="none"/>
              </w:rPr>
              <w:t>根据计算</w:t>
            </w:r>
            <w:r>
              <w:rPr>
                <w:rFonts w:hint="eastAsia"/>
                <w:color w:val="auto"/>
                <w:sz w:val="24"/>
                <w:highlight w:val="none"/>
              </w:rPr>
              <w:t>危废库有机废气</w:t>
            </w:r>
            <w:r>
              <w:rPr>
                <w:color w:val="auto"/>
                <w:sz w:val="24"/>
                <w:highlight w:val="none"/>
              </w:rPr>
              <w:t>处理措施活性炭更换周期</w:t>
            </w:r>
            <w:r>
              <w:rPr>
                <w:rFonts w:hint="eastAsia"/>
                <w:color w:val="auto"/>
                <w:sz w:val="24"/>
                <w:highlight w:val="none"/>
              </w:rPr>
              <w:t>为138</w:t>
            </w:r>
            <w:r>
              <w:rPr>
                <w:color w:val="auto"/>
                <w:sz w:val="24"/>
                <w:highlight w:val="none"/>
              </w:rPr>
              <w:t>天，</w:t>
            </w:r>
            <w:r>
              <w:rPr>
                <w:rFonts w:hint="eastAsia"/>
                <w:color w:val="auto"/>
                <w:sz w:val="24"/>
                <w:highlight w:val="none"/>
              </w:rPr>
              <w:t>根据《省生态环境厅关于深入开展涉VOCs治理重点工作核查的通知》（苏[2022]218号）活性炭吸附装置入户核查基本要求，活性炭更换周期一般不应超过累计运行500小时或3个月，</w:t>
            </w:r>
            <w:r>
              <w:rPr>
                <w:rFonts w:hint="eastAsia"/>
                <w:color w:val="auto"/>
                <w:kern w:val="0"/>
                <w:sz w:val="24"/>
                <w:highlight w:val="none"/>
              </w:rPr>
              <w:t>企业需按照苏[2022]218号执行</w:t>
            </w:r>
            <w:r>
              <w:rPr>
                <w:color w:val="auto"/>
                <w:kern w:val="0"/>
                <w:sz w:val="24"/>
                <w:highlight w:val="none"/>
              </w:rPr>
              <w:t>。</w:t>
            </w:r>
          </w:p>
          <w:p>
            <w:pPr>
              <w:adjustRightInd w:val="0"/>
              <w:snapToGrid w:val="0"/>
              <w:spacing w:line="360" w:lineRule="auto"/>
              <w:ind w:firstLine="482" w:firstLineChars="200"/>
              <w:rPr>
                <w:b/>
                <w:bCs/>
                <w:color w:val="auto"/>
                <w:kern w:val="0"/>
                <w:sz w:val="24"/>
                <w:highlight w:val="none"/>
              </w:rPr>
            </w:pPr>
            <w:r>
              <w:rPr>
                <w:b/>
                <w:bCs/>
                <w:color w:val="auto"/>
                <w:kern w:val="0"/>
                <w:sz w:val="24"/>
                <w:highlight w:val="none"/>
              </w:rPr>
              <w:t>（5）主要大气环境影响</w:t>
            </w:r>
          </w:p>
          <w:p>
            <w:pPr>
              <w:widowControl/>
              <w:spacing w:line="360" w:lineRule="auto"/>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本项目所在区域环境质量现状为不达标区，</w:t>
            </w:r>
            <w:r>
              <w:rPr>
                <w:color w:val="auto"/>
                <w:sz w:val="24"/>
                <w:highlight w:val="none"/>
              </w:rPr>
              <w:t>厂区北250</w:t>
            </w:r>
            <w:r>
              <w:rPr>
                <w:rFonts w:hint="eastAsia"/>
                <w:color w:val="auto"/>
                <w:sz w:val="24"/>
                <w:highlight w:val="none"/>
              </w:rPr>
              <w:t>m</w:t>
            </w:r>
            <w:r>
              <w:rPr>
                <w:color w:val="auto"/>
                <w:sz w:val="24"/>
                <w:highlight w:val="none"/>
              </w:rPr>
              <w:t>科嘉花园居民区</w:t>
            </w:r>
            <w:r>
              <w:rPr>
                <w:rFonts w:hint="eastAsia" w:ascii="宋体" w:hAnsi="宋体" w:cs="宋体"/>
                <w:color w:val="auto"/>
                <w:kern w:val="0"/>
                <w:sz w:val="24"/>
                <w:highlight w:val="none"/>
              </w:rPr>
              <w:t>，</w:t>
            </w:r>
            <w:r>
              <w:rPr>
                <w:color w:val="auto"/>
                <w:sz w:val="24"/>
                <w:highlight w:val="none"/>
              </w:rPr>
              <w:t>废气治理措施可行，废气污染物可达标排放，总量按照江宁区要求落实，总体上对评价区域环境影响较小。从大气环境保护的角度来讲，项目建设可行。</w:t>
            </w:r>
          </w:p>
          <w:p>
            <w:pPr>
              <w:pStyle w:val="2"/>
              <w:numPr>
                <w:ilvl w:val="0"/>
                <w:numId w:val="12"/>
              </w:numPr>
              <w:spacing w:line="360" w:lineRule="auto"/>
              <w:rPr>
                <w:b/>
                <w:bCs/>
                <w:color w:val="auto"/>
                <w:sz w:val="24"/>
                <w:szCs w:val="24"/>
                <w:highlight w:val="none"/>
              </w:rPr>
            </w:pPr>
            <w:r>
              <w:rPr>
                <w:b/>
                <w:bCs/>
                <w:color w:val="auto"/>
                <w:sz w:val="24"/>
                <w:szCs w:val="24"/>
                <w:highlight w:val="none"/>
              </w:rPr>
              <w:t>废水</w:t>
            </w:r>
          </w:p>
          <w:p>
            <w:pPr>
              <w:adjustRightInd w:val="0"/>
              <w:snapToGrid w:val="0"/>
              <w:spacing w:line="360" w:lineRule="auto"/>
              <w:ind w:firstLine="482" w:firstLineChars="200"/>
              <w:rPr>
                <w:b/>
                <w:color w:val="auto"/>
                <w:sz w:val="24"/>
                <w:highlight w:val="none"/>
              </w:rPr>
            </w:pPr>
            <w:r>
              <w:rPr>
                <w:b/>
                <w:color w:val="auto"/>
                <w:sz w:val="24"/>
                <w:highlight w:val="none"/>
              </w:rPr>
              <w:t>（1）废水产生情况</w:t>
            </w:r>
          </w:p>
          <w:p>
            <w:pPr>
              <w:adjustRightInd w:val="0"/>
              <w:snapToGrid w:val="0"/>
              <w:spacing w:line="360" w:lineRule="auto"/>
              <w:ind w:firstLine="480" w:firstLineChars="200"/>
              <w:rPr>
                <w:color w:val="auto"/>
                <w:sz w:val="24"/>
                <w:highlight w:val="none"/>
              </w:rPr>
            </w:pPr>
            <w:r>
              <w:rPr>
                <w:color w:val="auto"/>
                <w:sz w:val="24"/>
                <w:highlight w:val="none"/>
              </w:rPr>
              <w:t>本项目无新增生活废水。</w:t>
            </w:r>
          </w:p>
          <w:p>
            <w:pPr>
              <w:tabs>
                <w:tab w:val="left" w:pos="3556"/>
              </w:tabs>
              <w:spacing w:line="360" w:lineRule="auto"/>
              <w:ind w:firstLine="480" w:firstLineChars="200"/>
              <w:rPr>
                <w:color w:val="auto"/>
                <w:sz w:val="24"/>
                <w:highlight w:val="none"/>
              </w:rPr>
            </w:pPr>
            <w:r>
              <w:rPr>
                <w:color w:val="auto"/>
                <w:sz w:val="24"/>
                <w:highlight w:val="none"/>
              </w:rPr>
              <w:t>本项目酸碱清洗废水、废气处理喷淋排水依托现有项目酸碱废水处理装置处理后同自来水和要纯水冲洗、纯水制备排放浓水、循环水排水排入江宁经济技术</w:t>
            </w:r>
            <w:r>
              <w:rPr>
                <w:rFonts w:hint="eastAsia"/>
                <w:color w:val="auto"/>
                <w:sz w:val="24"/>
                <w:highlight w:val="none"/>
              </w:rPr>
              <w:t>开</w:t>
            </w:r>
            <w:r>
              <w:rPr>
                <w:color w:val="auto"/>
                <w:sz w:val="24"/>
                <w:highlight w:val="none"/>
              </w:rPr>
              <w:t>发区污水处理厂，尾水排入秦淮新河。</w:t>
            </w:r>
          </w:p>
          <w:p>
            <w:pPr>
              <w:tabs>
                <w:tab w:val="left" w:pos="3556"/>
              </w:tabs>
              <w:spacing w:line="360" w:lineRule="auto"/>
              <w:ind w:firstLine="480" w:firstLineChars="200"/>
              <w:rPr>
                <w:color w:val="auto"/>
                <w:sz w:val="24"/>
                <w:highlight w:val="none"/>
              </w:rPr>
            </w:pPr>
            <w:r>
              <w:rPr>
                <w:color w:val="auto"/>
                <w:sz w:val="24"/>
                <w:highlight w:val="none"/>
              </w:rPr>
              <w:t>零部件处理需要酸碱洗，排放酸碱废水361.2t/a，源强参照现有20英寸光电倍增管生产线项目，pH2-12、COD500mg/L、SS400mg/L、氨氮8mg/L、总磷</w:t>
            </w:r>
            <w:r>
              <w:rPr>
                <w:rFonts w:hint="eastAsia"/>
                <w:color w:val="auto"/>
                <w:sz w:val="24"/>
                <w:highlight w:val="none"/>
              </w:rPr>
              <w:t>5.5</w:t>
            </w:r>
            <w:r>
              <w:rPr>
                <w:color w:val="auto"/>
                <w:sz w:val="24"/>
                <w:highlight w:val="none"/>
              </w:rPr>
              <w:t>mg/L。</w:t>
            </w:r>
          </w:p>
          <w:p>
            <w:pPr>
              <w:tabs>
                <w:tab w:val="left" w:pos="3556"/>
              </w:tabs>
              <w:spacing w:line="360" w:lineRule="auto"/>
              <w:ind w:firstLine="480" w:firstLineChars="200"/>
              <w:rPr>
                <w:color w:val="auto"/>
                <w:sz w:val="24"/>
                <w:highlight w:val="none"/>
              </w:rPr>
            </w:pPr>
            <w:r>
              <w:rPr>
                <w:color w:val="auto"/>
                <w:sz w:val="24"/>
                <w:highlight w:val="none"/>
              </w:rPr>
              <w:t>废气处理喷淋排水30t/a，源强参照现有20英寸光电倍增管生产线项目，pH2-12、COD500mg/</w:t>
            </w:r>
            <w:r>
              <w:rPr>
                <w:rFonts w:hint="eastAsia"/>
                <w:color w:val="auto"/>
                <w:sz w:val="24"/>
                <w:highlight w:val="none"/>
              </w:rPr>
              <w:t>L</w:t>
            </w:r>
            <w:r>
              <w:rPr>
                <w:color w:val="auto"/>
                <w:sz w:val="24"/>
                <w:highlight w:val="none"/>
              </w:rPr>
              <w:t>、SS400mg/</w:t>
            </w:r>
            <w:r>
              <w:rPr>
                <w:rFonts w:hint="eastAsia"/>
                <w:color w:val="auto"/>
                <w:sz w:val="24"/>
                <w:highlight w:val="none"/>
              </w:rPr>
              <w:t>L</w:t>
            </w:r>
            <w:r>
              <w:rPr>
                <w:color w:val="auto"/>
                <w:sz w:val="24"/>
                <w:highlight w:val="none"/>
              </w:rPr>
              <w:t>。</w:t>
            </w:r>
          </w:p>
          <w:p>
            <w:pPr>
              <w:tabs>
                <w:tab w:val="left" w:pos="3556"/>
              </w:tabs>
              <w:spacing w:line="360" w:lineRule="auto"/>
              <w:ind w:firstLine="480" w:firstLineChars="200"/>
              <w:rPr>
                <w:color w:val="auto"/>
                <w:sz w:val="24"/>
                <w:highlight w:val="none"/>
              </w:rPr>
            </w:pPr>
            <w:r>
              <w:rPr>
                <w:color w:val="auto"/>
                <w:sz w:val="24"/>
                <w:highlight w:val="none"/>
              </w:rPr>
              <w:t>零部件经过</w:t>
            </w:r>
            <w:r>
              <w:rPr>
                <w:rFonts w:hint="eastAsia"/>
                <w:color w:val="auto"/>
                <w:sz w:val="24"/>
                <w:highlight w:val="none"/>
                <w:lang w:eastAsia="zh-CN"/>
              </w:rPr>
              <w:t>冲</w:t>
            </w:r>
            <w:r>
              <w:rPr>
                <w:color w:val="auto"/>
                <w:sz w:val="24"/>
                <w:highlight w:val="none"/>
              </w:rPr>
              <w:t>洗后需要800t/a自来水</w:t>
            </w:r>
            <w:r>
              <w:rPr>
                <w:rFonts w:hint="eastAsia"/>
                <w:color w:val="auto"/>
                <w:sz w:val="24"/>
                <w:highlight w:val="none"/>
              </w:rPr>
              <w:t>1500</w:t>
            </w:r>
            <w:r>
              <w:rPr>
                <w:color w:val="auto"/>
                <w:sz w:val="24"/>
                <w:highlight w:val="none"/>
              </w:rPr>
              <w:t>t/a</w:t>
            </w:r>
            <w:r>
              <w:rPr>
                <w:rFonts w:hint="eastAsia"/>
                <w:color w:val="auto"/>
                <w:sz w:val="24"/>
                <w:highlight w:val="none"/>
              </w:rPr>
              <w:t>纯水</w:t>
            </w:r>
            <w:r>
              <w:rPr>
                <w:color w:val="auto"/>
                <w:sz w:val="24"/>
                <w:highlight w:val="none"/>
              </w:rPr>
              <w:t>冲洗，排放废水</w:t>
            </w:r>
            <w:r>
              <w:rPr>
                <w:rFonts w:hint="eastAsia"/>
                <w:color w:val="auto"/>
                <w:sz w:val="24"/>
                <w:highlight w:val="none"/>
              </w:rPr>
              <w:t>1840</w:t>
            </w:r>
            <w:r>
              <w:rPr>
                <w:color w:val="auto"/>
                <w:sz w:val="24"/>
                <w:highlight w:val="none"/>
              </w:rPr>
              <w:t>t/a</w:t>
            </w:r>
            <w:r>
              <w:rPr>
                <w:rFonts w:hint="eastAsia"/>
                <w:color w:val="auto"/>
                <w:sz w:val="24"/>
                <w:highlight w:val="none"/>
              </w:rPr>
              <w:t>，</w:t>
            </w:r>
            <w:r>
              <w:rPr>
                <w:color w:val="auto"/>
                <w:sz w:val="24"/>
                <w:highlight w:val="none"/>
              </w:rPr>
              <w:t>源强参照现有20英寸光电倍增管生产线项目，COD50mg/</w:t>
            </w:r>
            <w:r>
              <w:rPr>
                <w:rFonts w:hint="eastAsia"/>
                <w:color w:val="auto"/>
                <w:sz w:val="24"/>
                <w:highlight w:val="none"/>
              </w:rPr>
              <w:t>L</w:t>
            </w:r>
            <w:r>
              <w:rPr>
                <w:color w:val="auto"/>
                <w:sz w:val="24"/>
                <w:highlight w:val="none"/>
              </w:rPr>
              <w:t>、SS30mg/</w:t>
            </w:r>
            <w:r>
              <w:rPr>
                <w:rFonts w:hint="eastAsia"/>
                <w:color w:val="auto"/>
                <w:sz w:val="24"/>
                <w:highlight w:val="none"/>
              </w:rPr>
              <w:t>L</w:t>
            </w:r>
            <w:r>
              <w:rPr>
                <w:color w:val="auto"/>
                <w:sz w:val="24"/>
                <w:highlight w:val="none"/>
              </w:rPr>
              <w:t>。</w:t>
            </w:r>
          </w:p>
          <w:p>
            <w:pPr>
              <w:tabs>
                <w:tab w:val="left" w:pos="3556"/>
              </w:tabs>
              <w:spacing w:line="360" w:lineRule="auto"/>
              <w:ind w:firstLine="480" w:firstLineChars="200"/>
              <w:rPr>
                <w:color w:val="auto"/>
                <w:sz w:val="24"/>
                <w:highlight w:val="none"/>
              </w:rPr>
            </w:pPr>
            <w:r>
              <w:rPr>
                <w:color w:val="auto"/>
                <w:sz w:val="24"/>
                <w:highlight w:val="none"/>
              </w:rPr>
              <w:t>纯水制备排放浓水1000t/a，源强参照现有20英寸光电倍增管生产线项目，</w:t>
            </w:r>
            <w:r>
              <w:rPr>
                <w:rFonts w:hint="eastAsia"/>
                <w:color w:val="auto"/>
                <w:sz w:val="24"/>
                <w:highlight w:val="none"/>
              </w:rPr>
              <w:t>全盐量COD40</w:t>
            </w:r>
            <w:r>
              <w:rPr>
                <w:color w:val="auto"/>
                <w:sz w:val="24"/>
                <w:highlight w:val="none"/>
              </w:rPr>
              <w:t>mg/</w:t>
            </w:r>
            <w:r>
              <w:rPr>
                <w:rFonts w:hint="eastAsia"/>
                <w:color w:val="auto"/>
                <w:sz w:val="24"/>
                <w:highlight w:val="none"/>
              </w:rPr>
              <w:t>L、全盐量600</w:t>
            </w:r>
            <w:r>
              <w:rPr>
                <w:color w:val="auto"/>
                <w:sz w:val="24"/>
                <w:highlight w:val="none"/>
              </w:rPr>
              <w:t>mg/</w:t>
            </w:r>
            <w:r>
              <w:rPr>
                <w:rFonts w:hint="eastAsia"/>
                <w:color w:val="auto"/>
                <w:sz w:val="24"/>
                <w:highlight w:val="none"/>
              </w:rPr>
              <w:t>L、SS250</w:t>
            </w:r>
            <w:r>
              <w:rPr>
                <w:color w:val="auto"/>
                <w:sz w:val="24"/>
                <w:highlight w:val="none"/>
              </w:rPr>
              <w:t>mg/</w:t>
            </w:r>
            <w:r>
              <w:rPr>
                <w:rFonts w:hint="eastAsia"/>
                <w:color w:val="auto"/>
                <w:sz w:val="24"/>
                <w:highlight w:val="none"/>
              </w:rPr>
              <w:t>L</w:t>
            </w:r>
            <w:r>
              <w:rPr>
                <w:color w:val="auto"/>
                <w:sz w:val="24"/>
                <w:highlight w:val="none"/>
              </w:rPr>
              <w:t>。</w:t>
            </w:r>
          </w:p>
          <w:p>
            <w:pPr>
              <w:tabs>
                <w:tab w:val="left" w:pos="3556"/>
              </w:tabs>
              <w:spacing w:line="360" w:lineRule="auto"/>
              <w:ind w:firstLine="480" w:firstLineChars="200"/>
              <w:rPr>
                <w:color w:val="auto"/>
                <w:sz w:val="24"/>
                <w:highlight w:val="none"/>
              </w:rPr>
            </w:pPr>
            <w:r>
              <w:rPr>
                <w:color w:val="auto"/>
                <w:sz w:val="24"/>
                <w:highlight w:val="none"/>
              </w:rPr>
              <w:t>零部件清洗机，热蒸发镀膜机设备、自动排气台循环冷却循环水量为8t/h，冷却塔循环水量为19200t</w:t>
            </w:r>
            <w:r>
              <w:rPr>
                <w:rFonts w:hint="eastAsia"/>
                <w:color w:val="auto"/>
                <w:sz w:val="24"/>
                <w:highlight w:val="none"/>
              </w:rPr>
              <w:t>/a</w:t>
            </w:r>
            <w:r>
              <w:rPr>
                <w:color w:val="auto"/>
                <w:sz w:val="24"/>
                <w:highlight w:val="none"/>
              </w:rPr>
              <w:t>，循环水补充水量为192t/a，排水量78t/a，源强参照现有20英寸光电倍增管生产线项目，COD170mg/</w:t>
            </w:r>
            <w:r>
              <w:rPr>
                <w:rFonts w:hint="eastAsia"/>
                <w:color w:val="auto"/>
                <w:sz w:val="24"/>
                <w:highlight w:val="none"/>
              </w:rPr>
              <w:t>L</w:t>
            </w:r>
            <w:r>
              <w:rPr>
                <w:color w:val="auto"/>
                <w:sz w:val="24"/>
                <w:highlight w:val="none"/>
              </w:rPr>
              <w:t>、SS150mg/</w:t>
            </w:r>
            <w:r>
              <w:rPr>
                <w:rFonts w:hint="eastAsia"/>
                <w:color w:val="auto"/>
                <w:sz w:val="24"/>
                <w:highlight w:val="none"/>
              </w:rPr>
              <w:t>L</w:t>
            </w:r>
            <w:r>
              <w:rPr>
                <w:color w:val="auto"/>
                <w:sz w:val="24"/>
                <w:highlight w:val="none"/>
              </w:rPr>
              <w:t>。</w:t>
            </w:r>
          </w:p>
          <w:p>
            <w:pPr>
              <w:tabs>
                <w:tab w:val="left" w:pos="3556"/>
              </w:tabs>
              <w:spacing w:line="360" w:lineRule="auto"/>
              <w:ind w:firstLine="480" w:firstLineChars="200"/>
              <w:rPr>
                <w:color w:val="auto"/>
                <w:sz w:val="24"/>
                <w:highlight w:val="none"/>
              </w:rPr>
            </w:pPr>
            <w:r>
              <w:rPr>
                <w:color w:val="auto"/>
                <w:sz w:val="24"/>
                <w:highlight w:val="none"/>
              </w:rPr>
              <w:t>详见图4-</w:t>
            </w:r>
            <w:r>
              <w:rPr>
                <w:rFonts w:hint="eastAsia"/>
                <w:color w:val="auto"/>
                <w:sz w:val="24"/>
                <w:highlight w:val="none"/>
              </w:rPr>
              <w:t>4</w:t>
            </w:r>
            <w:r>
              <w:rPr>
                <w:color w:val="auto"/>
                <w:sz w:val="24"/>
                <w:highlight w:val="none"/>
              </w:rPr>
              <w:t>本项目水平衡图，废水污染源源强核算结果及相关参数见表4-1</w:t>
            </w:r>
            <w:r>
              <w:rPr>
                <w:rFonts w:hint="eastAsia"/>
                <w:color w:val="auto"/>
                <w:sz w:val="24"/>
                <w:highlight w:val="none"/>
              </w:rPr>
              <w:t>3</w:t>
            </w:r>
            <w:r>
              <w:rPr>
                <w:color w:val="auto"/>
                <w:sz w:val="24"/>
                <w:highlight w:val="none"/>
              </w:rPr>
              <w:t>。</w:t>
            </w:r>
          </w:p>
          <w:p>
            <w:pPr>
              <w:pStyle w:val="6"/>
              <w:jc w:val="center"/>
              <w:rPr>
                <w:rFonts w:ascii="Times New Roman" w:hAnsi="Times New Roman"/>
                <w:color w:val="auto"/>
                <w:highlight w:val="none"/>
              </w:rPr>
            </w:pPr>
            <w:r>
              <w:rPr>
                <w:rFonts w:ascii="Times New Roman" w:hAnsi="Times New Roman"/>
                <w:color w:val="auto"/>
                <w:highlight w:val="none"/>
              </w:rPr>
              <w:object>
                <v:shape id="_x0000_i1028" o:spt="75" type="#_x0000_t75" style="height:356.65pt;width:454pt;" o:ole="t" filled="f" o:preferrelative="t" stroked="f" coordsize="21600,21600">
                  <v:path/>
                  <v:fill on="f" focussize="0,0"/>
                  <v:stroke on="f" joinstyle="miter"/>
                  <v:imagedata r:id="rId18" o:title=""/>
                  <o:lock v:ext="edit" aspectratio="f"/>
                  <w10:wrap type="none"/>
                  <w10:anchorlock/>
                </v:shape>
                <o:OLEObject Type="Embed" ProgID="Visio.Drawing.11" ShapeID="_x0000_i1028" DrawAspect="Content" ObjectID="_1468075728" r:id="rId17">
                  <o:LockedField>false</o:LockedField>
                </o:OLEObject>
              </w:object>
            </w:r>
          </w:p>
          <w:p>
            <w:pPr>
              <w:pStyle w:val="3"/>
              <w:ind w:left="-525" w:leftChars="-250"/>
              <w:rPr>
                <w:b/>
                <w:color w:val="auto"/>
                <w:sz w:val="24"/>
                <w:szCs w:val="24"/>
                <w:highlight w:val="none"/>
              </w:rPr>
            </w:pPr>
            <w:r>
              <w:rPr>
                <w:b/>
                <w:color w:val="auto"/>
                <w:sz w:val="24"/>
                <w:szCs w:val="24"/>
                <w:highlight w:val="none"/>
              </w:rPr>
              <w:t>图4-4  本项目水平衡图（t/a）</w:t>
            </w:r>
          </w:p>
          <w:p>
            <w:pPr>
              <w:rPr>
                <w:b/>
                <w:color w:val="auto"/>
                <w:sz w:val="24"/>
                <w:highlight w:val="none"/>
              </w:rPr>
            </w:pPr>
          </w:p>
          <w:p>
            <w:pPr>
              <w:rPr>
                <w:b/>
                <w:color w:val="auto"/>
                <w:sz w:val="24"/>
                <w:highlight w:val="none"/>
              </w:rPr>
            </w:pPr>
          </w:p>
          <w:p>
            <w:pPr>
              <w:widowControl/>
              <w:spacing w:beforeLines="50" w:line="360" w:lineRule="auto"/>
              <w:rPr>
                <w:b/>
                <w:color w:val="auto"/>
                <w:kern w:val="0"/>
                <w:sz w:val="24"/>
                <w:highlight w:val="none"/>
              </w:rPr>
            </w:pPr>
            <w:r>
              <w:rPr>
                <w:b/>
                <w:bCs/>
                <w:color w:val="auto"/>
                <w:sz w:val="24"/>
                <w:highlight w:val="none"/>
                <w:lang w:val="zh-CN"/>
              </w:rPr>
              <w:object>
                <v:shape id="_x0000_i1029" o:spt="75" type="#_x0000_t75" style="height:510pt;width:421.35pt;" o:ole="t" filled="f" o:preferrelative="t" stroked="f" coordsize="21600,21600">
                  <v:path/>
                  <v:fill on="f" focussize="0,0"/>
                  <v:stroke on="f" joinstyle="miter"/>
                  <v:imagedata r:id="rId20" o:title=""/>
                  <o:lock v:ext="edit" aspectratio="f"/>
                  <w10:wrap type="none"/>
                  <w10:anchorlock/>
                </v:shape>
                <o:OLEObject Type="Embed" ProgID="Visio.Drawing.11" ShapeID="_x0000_i1029" DrawAspect="Content" ObjectID="_1468075729" r:id="rId19">
                  <o:LockedField>false</o:LockedField>
                </o:OLEObject>
              </w:object>
            </w:r>
          </w:p>
          <w:p>
            <w:pPr>
              <w:pStyle w:val="3"/>
              <w:ind w:left="-525" w:leftChars="-250"/>
              <w:rPr>
                <w:b/>
                <w:color w:val="auto"/>
                <w:sz w:val="24"/>
                <w:szCs w:val="24"/>
                <w:highlight w:val="none"/>
              </w:rPr>
            </w:pPr>
            <w:r>
              <w:rPr>
                <w:b/>
                <w:color w:val="auto"/>
                <w:sz w:val="24"/>
                <w:szCs w:val="24"/>
                <w:highlight w:val="none"/>
              </w:rPr>
              <w:t>图4-5  项目建成全厂水平衡图（t/a）</w:t>
            </w:r>
          </w:p>
          <w:p>
            <w:pPr>
              <w:widowControl/>
              <w:spacing w:beforeLines="50" w:line="360" w:lineRule="auto"/>
              <w:jc w:val="center"/>
              <w:rPr>
                <w:b/>
                <w:color w:val="auto"/>
                <w:kern w:val="0"/>
                <w:sz w:val="24"/>
                <w:highlight w:val="none"/>
              </w:rPr>
            </w:pPr>
          </w:p>
          <w:p>
            <w:pPr>
              <w:widowControl/>
              <w:spacing w:beforeLines="50" w:line="360" w:lineRule="auto"/>
              <w:jc w:val="center"/>
              <w:rPr>
                <w:b/>
                <w:color w:val="auto"/>
                <w:kern w:val="0"/>
                <w:sz w:val="24"/>
                <w:highlight w:val="none"/>
              </w:rPr>
            </w:pPr>
          </w:p>
          <w:p>
            <w:pPr>
              <w:widowControl/>
              <w:spacing w:beforeLines="50" w:line="360" w:lineRule="auto"/>
              <w:jc w:val="center"/>
              <w:rPr>
                <w:b/>
                <w:color w:val="auto"/>
                <w:kern w:val="0"/>
                <w:sz w:val="24"/>
                <w:highlight w:val="none"/>
              </w:rPr>
            </w:pPr>
          </w:p>
          <w:p>
            <w:pPr>
              <w:widowControl/>
              <w:spacing w:beforeLines="50" w:line="360" w:lineRule="auto"/>
              <w:jc w:val="center"/>
              <w:rPr>
                <w:b/>
                <w:color w:val="auto"/>
                <w:kern w:val="0"/>
                <w:sz w:val="24"/>
                <w:highlight w:val="none"/>
              </w:rPr>
            </w:pPr>
          </w:p>
          <w:p>
            <w:pPr>
              <w:widowControl/>
              <w:spacing w:beforeLines="50" w:line="360" w:lineRule="auto"/>
              <w:jc w:val="center"/>
              <w:rPr>
                <w:b/>
                <w:color w:val="auto"/>
                <w:kern w:val="0"/>
                <w:sz w:val="24"/>
                <w:highlight w:val="none"/>
              </w:rPr>
            </w:pPr>
          </w:p>
          <w:p>
            <w:pPr>
              <w:widowControl/>
              <w:spacing w:beforeLines="50" w:line="360" w:lineRule="auto"/>
              <w:jc w:val="center"/>
              <w:rPr>
                <w:b/>
                <w:color w:val="auto"/>
                <w:kern w:val="0"/>
                <w:sz w:val="24"/>
                <w:highlight w:val="none"/>
              </w:rPr>
            </w:pPr>
            <w:r>
              <w:rPr>
                <w:b/>
                <w:color w:val="auto"/>
                <w:kern w:val="0"/>
                <w:sz w:val="24"/>
                <w:highlight w:val="none"/>
              </w:rPr>
              <w:t>表4-1</w:t>
            </w:r>
            <w:r>
              <w:rPr>
                <w:rFonts w:hint="eastAsia"/>
                <w:b/>
                <w:color w:val="auto"/>
                <w:kern w:val="0"/>
                <w:sz w:val="24"/>
                <w:highlight w:val="none"/>
              </w:rPr>
              <w:t>3</w:t>
            </w:r>
            <w:r>
              <w:rPr>
                <w:b/>
                <w:color w:val="auto"/>
                <w:kern w:val="0"/>
                <w:sz w:val="24"/>
                <w:highlight w:val="none"/>
              </w:rPr>
              <w:t xml:space="preserve">  废水污染源源强核算结果及相关参数一览表</w:t>
            </w:r>
          </w:p>
          <w:tbl>
            <w:tblPr>
              <w:tblStyle w:val="3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36"/>
              <w:gridCol w:w="829"/>
              <w:gridCol w:w="876"/>
              <w:gridCol w:w="812"/>
              <w:gridCol w:w="1106"/>
              <w:gridCol w:w="527"/>
              <w:gridCol w:w="683"/>
              <w:gridCol w:w="763"/>
              <w:gridCol w:w="822"/>
              <w:gridCol w:w="12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596" w:type="pct"/>
                  <w:vMerge w:val="restart"/>
                  <w:tcBorders>
                    <w:top w:val="single" w:color="auto" w:sz="4" w:space="0"/>
                    <w:left w:val="single" w:color="auto" w:sz="4" w:space="0"/>
                    <w:bottom w:val="single" w:color="auto" w:sz="4" w:space="0"/>
                    <w:right w:val="single" w:color="auto" w:sz="4" w:space="0"/>
                  </w:tcBorders>
                  <w:vAlign w:val="center"/>
                </w:tcPr>
                <w:p>
                  <w:pPr>
                    <w:widowControl/>
                    <w:jc w:val="center"/>
                    <w:rPr>
                      <w:color w:val="auto"/>
                      <w:kern w:val="0"/>
                      <w:highlight w:val="none"/>
                    </w:rPr>
                  </w:pPr>
                  <w:r>
                    <w:rPr>
                      <w:color w:val="auto"/>
                      <w:kern w:val="0"/>
                      <w:szCs w:val="21"/>
                      <w:highlight w:val="none"/>
                    </w:rPr>
                    <w:t>种类</w:t>
                  </w:r>
                </w:p>
              </w:tc>
              <w:tc>
                <w:tcPr>
                  <w:tcW w:w="477" w:type="pct"/>
                  <w:vMerge w:val="restart"/>
                  <w:tcBorders>
                    <w:top w:val="single" w:color="auto" w:sz="4" w:space="0"/>
                    <w:left w:val="single" w:color="auto" w:sz="4" w:space="0"/>
                    <w:bottom w:val="single" w:color="auto" w:sz="4" w:space="0"/>
                    <w:right w:val="single" w:color="auto" w:sz="4" w:space="0"/>
                  </w:tcBorders>
                  <w:vAlign w:val="center"/>
                </w:tcPr>
                <w:p>
                  <w:pPr>
                    <w:widowControl/>
                    <w:jc w:val="center"/>
                    <w:rPr>
                      <w:color w:val="auto"/>
                      <w:kern w:val="0"/>
                      <w:highlight w:val="none"/>
                    </w:rPr>
                  </w:pPr>
                  <w:r>
                    <w:rPr>
                      <w:color w:val="auto"/>
                      <w:kern w:val="0"/>
                      <w:szCs w:val="21"/>
                      <w:highlight w:val="none"/>
                    </w:rPr>
                    <w:t>污染物名称</w:t>
                  </w:r>
                </w:p>
              </w:tc>
              <w:tc>
                <w:tcPr>
                  <w:tcW w:w="1607" w:type="pct"/>
                  <w:gridSpan w:val="3"/>
                  <w:tcBorders>
                    <w:top w:val="single" w:color="auto" w:sz="4" w:space="0"/>
                    <w:left w:val="single" w:color="auto" w:sz="4" w:space="0"/>
                    <w:bottom w:val="single" w:color="auto" w:sz="4" w:space="0"/>
                    <w:right w:val="single" w:color="auto" w:sz="4" w:space="0"/>
                  </w:tcBorders>
                  <w:vAlign w:val="center"/>
                </w:tcPr>
                <w:p>
                  <w:pPr>
                    <w:widowControl/>
                    <w:jc w:val="center"/>
                    <w:rPr>
                      <w:color w:val="auto"/>
                      <w:kern w:val="0"/>
                      <w:highlight w:val="none"/>
                    </w:rPr>
                  </w:pPr>
                  <w:r>
                    <w:rPr>
                      <w:color w:val="auto"/>
                      <w:kern w:val="0"/>
                      <w:szCs w:val="21"/>
                      <w:highlight w:val="none"/>
                    </w:rPr>
                    <w:t>污染物产生情况</w:t>
                  </w:r>
                </w:p>
              </w:tc>
              <w:tc>
                <w:tcPr>
                  <w:tcW w:w="696" w:type="pct"/>
                  <w:gridSpan w:val="2"/>
                  <w:tcBorders>
                    <w:top w:val="single" w:color="auto" w:sz="4" w:space="0"/>
                    <w:left w:val="single" w:color="auto" w:sz="4" w:space="0"/>
                    <w:bottom w:val="single" w:color="auto" w:sz="4" w:space="0"/>
                    <w:right w:val="single" w:color="auto" w:sz="4" w:space="0"/>
                  </w:tcBorders>
                  <w:vAlign w:val="center"/>
                </w:tcPr>
                <w:p>
                  <w:pPr>
                    <w:widowControl/>
                    <w:jc w:val="center"/>
                    <w:rPr>
                      <w:color w:val="auto"/>
                      <w:kern w:val="0"/>
                      <w:highlight w:val="none"/>
                    </w:rPr>
                  </w:pPr>
                  <w:r>
                    <w:rPr>
                      <w:color w:val="auto"/>
                      <w:kern w:val="0"/>
                      <w:szCs w:val="21"/>
                      <w:highlight w:val="none"/>
                    </w:rPr>
                    <w:t>处理措施</w:t>
                  </w:r>
                </w:p>
              </w:tc>
              <w:tc>
                <w:tcPr>
                  <w:tcW w:w="1622" w:type="pct"/>
                  <w:gridSpan w:val="3"/>
                  <w:tcBorders>
                    <w:top w:val="single" w:color="auto" w:sz="4" w:space="0"/>
                    <w:left w:val="single" w:color="auto" w:sz="4" w:space="0"/>
                    <w:bottom w:val="single" w:color="auto" w:sz="4" w:space="0"/>
                    <w:right w:val="single" w:color="auto" w:sz="4" w:space="0"/>
                  </w:tcBorders>
                  <w:vAlign w:val="center"/>
                </w:tcPr>
                <w:p>
                  <w:pPr>
                    <w:widowControl/>
                    <w:jc w:val="center"/>
                    <w:rPr>
                      <w:color w:val="auto"/>
                      <w:kern w:val="0"/>
                      <w:highlight w:val="none"/>
                    </w:rPr>
                  </w:pPr>
                  <w:r>
                    <w:rPr>
                      <w:color w:val="auto"/>
                      <w:kern w:val="0"/>
                      <w:szCs w:val="21"/>
                      <w:highlight w:val="none"/>
                    </w:rPr>
                    <w:t>接管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6" w:type="pct"/>
                  <w:vMerge w:val="continue"/>
                  <w:tcBorders>
                    <w:top w:val="single" w:color="auto" w:sz="4" w:space="0"/>
                    <w:left w:val="single" w:color="auto" w:sz="4" w:space="0"/>
                    <w:bottom w:val="single" w:color="auto" w:sz="4" w:space="0"/>
                    <w:right w:val="single" w:color="auto" w:sz="4" w:space="0"/>
                  </w:tcBorders>
                  <w:vAlign w:val="center"/>
                </w:tcPr>
                <w:p>
                  <w:pPr>
                    <w:jc w:val="center"/>
                    <w:rPr>
                      <w:color w:val="auto"/>
                      <w:szCs w:val="22"/>
                      <w:highlight w:val="none"/>
                    </w:rPr>
                  </w:pPr>
                </w:p>
              </w:tc>
              <w:tc>
                <w:tcPr>
                  <w:tcW w:w="477" w:type="pct"/>
                  <w:vMerge w:val="continue"/>
                  <w:tcBorders>
                    <w:top w:val="single" w:color="auto" w:sz="4" w:space="0"/>
                    <w:left w:val="single" w:color="auto" w:sz="4" w:space="0"/>
                    <w:bottom w:val="single" w:color="auto" w:sz="4" w:space="0"/>
                    <w:right w:val="single" w:color="auto" w:sz="4" w:space="0"/>
                  </w:tcBorders>
                  <w:vAlign w:val="center"/>
                </w:tcPr>
                <w:p>
                  <w:pPr>
                    <w:jc w:val="center"/>
                    <w:rPr>
                      <w:color w:val="auto"/>
                      <w:szCs w:val="22"/>
                      <w:highlight w:val="none"/>
                    </w:rPr>
                  </w:pPr>
                </w:p>
              </w:tc>
              <w:tc>
                <w:tcPr>
                  <w:tcW w:w="504" w:type="pct"/>
                  <w:tcBorders>
                    <w:top w:val="single" w:color="auto" w:sz="4" w:space="0"/>
                    <w:left w:val="single" w:color="auto" w:sz="4" w:space="0"/>
                    <w:bottom w:val="single" w:color="auto" w:sz="4" w:space="0"/>
                    <w:right w:val="single" w:color="auto" w:sz="4" w:space="0"/>
                  </w:tcBorders>
                  <w:vAlign w:val="center"/>
                </w:tcPr>
                <w:p>
                  <w:pPr>
                    <w:widowControl/>
                    <w:jc w:val="center"/>
                    <w:rPr>
                      <w:color w:val="auto"/>
                      <w:kern w:val="0"/>
                      <w:highlight w:val="none"/>
                    </w:rPr>
                  </w:pPr>
                  <w:r>
                    <w:rPr>
                      <w:color w:val="auto"/>
                      <w:kern w:val="0"/>
                      <w:szCs w:val="21"/>
                      <w:highlight w:val="none"/>
                    </w:rPr>
                    <w:t>废水量m</w:t>
                  </w:r>
                  <w:r>
                    <w:rPr>
                      <w:color w:val="auto"/>
                      <w:kern w:val="0"/>
                      <w:szCs w:val="21"/>
                      <w:highlight w:val="none"/>
                      <w:vertAlign w:val="superscript"/>
                    </w:rPr>
                    <w:t>3</w:t>
                  </w:r>
                  <w:r>
                    <w:rPr>
                      <w:color w:val="auto"/>
                      <w:kern w:val="0"/>
                      <w:szCs w:val="21"/>
                      <w:highlight w:val="none"/>
                    </w:rPr>
                    <w:t>/a</w:t>
                  </w:r>
                </w:p>
              </w:tc>
              <w:tc>
                <w:tcPr>
                  <w:tcW w:w="467" w:type="pct"/>
                  <w:tcBorders>
                    <w:top w:val="single" w:color="auto" w:sz="4" w:space="0"/>
                    <w:left w:val="single" w:color="auto" w:sz="4" w:space="0"/>
                    <w:bottom w:val="single" w:color="auto" w:sz="4" w:space="0"/>
                    <w:right w:val="single" w:color="auto" w:sz="4" w:space="0"/>
                  </w:tcBorders>
                  <w:vAlign w:val="center"/>
                </w:tcPr>
                <w:p>
                  <w:pPr>
                    <w:widowControl/>
                    <w:jc w:val="center"/>
                    <w:rPr>
                      <w:color w:val="auto"/>
                      <w:kern w:val="0"/>
                      <w:highlight w:val="none"/>
                    </w:rPr>
                  </w:pPr>
                  <w:r>
                    <w:rPr>
                      <w:color w:val="auto"/>
                      <w:kern w:val="0"/>
                      <w:szCs w:val="21"/>
                      <w:highlight w:val="none"/>
                    </w:rPr>
                    <w:t>浓度mg/L</w:t>
                  </w:r>
                </w:p>
              </w:tc>
              <w:tc>
                <w:tcPr>
                  <w:tcW w:w="636" w:type="pct"/>
                  <w:tcBorders>
                    <w:top w:val="single" w:color="auto" w:sz="4" w:space="0"/>
                    <w:left w:val="single" w:color="auto" w:sz="4" w:space="0"/>
                    <w:bottom w:val="single" w:color="auto" w:sz="4" w:space="0"/>
                    <w:right w:val="single" w:color="auto" w:sz="4" w:space="0"/>
                  </w:tcBorders>
                  <w:vAlign w:val="center"/>
                </w:tcPr>
                <w:p>
                  <w:pPr>
                    <w:widowControl/>
                    <w:jc w:val="center"/>
                    <w:rPr>
                      <w:color w:val="auto"/>
                      <w:kern w:val="0"/>
                      <w:highlight w:val="none"/>
                    </w:rPr>
                  </w:pPr>
                  <w:r>
                    <w:rPr>
                      <w:color w:val="auto"/>
                      <w:kern w:val="0"/>
                      <w:szCs w:val="21"/>
                      <w:highlight w:val="none"/>
                    </w:rPr>
                    <w:t>产生量t/a</w:t>
                  </w:r>
                </w:p>
              </w:tc>
              <w:tc>
                <w:tcPr>
                  <w:tcW w:w="303" w:type="pct"/>
                  <w:tcBorders>
                    <w:top w:val="single" w:color="auto" w:sz="4" w:space="0"/>
                    <w:left w:val="single" w:color="auto" w:sz="4" w:space="0"/>
                    <w:bottom w:val="single" w:color="auto" w:sz="4" w:space="0"/>
                    <w:right w:val="single" w:color="auto" w:sz="4" w:space="0"/>
                  </w:tcBorders>
                  <w:vAlign w:val="center"/>
                </w:tcPr>
                <w:p>
                  <w:pPr>
                    <w:widowControl/>
                    <w:jc w:val="center"/>
                    <w:rPr>
                      <w:color w:val="auto"/>
                      <w:kern w:val="0"/>
                      <w:highlight w:val="none"/>
                    </w:rPr>
                  </w:pPr>
                  <w:r>
                    <w:rPr>
                      <w:color w:val="auto"/>
                      <w:kern w:val="0"/>
                      <w:szCs w:val="21"/>
                      <w:highlight w:val="none"/>
                    </w:rPr>
                    <w:t>工艺</w:t>
                  </w:r>
                </w:p>
              </w:tc>
              <w:tc>
                <w:tcPr>
                  <w:tcW w:w="393" w:type="pct"/>
                  <w:tcBorders>
                    <w:top w:val="single" w:color="auto" w:sz="4" w:space="0"/>
                    <w:left w:val="single" w:color="auto" w:sz="4" w:space="0"/>
                    <w:bottom w:val="single" w:color="auto" w:sz="4" w:space="0"/>
                    <w:right w:val="single" w:color="auto" w:sz="4" w:space="0"/>
                  </w:tcBorders>
                  <w:vAlign w:val="center"/>
                </w:tcPr>
                <w:p>
                  <w:pPr>
                    <w:widowControl/>
                    <w:jc w:val="center"/>
                    <w:rPr>
                      <w:color w:val="auto"/>
                      <w:kern w:val="0"/>
                      <w:highlight w:val="none"/>
                    </w:rPr>
                  </w:pPr>
                  <w:r>
                    <w:rPr>
                      <w:color w:val="auto"/>
                      <w:kern w:val="0"/>
                      <w:szCs w:val="21"/>
                      <w:highlight w:val="none"/>
                    </w:rPr>
                    <w:t>效率%</w:t>
                  </w:r>
                </w:p>
              </w:tc>
              <w:tc>
                <w:tcPr>
                  <w:tcW w:w="439" w:type="pct"/>
                  <w:tcBorders>
                    <w:top w:val="single" w:color="auto" w:sz="4" w:space="0"/>
                    <w:left w:val="single" w:color="auto" w:sz="4" w:space="0"/>
                    <w:bottom w:val="single" w:color="auto" w:sz="4" w:space="0"/>
                    <w:right w:val="single" w:color="auto" w:sz="4" w:space="0"/>
                  </w:tcBorders>
                  <w:vAlign w:val="center"/>
                </w:tcPr>
                <w:p>
                  <w:pPr>
                    <w:widowControl/>
                    <w:jc w:val="center"/>
                    <w:rPr>
                      <w:color w:val="auto"/>
                      <w:kern w:val="0"/>
                      <w:highlight w:val="none"/>
                    </w:rPr>
                  </w:pPr>
                  <w:r>
                    <w:rPr>
                      <w:color w:val="auto"/>
                      <w:kern w:val="0"/>
                      <w:szCs w:val="21"/>
                      <w:highlight w:val="none"/>
                    </w:rPr>
                    <w:t>水量</w:t>
                  </w:r>
                </w:p>
                <w:p>
                  <w:pPr>
                    <w:widowControl/>
                    <w:jc w:val="center"/>
                    <w:rPr>
                      <w:color w:val="auto"/>
                      <w:kern w:val="0"/>
                      <w:highlight w:val="none"/>
                    </w:rPr>
                  </w:pPr>
                  <w:r>
                    <w:rPr>
                      <w:color w:val="auto"/>
                      <w:kern w:val="0"/>
                      <w:szCs w:val="21"/>
                      <w:highlight w:val="none"/>
                    </w:rPr>
                    <w:t>m</w:t>
                  </w:r>
                  <w:r>
                    <w:rPr>
                      <w:color w:val="auto"/>
                      <w:kern w:val="0"/>
                      <w:szCs w:val="21"/>
                      <w:highlight w:val="none"/>
                      <w:vertAlign w:val="superscript"/>
                    </w:rPr>
                    <w:t>3</w:t>
                  </w:r>
                  <w:r>
                    <w:rPr>
                      <w:color w:val="auto"/>
                      <w:kern w:val="0"/>
                      <w:szCs w:val="21"/>
                      <w:highlight w:val="none"/>
                    </w:rPr>
                    <w:t>/a</w:t>
                  </w:r>
                </w:p>
              </w:tc>
              <w:tc>
                <w:tcPr>
                  <w:tcW w:w="473" w:type="pct"/>
                  <w:tcBorders>
                    <w:top w:val="single" w:color="auto" w:sz="4" w:space="0"/>
                    <w:left w:val="single" w:color="auto" w:sz="4" w:space="0"/>
                    <w:bottom w:val="single" w:color="auto" w:sz="4" w:space="0"/>
                    <w:right w:val="single" w:color="auto" w:sz="4" w:space="0"/>
                  </w:tcBorders>
                  <w:vAlign w:val="center"/>
                </w:tcPr>
                <w:p>
                  <w:pPr>
                    <w:widowControl/>
                    <w:jc w:val="center"/>
                    <w:rPr>
                      <w:color w:val="auto"/>
                      <w:kern w:val="0"/>
                      <w:highlight w:val="none"/>
                    </w:rPr>
                  </w:pPr>
                  <w:r>
                    <w:rPr>
                      <w:color w:val="auto"/>
                      <w:kern w:val="0"/>
                      <w:szCs w:val="21"/>
                      <w:highlight w:val="none"/>
                    </w:rPr>
                    <w:t>浓度mg/L</w:t>
                  </w:r>
                </w:p>
              </w:tc>
              <w:tc>
                <w:tcPr>
                  <w:tcW w:w="710" w:type="pct"/>
                  <w:tcBorders>
                    <w:top w:val="single" w:color="auto" w:sz="4" w:space="0"/>
                    <w:left w:val="single" w:color="auto" w:sz="4" w:space="0"/>
                    <w:bottom w:val="single" w:color="auto" w:sz="4" w:space="0"/>
                    <w:right w:val="single" w:color="auto" w:sz="4" w:space="0"/>
                  </w:tcBorders>
                  <w:vAlign w:val="center"/>
                </w:tcPr>
                <w:p>
                  <w:pPr>
                    <w:widowControl/>
                    <w:jc w:val="center"/>
                    <w:rPr>
                      <w:color w:val="auto"/>
                      <w:kern w:val="0"/>
                      <w:highlight w:val="none"/>
                    </w:rPr>
                  </w:pPr>
                  <w:r>
                    <w:rPr>
                      <w:color w:val="auto"/>
                      <w:kern w:val="0"/>
                      <w:szCs w:val="21"/>
                      <w:highlight w:val="none"/>
                    </w:rPr>
                    <w:t>接管量t/a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596" w:type="pct"/>
                  <w:vMerge w:val="restart"/>
                  <w:tcBorders>
                    <w:top w:val="nil"/>
                    <w:left w:val="single" w:color="auto" w:sz="4" w:space="0"/>
                    <w:right w:val="single" w:color="auto" w:sz="4" w:space="0"/>
                  </w:tcBorders>
                  <w:vAlign w:val="center"/>
                </w:tcPr>
                <w:p>
                  <w:pPr>
                    <w:widowControl/>
                    <w:jc w:val="center"/>
                    <w:rPr>
                      <w:color w:val="auto"/>
                      <w:kern w:val="0"/>
                      <w:highlight w:val="none"/>
                    </w:rPr>
                  </w:pPr>
                  <w:r>
                    <w:rPr>
                      <w:color w:val="auto"/>
                      <w:kern w:val="0"/>
                      <w:szCs w:val="21"/>
                      <w:highlight w:val="none"/>
                    </w:rPr>
                    <w:t>酸碱洗废水</w:t>
                  </w:r>
                </w:p>
              </w:tc>
              <w:tc>
                <w:tcPr>
                  <w:tcW w:w="477" w:type="pct"/>
                  <w:tcBorders>
                    <w:top w:val="single" w:color="auto" w:sz="4" w:space="0"/>
                    <w:left w:val="single" w:color="auto" w:sz="4" w:space="0"/>
                    <w:bottom w:val="single" w:color="auto" w:sz="4" w:space="0"/>
                    <w:right w:val="single" w:color="auto" w:sz="4" w:space="0"/>
                  </w:tcBorders>
                  <w:vAlign w:val="center"/>
                </w:tcPr>
                <w:p>
                  <w:pPr>
                    <w:widowControl/>
                    <w:jc w:val="center"/>
                    <w:rPr>
                      <w:color w:val="auto"/>
                      <w:kern w:val="0"/>
                      <w:highlight w:val="none"/>
                    </w:rPr>
                  </w:pPr>
                  <w:r>
                    <w:rPr>
                      <w:color w:val="auto"/>
                      <w:kern w:val="0"/>
                      <w:szCs w:val="21"/>
                      <w:highlight w:val="none"/>
                    </w:rPr>
                    <w:t>pH</w:t>
                  </w:r>
                </w:p>
              </w:tc>
              <w:tc>
                <w:tcPr>
                  <w:tcW w:w="504" w:type="pct"/>
                  <w:vMerge w:val="restart"/>
                  <w:tcBorders>
                    <w:top w:val="nil"/>
                    <w:left w:val="single" w:color="auto" w:sz="4" w:space="0"/>
                    <w:right w:val="single" w:color="auto" w:sz="4" w:space="0"/>
                  </w:tcBorders>
                  <w:vAlign w:val="center"/>
                </w:tcPr>
                <w:p>
                  <w:pPr>
                    <w:widowControl/>
                    <w:autoSpaceDE w:val="0"/>
                    <w:jc w:val="center"/>
                    <w:rPr>
                      <w:color w:val="auto"/>
                      <w:kern w:val="0"/>
                      <w:highlight w:val="none"/>
                    </w:rPr>
                  </w:pPr>
                  <w:r>
                    <w:rPr>
                      <w:color w:val="auto"/>
                      <w:sz w:val="24"/>
                      <w:highlight w:val="none"/>
                    </w:rPr>
                    <w:t>361.2</w:t>
                  </w:r>
                </w:p>
              </w:tc>
              <w:tc>
                <w:tcPr>
                  <w:tcW w:w="467" w:type="pct"/>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color w:val="auto"/>
                      <w:szCs w:val="21"/>
                      <w:highlight w:val="none"/>
                    </w:rPr>
                    <w:t>2-12</w:t>
                  </w:r>
                </w:p>
              </w:tc>
              <w:tc>
                <w:tcPr>
                  <w:tcW w:w="636" w:type="pct"/>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color w:val="auto"/>
                      <w:szCs w:val="21"/>
                      <w:highlight w:val="none"/>
                    </w:rPr>
                    <w:t>-</w:t>
                  </w:r>
                </w:p>
              </w:tc>
              <w:tc>
                <w:tcPr>
                  <w:tcW w:w="303" w:type="pct"/>
                  <w:vMerge w:val="restart"/>
                  <w:tcBorders>
                    <w:top w:val="nil"/>
                    <w:left w:val="single" w:color="auto" w:sz="4" w:space="0"/>
                    <w:bottom w:val="single" w:color="auto" w:sz="4" w:space="0"/>
                    <w:right w:val="single" w:color="auto" w:sz="4" w:space="0"/>
                  </w:tcBorders>
                  <w:vAlign w:val="center"/>
                </w:tcPr>
                <w:p>
                  <w:pPr>
                    <w:widowControl/>
                    <w:jc w:val="center"/>
                    <w:rPr>
                      <w:color w:val="auto"/>
                      <w:kern w:val="0"/>
                      <w:highlight w:val="none"/>
                    </w:rPr>
                  </w:pPr>
                  <w:r>
                    <w:rPr>
                      <w:color w:val="auto"/>
                      <w:kern w:val="0"/>
                      <w:szCs w:val="21"/>
                      <w:highlight w:val="none"/>
                    </w:rPr>
                    <w:t>酸碱中和</w:t>
                  </w:r>
                </w:p>
              </w:tc>
              <w:tc>
                <w:tcPr>
                  <w:tcW w:w="393" w:type="pct"/>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color w:val="auto"/>
                      <w:szCs w:val="21"/>
                      <w:highlight w:val="none"/>
                    </w:rPr>
                    <w:t>--</w:t>
                  </w:r>
                </w:p>
              </w:tc>
              <w:tc>
                <w:tcPr>
                  <w:tcW w:w="439" w:type="pct"/>
                  <w:vMerge w:val="restart"/>
                  <w:tcBorders>
                    <w:top w:val="nil"/>
                    <w:left w:val="single" w:color="auto" w:sz="4" w:space="0"/>
                    <w:right w:val="single" w:color="auto" w:sz="4" w:space="0"/>
                  </w:tcBorders>
                  <w:vAlign w:val="center"/>
                </w:tcPr>
                <w:p>
                  <w:pPr>
                    <w:widowControl/>
                    <w:autoSpaceDE w:val="0"/>
                    <w:jc w:val="center"/>
                    <w:rPr>
                      <w:color w:val="auto"/>
                      <w:kern w:val="0"/>
                      <w:highlight w:val="none"/>
                    </w:rPr>
                  </w:pPr>
                  <w:r>
                    <w:rPr>
                      <w:color w:val="auto"/>
                      <w:sz w:val="24"/>
                      <w:highlight w:val="none"/>
                    </w:rPr>
                    <w:t>361.2</w:t>
                  </w:r>
                </w:p>
              </w:tc>
              <w:tc>
                <w:tcPr>
                  <w:tcW w:w="473" w:type="pct"/>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color w:val="auto"/>
                      <w:szCs w:val="21"/>
                      <w:highlight w:val="none"/>
                    </w:rPr>
                    <w:t>6-9</w:t>
                  </w:r>
                </w:p>
              </w:tc>
              <w:tc>
                <w:tcPr>
                  <w:tcW w:w="710" w:type="pct"/>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color w:val="auto"/>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6" w:type="pct"/>
                  <w:vMerge w:val="continue"/>
                  <w:tcBorders>
                    <w:left w:val="single" w:color="auto" w:sz="4" w:space="0"/>
                    <w:right w:val="single" w:color="auto" w:sz="4" w:space="0"/>
                  </w:tcBorders>
                  <w:vAlign w:val="center"/>
                </w:tcPr>
                <w:p>
                  <w:pPr>
                    <w:jc w:val="center"/>
                    <w:rPr>
                      <w:color w:val="auto"/>
                      <w:szCs w:val="22"/>
                      <w:highlight w:val="none"/>
                    </w:rPr>
                  </w:pPr>
                </w:p>
              </w:tc>
              <w:tc>
                <w:tcPr>
                  <w:tcW w:w="477" w:type="pct"/>
                  <w:tcBorders>
                    <w:top w:val="single" w:color="auto" w:sz="4" w:space="0"/>
                    <w:left w:val="single" w:color="auto" w:sz="4" w:space="0"/>
                    <w:bottom w:val="single" w:color="auto" w:sz="4" w:space="0"/>
                    <w:right w:val="single" w:color="auto" w:sz="4" w:space="0"/>
                  </w:tcBorders>
                  <w:vAlign w:val="center"/>
                </w:tcPr>
                <w:p>
                  <w:pPr>
                    <w:widowControl/>
                    <w:jc w:val="center"/>
                    <w:rPr>
                      <w:color w:val="auto"/>
                      <w:kern w:val="0"/>
                      <w:highlight w:val="none"/>
                    </w:rPr>
                  </w:pPr>
                  <w:r>
                    <w:rPr>
                      <w:color w:val="auto"/>
                      <w:kern w:val="0"/>
                      <w:szCs w:val="21"/>
                      <w:highlight w:val="none"/>
                    </w:rPr>
                    <w:t>COD</w:t>
                  </w:r>
                </w:p>
              </w:tc>
              <w:tc>
                <w:tcPr>
                  <w:tcW w:w="504" w:type="pct"/>
                  <w:vMerge w:val="continue"/>
                  <w:tcBorders>
                    <w:left w:val="single" w:color="auto" w:sz="4" w:space="0"/>
                    <w:right w:val="single" w:color="auto" w:sz="4" w:space="0"/>
                  </w:tcBorders>
                  <w:vAlign w:val="center"/>
                </w:tcPr>
                <w:p>
                  <w:pPr>
                    <w:jc w:val="center"/>
                    <w:rPr>
                      <w:color w:val="auto"/>
                      <w:szCs w:val="22"/>
                      <w:highlight w:val="none"/>
                    </w:rPr>
                  </w:pPr>
                </w:p>
              </w:tc>
              <w:tc>
                <w:tcPr>
                  <w:tcW w:w="467" w:type="pct"/>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color w:val="auto"/>
                      <w:szCs w:val="21"/>
                      <w:highlight w:val="none"/>
                    </w:rPr>
                    <w:t>500</w:t>
                  </w:r>
                </w:p>
              </w:tc>
              <w:tc>
                <w:tcPr>
                  <w:tcW w:w="636" w:type="pct"/>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color w:val="auto"/>
                      <w:szCs w:val="21"/>
                      <w:highlight w:val="none"/>
                    </w:rPr>
                    <w:t>0.181</w:t>
                  </w:r>
                </w:p>
              </w:tc>
              <w:tc>
                <w:tcPr>
                  <w:tcW w:w="303" w:type="pct"/>
                  <w:vMerge w:val="continue"/>
                  <w:tcBorders>
                    <w:top w:val="nil"/>
                    <w:left w:val="single" w:color="auto" w:sz="4" w:space="0"/>
                    <w:bottom w:val="single" w:color="auto" w:sz="4" w:space="0"/>
                    <w:right w:val="single" w:color="auto" w:sz="4" w:space="0"/>
                  </w:tcBorders>
                  <w:vAlign w:val="center"/>
                </w:tcPr>
                <w:p>
                  <w:pPr>
                    <w:jc w:val="center"/>
                    <w:rPr>
                      <w:color w:val="auto"/>
                      <w:szCs w:val="22"/>
                      <w:highlight w:val="none"/>
                    </w:rPr>
                  </w:pPr>
                </w:p>
              </w:tc>
              <w:tc>
                <w:tcPr>
                  <w:tcW w:w="393" w:type="pct"/>
                  <w:tcBorders>
                    <w:top w:val="single" w:color="auto" w:sz="4" w:space="0"/>
                    <w:left w:val="single" w:color="auto" w:sz="4" w:space="0"/>
                    <w:bottom w:val="single" w:color="auto" w:sz="4" w:space="0"/>
                    <w:right w:val="single" w:color="auto" w:sz="4" w:space="0"/>
                  </w:tcBorders>
                  <w:vAlign w:val="center"/>
                </w:tcPr>
                <w:p>
                  <w:pPr>
                    <w:jc w:val="center"/>
                    <w:rPr>
                      <w:color w:val="auto"/>
                      <w:kern w:val="0"/>
                      <w:highlight w:val="none"/>
                    </w:rPr>
                  </w:pPr>
                  <w:r>
                    <w:rPr>
                      <w:rFonts w:hint="eastAsia"/>
                      <w:color w:val="auto"/>
                      <w:kern w:val="0"/>
                      <w:szCs w:val="21"/>
                      <w:highlight w:val="none"/>
                    </w:rPr>
                    <w:t>--</w:t>
                  </w:r>
                </w:p>
              </w:tc>
              <w:tc>
                <w:tcPr>
                  <w:tcW w:w="439" w:type="pct"/>
                  <w:vMerge w:val="continue"/>
                  <w:tcBorders>
                    <w:left w:val="single" w:color="auto" w:sz="4" w:space="0"/>
                    <w:right w:val="single" w:color="auto" w:sz="4" w:space="0"/>
                  </w:tcBorders>
                  <w:vAlign w:val="center"/>
                </w:tcPr>
                <w:p>
                  <w:pPr>
                    <w:jc w:val="center"/>
                    <w:rPr>
                      <w:color w:val="auto"/>
                      <w:szCs w:val="22"/>
                      <w:highlight w:val="none"/>
                    </w:rPr>
                  </w:pPr>
                </w:p>
              </w:tc>
              <w:tc>
                <w:tcPr>
                  <w:tcW w:w="473" w:type="pct"/>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szCs w:val="21"/>
                      <w:highlight w:val="none"/>
                    </w:rPr>
                    <w:t>5</w:t>
                  </w:r>
                  <w:r>
                    <w:rPr>
                      <w:color w:val="auto"/>
                      <w:szCs w:val="21"/>
                      <w:highlight w:val="none"/>
                    </w:rPr>
                    <w:t>00</w:t>
                  </w:r>
                </w:p>
              </w:tc>
              <w:tc>
                <w:tcPr>
                  <w:tcW w:w="710" w:type="pct"/>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color w:val="auto"/>
                      <w:szCs w:val="21"/>
                      <w:highlight w:val="none"/>
                    </w:rPr>
                    <w:t>0.1</w:t>
                  </w:r>
                  <w:r>
                    <w:rPr>
                      <w:rFonts w:hint="eastAsia"/>
                      <w:color w:val="auto"/>
                      <w:szCs w:val="21"/>
                      <w:highlight w:val="none"/>
                    </w:rPr>
                    <w:t>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9" w:hRule="atLeast"/>
              </w:trPr>
              <w:tc>
                <w:tcPr>
                  <w:tcW w:w="596" w:type="pct"/>
                  <w:vMerge w:val="continue"/>
                  <w:tcBorders>
                    <w:left w:val="single" w:color="auto" w:sz="4" w:space="0"/>
                    <w:right w:val="single" w:color="auto" w:sz="4" w:space="0"/>
                  </w:tcBorders>
                  <w:vAlign w:val="center"/>
                </w:tcPr>
                <w:p>
                  <w:pPr>
                    <w:jc w:val="center"/>
                    <w:rPr>
                      <w:color w:val="auto"/>
                      <w:szCs w:val="22"/>
                      <w:highlight w:val="none"/>
                    </w:rPr>
                  </w:pPr>
                </w:p>
              </w:tc>
              <w:tc>
                <w:tcPr>
                  <w:tcW w:w="477" w:type="pct"/>
                  <w:tcBorders>
                    <w:top w:val="single" w:color="auto" w:sz="4" w:space="0"/>
                    <w:left w:val="single" w:color="auto" w:sz="4" w:space="0"/>
                    <w:bottom w:val="single" w:color="auto" w:sz="4" w:space="0"/>
                    <w:right w:val="single" w:color="auto" w:sz="4" w:space="0"/>
                  </w:tcBorders>
                  <w:vAlign w:val="center"/>
                </w:tcPr>
                <w:p>
                  <w:pPr>
                    <w:widowControl/>
                    <w:jc w:val="center"/>
                    <w:rPr>
                      <w:color w:val="auto"/>
                      <w:kern w:val="0"/>
                      <w:highlight w:val="none"/>
                    </w:rPr>
                  </w:pPr>
                  <w:r>
                    <w:rPr>
                      <w:color w:val="auto"/>
                      <w:kern w:val="0"/>
                      <w:szCs w:val="21"/>
                      <w:highlight w:val="none"/>
                    </w:rPr>
                    <w:t>SS</w:t>
                  </w:r>
                </w:p>
              </w:tc>
              <w:tc>
                <w:tcPr>
                  <w:tcW w:w="504" w:type="pct"/>
                  <w:vMerge w:val="continue"/>
                  <w:tcBorders>
                    <w:left w:val="single" w:color="auto" w:sz="4" w:space="0"/>
                    <w:right w:val="single" w:color="auto" w:sz="4" w:space="0"/>
                  </w:tcBorders>
                  <w:vAlign w:val="center"/>
                </w:tcPr>
                <w:p>
                  <w:pPr>
                    <w:jc w:val="center"/>
                    <w:rPr>
                      <w:color w:val="auto"/>
                      <w:szCs w:val="22"/>
                      <w:highlight w:val="none"/>
                    </w:rPr>
                  </w:pPr>
                </w:p>
              </w:tc>
              <w:tc>
                <w:tcPr>
                  <w:tcW w:w="467" w:type="pct"/>
                  <w:tcBorders>
                    <w:top w:val="single" w:color="auto" w:sz="4" w:space="0"/>
                    <w:left w:val="single" w:color="auto" w:sz="4" w:space="0"/>
                    <w:right w:val="single" w:color="auto" w:sz="4" w:space="0"/>
                  </w:tcBorders>
                  <w:vAlign w:val="center"/>
                </w:tcPr>
                <w:p>
                  <w:pPr>
                    <w:widowControl/>
                    <w:jc w:val="center"/>
                    <w:rPr>
                      <w:color w:val="auto"/>
                      <w:kern w:val="0"/>
                      <w:highlight w:val="none"/>
                    </w:rPr>
                  </w:pPr>
                  <w:r>
                    <w:rPr>
                      <w:color w:val="auto"/>
                      <w:kern w:val="0"/>
                      <w:szCs w:val="21"/>
                      <w:highlight w:val="none"/>
                    </w:rPr>
                    <w:t>400</w:t>
                  </w:r>
                </w:p>
              </w:tc>
              <w:tc>
                <w:tcPr>
                  <w:tcW w:w="636" w:type="pct"/>
                  <w:tcBorders>
                    <w:top w:val="single" w:color="auto" w:sz="4" w:space="0"/>
                    <w:left w:val="single" w:color="auto" w:sz="4" w:space="0"/>
                    <w:right w:val="single" w:color="auto" w:sz="4" w:space="0"/>
                  </w:tcBorders>
                  <w:vAlign w:val="center"/>
                </w:tcPr>
                <w:p>
                  <w:pPr>
                    <w:jc w:val="center"/>
                    <w:rPr>
                      <w:color w:val="auto"/>
                      <w:highlight w:val="none"/>
                    </w:rPr>
                  </w:pPr>
                  <w:r>
                    <w:rPr>
                      <w:color w:val="auto"/>
                      <w:szCs w:val="21"/>
                      <w:highlight w:val="none"/>
                    </w:rPr>
                    <w:t>0.144</w:t>
                  </w:r>
                </w:p>
              </w:tc>
              <w:tc>
                <w:tcPr>
                  <w:tcW w:w="303" w:type="pct"/>
                  <w:vMerge w:val="continue"/>
                  <w:tcBorders>
                    <w:top w:val="nil"/>
                    <w:left w:val="single" w:color="auto" w:sz="4" w:space="0"/>
                    <w:bottom w:val="single" w:color="auto" w:sz="4" w:space="0"/>
                    <w:right w:val="single" w:color="auto" w:sz="4" w:space="0"/>
                  </w:tcBorders>
                  <w:vAlign w:val="center"/>
                </w:tcPr>
                <w:p>
                  <w:pPr>
                    <w:jc w:val="center"/>
                    <w:rPr>
                      <w:color w:val="auto"/>
                      <w:szCs w:val="22"/>
                      <w:highlight w:val="none"/>
                    </w:rPr>
                  </w:pPr>
                </w:p>
              </w:tc>
              <w:tc>
                <w:tcPr>
                  <w:tcW w:w="393" w:type="pct"/>
                  <w:tcBorders>
                    <w:top w:val="single" w:color="auto" w:sz="4" w:space="0"/>
                    <w:left w:val="single" w:color="auto" w:sz="4" w:space="0"/>
                    <w:right w:val="single" w:color="auto" w:sz="4" w:space="0"/>
                  </w:tcBorders>
                  <w:vAlign w:val="center"/>
                </w:tcPr>
                <w:p>
                  <w:pPr>
                    <w:jc w:val="center"/>
                    <w:rPr>
                      <w:color w:val="auto"/>
                      <w:kern w:val="0"/>
                      <w:highlight w:val="none"/>
                    </w:rPr>
                  </w:pPr>
                  <w:r>
                    <w:rPr>
                      <w:color w:val="auto"/>
                      <w:kern w:val="0"/>
                      <w:szCs w:val="21"/>
                      <w:highlight w:val="none"/>
                    </w:rPr>
                    <w:t>--</w:t>
                  </w:r>
                </w:p>
              </w:tc>
              <w:tc>
                <w:tcPr>
                  <w:tcW w:w="439" w:type="pct"/>
                  <w:vMerge w:val="continue"/>
                  <w:tcBorders>
                    <w:left w:val="single" w:color="auto" w:sz="4" w:space="0"/>
                    <w:right w:val="single" w:color="auto" w:sz="4" w:space="0"/>
                  </w:tcBorders>
                  <w:vAlign w:val="center"/>
                </w:tcPr>
                <w:p>
                  <w:pPr>
                    <w:jc w:val="center"/>
                    <w:rPr>
                      <w:color w:val="auto"/>
                      <w:szCs w:val="22"/>
                      <w:highlight w:val="none"/>
                    </w:rPr>
                  </w:pPr>
                </w:p>
              </w:tc>
              <w:tc>
                <w:tcPr>
                  <w:tcW w:w="473" w:type="pct"/>
                  <w:tcBorders>
                    <w:top w:val="single" w:color="auto" w:sz="4" w:space="0"/>
                    <w:left w:val="single" w:color="auto" w:sz="4" w:space="0"/>
                    <w:right w:val="single" w:color="auto" w:sz="4" w:space="0"/>
                  </w:tcBorders>
                  <w:vAlign w:val="center"/>
                </w:tcPr>
                <w:p>
                  <w:pPr>
                    <w:widowControl/>
                    <w:jc w:val="center"/>
                    <w:rPr>
                      <w:color w:val="auto"/>
                      <w:kern w:val="0"/>
                      <w:highlight w:val="none"/>
                    </w:rPr>
                  </w:pPr>
                  <w:r>
                    <w:rPr>
                      <w:color w:val="auto"/>
                      <w:kern w:val="0"/>
                      <w:szCs w:val="21"/>
                      <w:highlight w:val="none"/>
                    </w:rPr>
                    <w:t>400</w:t>
                  </w:r>
                </w:p>
              </w:tc>
              <w:tc>
                <w:tcPr>
                  <w:tcW w:w="710" w:type="pct"/>
                  <w:tcBorders>
                    <w:top w:val="single" w:color="auto" w:sz="4" w:space="0"/>
                    <w:left w:val="single" w:color="auto" w:sz="4" w:space="0"/>
                    <w:right w:val="single" w:color="auto" w:sz="4" w:space="0"/>
                  </w:tcBorders>
                  <w:vAlign w:val="center"/>
                </w:tcPr>
                <w:p>
                  <w:pPr>
                    <w:jc w:val="center"/>
                    <w:rPr>
                      <w:color w:val="auto"/>
                      <w:highlight w:val="none"/>
                    </w:rPr>
                  </w:pPr>
                  <w:r>
                    <w:rPr>
                      <w:color w:val="auto"/>
                      <w:szCs w:val="21"/>
                      <w:highlight w:val="none"/>
                    </w:rPr>
                    <w:t>0.144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56" w:hRule="atLeast"/>
              </w:trPr>
              <w:tc>
                <w:tcPr>
                  <w:tcW w:w="596" w:type="pct"/>
                  <w:vMerge w:val="continue"/>
                  <w:tcBorders>
                    <w:left w:val="single" w:color="auto" w:sz="4" w:space="0"/>
                    <w:right w:val="single" w:color="auto" w:sz="4" w:space="0"/>
                  </w:tcBorders>
                  <w:vAlign w:val="center"/>
                </w:tcPr>
                <w:p>
                  <w:pPr>
                    <w:jc w:val="center"/>
                    <w:rPr>
                      <w:color w:val="auto"/>
                      <w:szCs w:val="22"/>
                      <w:highlight w:val="none"/>
                    </w:rPr>
                  </w:pPr>
                </w:p>
              </w:tc>
              <w:tc>
                <w:tcPr>
                  <w:tcW w:w="477" w:type="pct"/>
                  <w:tcBorders>
                    <w:top w:val="single" w:color="auto" w:sz="4" w:space="0"/>
                    <w:left w:val="single" w:color="auto" w:sz="4" w:space="0"/>
                    <w:bottom w:val="single" w:color="auto" w:sz="4" w:space="0"/>
                    <w:right w:val="single" w:color="auto" w:sz="4" w:space="0"/>
                  </w:tcBorders>
                  <w:vAlign w:val="center"/>
                </w:tcPr>
                <w:p>
                  <w:pPr>
                    <w:jc w:val="center"/>
                    <w:rPr>
                      <w:color w:val="auto"/>
                      <w:kern w:val="0"/>
                      <w:szCs w:val="21"/>
                      <w:highlight w:val="none"/>
                    </w:rPr>
                  </w:pPr>
                  <w:r>
                    <w:rPr>
                      <w:color w:val="auto"/>
                      <w:kern w:val="0"/>
                      <w:szCs w:val="21"/>
                      <w:highlight w:val="none"/>
                    </w:rPr>
                    <w:t>氨氮</w:t>
                  </w:r>
                </w:p>
              </w:tc>
              <w:tc>
                <w:tcPr>
                  <w:tcW w:w="504" w:type="pct"/>
                  <w:vMerge w:val="continue"/>
                  <w:tcBorders>
                    <w:left w:val="single" w:color="auto" w:sz="4" w:space="0"/>
                    <w:right w:val="single" w:color="auto" w:sz="4" w:space="0"/>
                  </w:tcBorders>
                  <w:vAlign w:val="center"/>
                </w:tcPr>
                <w:p>
                  <w:pPr>
                    <w:jc w:val="center"/>
                    <w:rPr>
                      <w:color w:val="auto"/>
                      <w:szCs w:val="22"/>
                      <w:highlight w:val="none"/>
                    </w:rPr>
                  </w:pPr>
                </w:p>
              </w:tc>
              <w:tc>
                <w:tcPr>
                  <w:tcW w:w="467" w:type="pct"/>
                  <w:tcBorders>
                    <w:left w:val="single" w:color="auto" w:sz="4" w:space="0"/>
                    <w:right w:val="single" w:color="auto" w:sz="4" w:space="0"/>
                  </w:tcBorders>
                  <w:vAlign w:val="center"/>
                </w:tcPr>
                <w:p>
                  <w:pPr>
                    <w:jc w:val="center"/>
                    <w:rPr>
                      <w:color w:val="auto"/>
                      <w:kern w:val="0"/>
                      <w:szCs w:val="21"/>
                      <w:highlight w:val="none"/>
                    </w:rPr>
                  </w:pPr>
                  <w:r>
                    <w:rPr>
                      <w:color w:val="auto"/>
                      <w:kern w:val="0"/>
                      <w:szCs w:val="21"/>
                      <w:highlight w:val="none"/>
                    </w:rPr>
                    <w:t>8</w:t>
                  </w:r>
                </w:p>
              </w:tc>
              <w:tc>
                <w:tcPr>
                  <w:tcW w:w="636" w:type="pct"/>
                  <w:tcBorders>
                    <w:left w:val="single" w:color="auto" w:sz="4" w:space="0"/>
                    <w:right w:val="single" w:color="auto" w:sz="4" w:space="0"/>
                  </w:tcBorders>
                  <w:vAlign w:val="center"/>
                </w:tcPr>
                <w:p>
                  <w:pPr>
                    <w:jc w:val="center"/>
                    <w:rPr>
                      <w:color w:val="auto"/>
                      <w:szCs w:val="21"/>
                      <w:highlight w:val="none"/>
                    </w:rPr>
                  </w:pPr>
                  <w:r>
                    <w:rPr>
                      <w:color w:val="auto"/>
                      <w:szCs w:val="21"/>
                      <w:highlight w:val="none"/>
                    </w:rPr>
                    <w:t>0.003</w:t>
                  </w:r>
                </w:p>
              </w:tc>
              <w:tc>
                <w:tcPr>
                  <w:tcW w:w="303" w:type="pct"/>
                  <w:vMerge w:val="continue"/>
                  <w:tcBorders>
                    <w:top w:val="nil"/>
                    <w:left w:val="single" w:color="auto" w:sz="4" w:space="0"/>
                    <w:bottom w:val="single" w:color="auto" w:sz="4" w:space="0"/>
                    <w:right w:val="single" w:color="auto" w:sz="4" w:space="0"/>
                  </w:tcBorders>
                  <w:vAlign w:val="center"/>
                </w:tcPr>
                <w:p>
                  <w:pPr>
                    <w:jc w:val="center"/>
                    <w:rPr>
                      <w:color w:val="auto"/>
                      <w:szCs w:val="22"/>
                      <w:highlight w:val="none"/>
                    </w:rPr>
                  </w:pPr>
                </w:p>
              </w:tc>
              <w:tc>
                <w:tcPr>
                  <w:tcW w:w="393" w:type="pct"/>
                  <w:tcBorders>
                    <w:left w:val="single" w:color="auto" w:sz="4" w:space="0"/>
                    <w:right w:val="single" w:color="auto" w:sz="4" w:space="0"/>
                  </w:tcBorders>
                  <w:vAlign w:val="center"/>
                </w:tcPr>
                <w:p>
                  <w:pPr>
                    <w:jc w:val="center"/>
                    <w:rPr>
                      <w:color w:val="auto"/>
                      <w:kern w:val="0"/>
                      <w:szCs w:val="21"/>
                      <w:highlight w:val="none"/>
                    </w:rPr>
                  </w:pPr>
                  <w:r>
                    <w:rPr>
                      <w:color w:val="auto"/>
                      <w:kern w:val="0"/>
                      <w:szCs w:val="21"/>
                      <w:highlight w:val="none"/>
                    </w:rPr>
                    <w:t>--</w:t>
                  </w:r>
                </w:p>
              </w:tc>
              <w:tc>
                <w:tcPr>
                  <w:tcW w:w="439" w:type="pct"/>
                  <w:vMerge w:val="continue"/>
                  <w:tcBorders>
                    <w:left w:val="single" w:color="auto" w:sz="4" w:space="0"/>
                    <w:right w:val="single" w:color="auto" w:sz="4" w:space="0"/>
                  </w:tcBorders>
                  <w:vAlign w:val="center"/>
                </w:tcPr>
                <w:p>
                  <w:pPr>
                    <w:jc w:val="center"/>
                    <w:rPr>
                      <w:color w:val="auto"/>
                      <w:szCs w:val="22"/>
                      <w:highlight w:val="none"/>
                    </w:rPr>
                  </w:pPr>
                </w:p>
              </w:tc>
              <w:tc>
                <w:tcPr>
                  <w:tcW w:w="473" w:type="pct"/>
                  <w:tcBorders>
                    <w:left w:val="single" w:color="auto" w:sz="4" w:space="0"/>
                    <w:right w:val="single" w:color="auto" w:sz="4" w:space="0"/>
                  </w:tcBorders>
                  <w:vAlign w:val="center"/>
                </w:tcPr>
                <w:p>
                  <w:pPr>
                    <w:jc w:val="center"/>
                    <w:rPr>
                      <w:color w:val="auto"/>
                      <w:kern w:val="0"/>
                      <w:szCs w:val="21"/>
                      <w:highlight w:val="none"/>
                    </w:rPr>
                  </w:pPr>
                  <w:r>
                    <w:rPr>
                      <w:color w:val="auto"/>
                      <w:kern w:val="0"/>
                      <w:szCs w:val="21"/>
                      <w:highlight w:val="none"/>
                    </w:rPr>
                    <w:t>8</w:t>
                  </w:r>
                </w:p>
              </w:tc>
              <w:tc>
                <w:tcPr>
                  <w:tcW w:w="710" w:type="pct"/>
                  <w:tcBorders>
                    <w:left w:val="single" w:color="auto" w:sz="4" w:space="0"/>
                    <w:right w:val="single" w:color="auto" w:sz="4" w:space="0"/>
                  </w:tcBorders>
                  <w:vAlign w:val="center"/>
                </w:tcPr>
                <w:p>
                  <w:pPr>
                    <w:jc w:val="center"/>
                    <w:rPr>
                      <w:color w:val="auto"/>
                      <w:szCs w:val="21"/>
                      <w:highlight w:val="none"/>
                    </w:rPr>
                  </w:pPr>
                  <w:r>
                    <w:rPr>
                      <w:color w:val="auto"/>
                      <w:szCs w:val="21"/>
                      <w:highlight w:val="none"/>
                    </w:rPr>
                    <w:t>0.003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 w:hRule="atLeast"/>
              </w:trPr>
              <w:tc>
                <w:tcPr>
                  <w:tcW w:w="596" w:type="pct"/>
                  <w:vMerge w:val="continue"/>
                  <w:tcBorders>
                    <w:left w:val="single" w:color="auto" w:sz="4" w:space="0"/>
                    <w:bottom w:val="single" w:color="auto" w:sz="4" w:space="0"/>
                    <w:right w:val="single" w:color="auto" w:sz="4" w:space="0"/>
                  </w:tcBorders>
                  <w:vAlign w:val="center"/>
                </w:tcPr>
                <w:p>
                  <w:pPr>
                    <w:jc w:val="center"/>
                    <w:rPr>
                      <w:color w:val="auto"/>
                      <w:szCs w:val="22"/>
                      <w:highlight w:val="none"/>
                    </w:rPr>
                  </w:pPr>
                </w:p>
              </w:tc>
              <w:tc>
                <w:tcPr>
                  <w:tcW w:w="477" w:type="pct"/>
                  <w:tcBorders>
                    <w:top w:val="single" w:color="auto" w:sz="4" w:space="0"/>
                    <w:left w:val="single" w:color="auto" w:sz="4" w:space="0"/>
                    <w:bottom w:val="single" w:color="auto" w:sz="4" w:space="0"/>
                    <w:right w:val="single" w:color="auto" w:sz="4" w:space="0"/>
                  </w:tcBorders>
                  <w:vAlign w:val="center"/>
                </w:tcPr>
                <w:p>
                  <w:pPr>
                    <w:jc w:val="center"/>
                    <w:rPr>
                      <w:color w:val="auto"/>
                      <w:kern w:val="0"/>
                      <w:szCs w:val="21"/>
                      <w:highlight w:val="none"/>
                    </w:rPr>
                  </w:pPr>
                  <w:r>
                    <w:rPr>
                      <w:color w:val="auto"/>
                      <w:kern w:val="0"/>
                      <w:szCs w:val="21"/>
                      <w:highlight w:val="none"/>
                    </w:rPr>
                    <w:t>总磷</w:t>
                  </w:r>
                </w:p>
              </w:tc>
              <w:tc>
                <w:tcPr>
                  <w:tcW w:w="504" w:type="pct"/>
                  <w:vMerge w:val="continue"/>
                  <w:tcBorders>
                    <w:left w:val="single" w:color="auto" w:sz="4" w:space="0"/>
                    <w:bottom w:val="single" w:color="auto" w:sz="4" w:space="0"/>
                    <w:right w:val="single" w:color="auto" w:sz="4" w:space="0"/>
                  </w:tcBorders>
                  <w:vAlign w:val="center"/>
                </w:tcPr>
                <w:p>
                  <w:pPr>
                    <w:jc w:val="center"/>
                    <w:rPr>
                      <w:color w:val="auto"/>
                      <w:szCs w:val="22"/>
                      <w:highlight w:val="none"/>
                    </w:rPr>
                  </w:pPr>
                </w:p>
              </w:tc>
              <w:tc>
                <w:tcPr>
                  <w:tcW w:w="467" w:type="pct"/>
                  <w:tcBorders>
                    <w:left w:val="single" w:color="auto" w:sz="4" w:space="0"/>
                    <w:bottom w:val="single" w:color="auto" w:sz="4" w:space="0"/>
                    <w:right w:val="single" w:color="auto" w:sz="4" w:space="0"/>
                  </w:tcBorders>
                  <w:vAlign w:val="center"/>
                </w:tcPr>
                <w:p>
                  <w:pPr>
                    <w:jc w:val="center"/>
                    <w:rPr>
                      <w:color w:val="auto"/>
                      <w:kern w:val="0"/>
                      <w:szCs w:val="21"/>
                      <w:highlight w:val="none"/>
                    </w:rPr>
                  </w:pPr>
                  <w:r>
                    <w:rPr>
                      <w:rFonts w:hint="eastAsia"/>
                      <w:color w:val="auto"/>
                      <w:kern w:val="0"/>
                      <w:szCs w:val="21"/>
                      <w:highlight w:val="none"/>
                    </w:rPr>
                    <w:t>5.5</w:t>
                  </w:r>
                </w:p>
              </w:tc>
              <w:tc>
                <w:tcPr>
                  <w:tcW w:w="636" w:type="pct"/>
                  <w:tcBorders>
                    <w:left w:val="single" w:color="auto" w:sz="4" w:space="0"/>
                    <w:bottom w:val="single" w:color="auto" w:sz="4" w:space="0"/>
                    <w:right w:val="single" w:color="auto" w:sz="4" w:space="0"/>
                  </w:tcBorders>
                  <w:vAlign w:val="center"/>
                </w:tcPr>
                <w:p>
                  <w:pPr>
                    <w:jc w:val="center"/>
                    <w:rPr>
                      <w:color w:val="auto"/>
                      <w:szCs w:val="21"/>
                      <w:highlight w:val="none"/>
                    </w:rPr>
                  </w:pPr>
                  <w:r>
                    <w:rPr>
                      <w:color w:val="auto"/>
                      <w:szCs w:val="21"/>
                      <w:highlight w:val="none"/>
                    </w:rPr>
                    <w:t>0.0</w:t>
                  </w:r>
                  <w:r>
                    <w:rPr>
                      <w:rFonts w:hint="eastAsia"/>
                      <w:color w:val="auto"/>
                      <w:szCs w:val="21"/>
                      <w:highlight w:val="none"/>
                    </w:rPr>
                    <w:t>02</w:t>
                  </w:r>
                </w:p>
              </w:tc>
              <w:tc>
                <w:tcPr>
                  <w:tcW w:w="303" w:type="pct"/>
                  <w:vMerge w:val="continue"/>
                  <w:tcBorders>
                    <w:top w:val="nil"/>
                    <w:left w:val="single" w:color="auto" w:sz="4" w:space="0"/>
                    <w:bottom w:val="single" w:color="auto" w:sz="4" w:space="0"/>
                    <w:right w:val="single" w:color="auto" w:sz="4" w:space="0"/>
                  </w:tcBorders>
                  <w:vAlign w:val="center"/>
                </w:tcPr>
                <w:p>
                  <w:pPr>
                    <w:jc w:val="center"/>
                    <w:rPr>
                      <w:color w:val="auto"/>
                      <w:szCs w:val="22"/>
                      <w:highlight w:val="none"/>
                    </w:rPr>
                  </w:pPr>
                </w:p>
              </w:tc>
              <w:tc>
                <w:tcPr>
                  <w:tcW w:w="393" w:type="pct"/>
                  <w:tcBorders>
                    <w:left w:val="single" w:color="auto" w:sz="4" w:space="0"/>
                    <w:bottom w:val="single" w:color="auto" w:sz="4" w:space="0"/>
                    <w:right w:val="single" w:color="auto" w:sz="4" w:space="0"/>
                  </w:tcBorders>
                  <w:vAlign w:val="center"/>
                </w:tcPr>
                <w:p>
                  <w:pPr>
                    <w:jc w:val="center"/>
                    <w:rPr>
                      <w:color w:val="auto"/>
                      <w:kern w:val="0"/>
                      <w:szCs w:val="21"/>
                      <w:highlight w:val="none"/>
                    </w:rPr>
                  </w:pPr>
                  <w:r>
                    <w:rPr>
                      <w:color w:val="auto"/>
                      <w:kern w:val="0"/>
                      <w:szCs w:val="21"/>
                      <w:highlight w:val="none"/>
                    </w:rPr>
                    <w:t>--</w:t>
                  </w:r>
                </w:p>
              </w:tc>
              <w:tc>
                <w:tcPr>
                  <w:tcW w:w="439" w:type="pct"/>
                  <w:vMerge w:val="continue"/>
                  <w:tcBorders>
                    <w:left w:val="single" w:color="auto" w:sz="4" w:space="0"/>
                    <w:bottom w:val="single" w:color="auto" w:sz="4" w:space="0"/>
                    <w:right w:val="single" w:color="auto" w:sz="4" w:space="0"/>
                  </w:tcBorders>
                  <w:vAlign w:val="center"/>
                </w:tcPr>
                <w:p>
                  <w:pPr>
                    <w:jc w:val="center"/>
                    <w:rPr>
                      <w:color w:val="auto"/>
                      <w:szCs w:val="22"/>
                      <w:highlight w:val="none"/>
                    </w:rPr>
                  </w:pPr>
                </w:p>
              </w:tc>
              <w:tc>
                <w:tcPr>
                  <w:tcW w:w="473" w:type="pct"/>
                  <w:tcBorders>
                    <w:left w:val="single" w:color="auto" w:sz="4" w:space="0"/>
                    <w:bottom w:val="single" w:color="auto" w:sz="4" w:space="0"/>
                    <w:right w:val="single" w:color="auto" w:sz="4" w:space="0"/>
                  </w:tcBorders>
                  <w:vAlign w:val="center"/>
                </w:tcPr>
                <w:p>
                  <w:pPr>
                    <w:jc w:val="center"/>
                    <w:rPr>
                      <w:color w:val="auto"/>
                      <w:kern w:val="0"/>
                      <w:szCs w:val="21"/>
                      <w:highlight w:val="none"/>
                    </w:rPr>
                  </w:pPr>
                  <w:r>
                    <w:rPr>
                      <w:rFonts w:hint="eastAsia"/>
                      <w:color w:val="auto"/>
                      <w:kern w:val="0"/>
                      <w:szCs w:val="21"/>
                      <w:highlight w:val="none"/>
                    </w:rPr>
                    <w:t>5.5</w:t>
                  </w:r>
                </w:p>
              </w:tc>
              <w:tc>
                <w:tcPr>
                  <w:tcW w:w="710" w:type="pct"/>
                  <w:tcBorders>
                    <w:left w:val="single" w:color="auto" w:sz="4" w:space="0"/>
                    <w:bottom w:val="single" w:color="auto" w:sz="4" w:space="0"/>
                    <w:right w:val="single" w:color="auto" w:sz="4" w:space="0"/>
                  </w:tcBorders>
                  <w:vAlign w:val="center"/>
                </w:tcPr>
                <w:p>
                  <w:pPr>
                    <w:jc w:val="center"/>
                    <w:rPr>
                      <w:color w:val="auto"/>
                      <w:szCs w:val="21"/>
                      <w:highlight w:val="none"/>
                    </w:rPr>
                  </w:pPr>
                  <w:r>
                    <w:rPr>
                      <w:color w:val="auto"/>
                      <w:szCs w:val="21"/>
                      <w:highlight w:val="none"/>
                    </w:rPr>
                    <w:t>0.00</w:t>
                  </w:r>
                  <w:r>
                    <w:rPr>
                      <w:rFonts w:hint="eastAsia"/>
                      <w:color w:val="auto"/>
                      <w:szCs w:val="21"/>
                      <w:highlight w:val="none"/>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 w:hRule="atLeast"/>
              </w:trPr>
              <w:tc>
                <w:tcPr>
                  <w:tcW w:w="596" w:type="pct"/>
                  <w:vMerge w:val="restart"/>
                  <w:tcBorders>
                    <w:top w:val="nil"/>
                    <w:left w:val="single" w:color="auto" w:sz="4" w:space="0"/>
                    <w:bottom w:val="single" w:color="auto" w:sz="4" w:space="0"/>
                    <w:right w:val="single" w:color="auto" w:sz="4" w:space="0"/>
                  </w:tcBorders>
                  <w:vAlign w:val="center"/>
                </w:tcPr>
                <w:p>
                  <w:pPr>
                    <w:widowControl/>
                    <w:jc w:val="center"/>
                    <w:rPr>
                      <w:color w:val="auto"/>
                      <w:kern w:val="0"/>
                      <w:highlight w:val="none"/>
                    </w:rPr>
                  </w:pPr>
                  <w:r>
                    <w:rPr>
                      <w:color w:val="auto"/>
                      <w:kern w:val="0"/>
                      <w:szCs w:val="21"/>
                      <w:highlight w:val="none"/>
                    </w:rPr>
                    <w:t>废气处理喷淋水</w:t>
                  </w:r>
                </w:p>
              </w:tc>
              <w:tc>
                <w:tcPr>
                  <w:tcW w:w="477" w:type="pct"/>
                  <w:tcBorders>
                    <w:top w:val="single" w:color="auto" w:sz="4" w:space="0"/>
                    <w:left w:val="single" w:color="auto" w:sz="4" w:space="0"/>
                    <w:bottom w:val="single" w:color="auto" w:sz="4" w:space="0"/>
                    <w:right w:val="single" w:color="auto" w:sz="4" w:space="0"/>
                  </w:tcBorders>
                  <w:vAlign w:val="center"/>
                </w:tcPr>
                <w:p>
                  <w:pPr>
                    <w:widowControl/>
                    <w:jc w:val="center"/>
                    <w:rPr>
                      <w:color w:val="auto"/>
                      <w:kern w:val="0"/>
                      <w:highlight w:val="none"/>
                    </w:rPr>
                  </w:pPr>
                  <w:r>
                    <w:rPr>
                      <w:color w:val="auto"/>
                      <w:kern w:val="0"/>
                      <w:szCs w:val="21"/>
                      <w:highlight w:val="none"/>
                    </w:rPr>
                    <w:t>pH</w:t>
                  </w:r>
                </w:p>
              </w:tc>
              <w:tc>
                <w:tcPr>
                  <w:tcW w:w="504" w:type="pct"/>
                  <w:vMerge w:val="restart"/>
                  <w:tcBorders>
                    <w:top w:val="nil"/>
                    <w:left w:val="single" w:color="auto" w:sz="4" w:space="0"/>
                    <w:bottom w:val="single" w:color="auto" w:sz="4" w:space="0"/>
                    <w:right w:val="single" w:color="auto" w:sz="4" w:space="0"/>
                  </w:tcBorders>
                  <w:vAlign w:val="center"/>
                </w:tcPr>
                <w:p>
                  <w:pPr>
                    <w:widowControl/>
                    <w:jc w:val="center"/>
                    <w:rPr>
                      <w:color w:val="auto"/>
                      <w:kern w:val="0"/>
                      <w:highlight w:val="none"/>
                    </w:rPr>
                  </w:pPr>
                  <w:r>
                    <w:rPr>
                      <w:color w:val="auto"/>
                      <w:kern w:val="0"/>
                      <w:szCs w:val="21"/>
                      <w:highlight w:val="none"/>
                    </w:rPr>
                    <w:t>30</w:t>
                  </w:r>
                </w:p>
              </w:tc>
              <w:tc>
                <w:tcPr>
                  <w:tcW w:w="467" w:type="pct"/>
                  <w:tcBorders>
                    <w:top w:val="single" w:color="auto" w:sz="4" w:space="0"/>
                    <w:left w:val="single" w:color="auto" w:sz="4" w:space="0"/>
                    <w:bottom w:val="single" w:color="auto" w:sz="4" w:space="0"/>
                    <w:right w:val="single" w:color="auto" w:sz="4" w:space="0"/>
                  </w:tcBorders>
                  <w:vAlign w:val="center"/>
                </w:tcPr>
                <w:p>
                  <w:pPr>
                    <w:jc w:val="center"/>
                    <w:rPr>
                      <w:color w:val="auto"/>
                      <w:kern w:val="0"/>
                      <w:highlight w:val="none"/>
                    </w:rPr>
                  </w:pPr>
                  <w:r>
                    <w:rPr>
                      <w:color w:val="auto"/>
                      <w:szCs w:val="21"/>
                      <w:highlight w:val="none"/>
                    </w:rPr>
                    <w:t>5-10</w:t>
                  </w:r>
                </w:p>
              </w:tc>
              <w:tc>
                <w:tcPr>
                  <w:tcW w:w="636" w:type="pct"/>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color w:val="auto"/>
                      <w:szCs w:val="21"/>
                      <w:highlight w:val="none"/>
                    </w:rPr>
                    <w:t>-</w:t>
                  </w:r>
                </w:p>
              </w:tc>
              <w:tc>
                <w:tcPr>
                  <w:tcW w:w="303" w:type="pct"/>
                  <w:vMerge w:val="continue"/>
                  <w:tcBorders>
                    <w:top w:val="nil"/>
                    <w:left w:val="single" w:color="auto" w:sz="4" w:space="0"/>
                    <w:bottom w:val="single" w:color="auto" w:sz="4" w:space="0"/>
                    <w:right w:val="single" w:color="auto" w:sz="4" w:space="0"/>
                  </w:tcBorders>
                  <w:vAlign w:val="center"/>
                </w:tcPr>
                <w:p>
                  <w:pPr>
                    <w:jc w:val="center"/>
                    <w:rPr>
                      <w:color w:val="auto"/>
                      <w:szCs w:val="22"/>
                      <w:highlight w:val="none"/>
                    </w:rPr>
                  </w:pPr>
                </w:p>
              </w:tc>
              <w:tc>
                <w:tcPr>
                  <w:tcW w:w="393" w:type="pct"/>
                  <w:tcBorders>
                    <w:top w:val="single" w:color="auto" w:sz="4" w:space="0"/>
                    <w:left w:val="single" w:color="auto" w:sz="4" w:space="0"/>
                    <w:bottom w:val="single" w:color="auto" w:sz="4" w:space="0"/>
                    <w:right w:val="single" w:color="auto" w:sz="4" w:space="0"/>
                  </w:tcBorders>
                  <w:vAlign w:val="center"/>
                </w:tcPr>
                <w:p>
                  <w:pPr>
                    <w:jc w:val="center"/>
                    <w:rPr>
                      <w:color w:val="auto"/>
                      <w:kern w:val="0"/>
                      <w:highlight w:val="none"/>
                    </w:rPr>
                  </w:pPr>
                  <w:r>
                    <w:rPr>
                      <w:color w:val="auto"/>
                      <w:kern w:val="0"/>
                      <w:szCs w:val="21"/>
                      <w:highlight w:val="none"/>
                    </w:rPr>
                    <w:t>--</w:t>
                  </w:r>
                </w:p>
              </w:tc>
              <w:tc>
                <w:tcPr>
                  <w:tcW w:w="439" w:type="pct"/>
                  <w:vMerge w:val="restart"/>
                  <w:tcBorders>
                    <w:top w:val="nil"/>
                    <w:left w:val="single" w:color="auto" w:sz="4" w:space="0"/>
                    <w:bottom w:val="single" w:color="auto" w:sz="4" w:space="0"/>
                    <w:right w:val="single" w:color="auto" w:sz="4" w:space="0"/>
                  </w:tcBorders>
                  <w:vAlign w:val="center"/>
                </w:tcPr>
                <w:p>
                  <w:pPr>
                    <w:widowControl/>
                    <w:jc w:val="center"/>
                    <w:rPr>
                      <w:color w:val="auto"/>
                      <w:kern w:val="0"/>
                      <w:highlight w:val="none"/>
                    </w:rPr>
                  </w:pPr>
                  <w:r>
                    <w:rPr>
                      <w:color w:val="auto"/>
                      <w:kern w:val="0"/>
                      <w:szCs w:val="21"/>
                      <w:highlight w:val="none"/>
                    </w:rPr>
                    <w:t>30</w:t>
                  </w:r>
                </w:p>
              </w:tc>
              <w:tc>
                <w:tcPr>
                  <w:tcW w:w="473" w:type="pct"/>
                  <w:tcBorders>
                    <w:top w:val="single" w:color="auto" w:sz="4" w:space="0"/>
                    <w:left w:val="single" w:color="auto" w:sz="4" w:space="0"/>
                    <w:bottom w:val="single" w:color="auto" w:sz="4" w:space="0"/>
                    <w:right w:val="single" w:color="auto" w:sz="4" w:space="0"/>
                  </w:tcBorders>
                  <w:vAlign w:val="center"/>
                </w:tcPr>
                <w:p>
                  <w:pPr>
                    <w:widowControl/>
                    <w:jc w:val="center"/>
                    <w:rPr>
                      <w:color w:val="auto"/>
                      <w:kern w:val="0"/>
                      <w:highlight w:val="none"/>
                    </w:rPr>
                  </w:pPr>
                  <w:r>
                    <w:rPr>
                      <w:color w:val="auto"/>
                      <w:kern w:val="0"/>
                      <w:szCs w:val="21"/>
                      <w:highlight w:val="none"/>
                    </w:rPr>
                    <w:t>6-9</w:t>
                  </w:r>
                </w:p>
              </w:tc>
              <w:tc>
                <w:tcPr>
                  <w:tcW w:w="710" w:type="pct"/>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color w:val="auto"/>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3" w:hRule="atLeast"/>
              </w:trPr>
              <w:tc>
                <w:tcPr>
                  <w:tcW w:w="596" w:type="pct"/>
                  <w:vMerge w:val="continue"/>
                  <w:tcBorders>
                    <w:top w:val="nil"/>
                    <w:left w:val="single" w:color="auto" w:sz="4" w:space="0"/>
                    <w:bottom w:val="single" w:color="auto" w:sz="4" w:space="0"/>
                    <w:right w:val="single" w:color="auto" w:sz="4" w:space="0"/>
                  </w:tcBorders>
                  <w:vAlign w:val="center"/>
                </w:tcPr>
                <w:p>
                  <w:pPr>
                    <w:jc w:val="center"/>
                    <w:rPr>
                      <w:color w:val="auto"/>
                      <w:szCs w:val="22"/>
                      <w:highlight w:val="none"/>
                    </w:rPr>
                  </w:pPr>
                </w:p>
              </w:tc>
              <w:tc>
                <w:tcPr>
                  <w:tcW w:w="477" w:type="pct"/>
                  <w:tcBorders>
                    <w:top w:val="single" w:color="auto" w:sz="4" w:space="0"/>
                    <w:left w:val="single" w:color="auto" w:sz="4" w:space="0"/>
                    <w:bottom w:val="single" w:color="auto" w:sz="4" w:space="0"/>
                    <w:right w:val="single" w:color="auto" w:sz="4" w:space="0"/>
                  </w:tcBorders>
                  <w:vAlign w:val="center"/>
                </w:tcPr>
                <w:p>
                  <w:pPr>
                    <w:widowControl/>
                    <w:jc w:val="center"/>
                    <w:rPr>
                      <w:color w:val="auto"/>
                      <w:kern w:val="0"/>
                      <w:highlight w:val="none"/>
                    </w:rPr>
                  </w:pPr>
                  <w:r>
                    <w:rPr>
                      <w:color w:val="auto"/>
                      <w:kern w:val="0"/>
                      <w:szCs w:val="21"/>
                      <w:highlight w:val="none"/>
                    </w:rPr>
                    <w:t>COD</w:t>
                  </w:r>
                </w:p>
              </w:tc>
              <w:tc>
                <w:tcPr>
                  <w:tcW w:w="504" w:type="pct"/>
                  <w:vMerge w:val="continue"/>
                  <w:tcBorders>
                    <w:top w:val="nil"/>
                    <w:left w:val="single" w:color="auto" w:sz="4" w:space="0"/>
                    <w:bottom w:val="single" w:color="auto" w:sz="4" w:space="0"/>
                    <w:right w:val="single" w:color="auto" w:sz="4" w:space="0"/>
                  </w:tcBorders>
                  <w:vAlign w:val="center"/>
                </w:tcPr>
                <w:p>
                  <w:pPr>
                    <w:jc w:val="center"/>
                    <w:rPr>
                      <w:color w:val="auto"/>
                      <w:szCs w:val="22"/>
                      <w:highlight w:val="none"/>
                    </w:rPr>
                  </w:pPr>
                </w:p>
              </w:tc>
              <w:tc>
                <w:tcPr>
                  <w:tcW w:w="467" w:type="pct"/>
                  <w:tcBorders>
                    <w:top w:val="single" w:color="auto" w:sz="4" w:space="0"/>
                    <w:left w:val="single" w:color="auto" w:sz="4" w:space="0"/>
                    <w:bottom w:val="single" w:color="auto" w:sz="4" w:space="0"/>
                    <w:right w:val="single" w:color="auto" w:sz="4" w:space="0"/>
                  </w:tcBorders>
                  <w:vAlign w:val="center"/>
                </w:tcPr>
                <w:p>
                  <w:pPr>
                    <w:jc w:val="center"/>
                    <w:rPr>
                      <w:color w:val="auto"/>
                      <w:kern w:val="0"/>
                      <w:highlight w:val="none"/>
                    </w:rPr>
                  </w:pPr>
                  <w:r>
                    <w:rPr>
                      <w:color w:val="auto"/>
                      <w:szCs w:val="21"/>
                      <w:highlight w:val="none"/>
                    </w:rPr>
                    <w:t>500</w:t>
                  </w:r>
                </w:p>
              </w:tc>
              <w:tc>
                <w:tcPr>
                  <w:tcW w:w="636" w:type="pct"/>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color w:val="auto"/>
                      <w:szCs w:val="21"/>
                      <w:highlight w:val="none"/>
                    </w:rPr>
                    <w:t>0.015</w:t>
                  </w:r>
                </w:p>
              </w:tc>
              <w:tc>
                <w:tcPr>
                  <w:tcW w:w="303" w:type="pct"/>
                  <w:vMerge w:val="continue"/>
                  <w:tcBorders>
                    <w:top w:val="nil"/>
                    <w:left w:val="single" w:color="auto" w:sz="4" w:space="0"/>
                    <w:bottom w:val="single" w:color="auto" w:sz="4" w:space="0"/>
                    <w:right w:val="single" w:color="auto" w:sz="4" w:space="0"/>
                  </w:tcBorders>
                  <w:vAlign w:val="center"/>
                </w:tcPr>
                <w:p>
                  <w:pPr>
                    <w:jc w:val="center"/>
                    <w:rPr>
                      <w:color w:val="auto"/>
                      <w:szCs w:val="22"/>
                      <w:highlight w:val="none"/>
                    </w:rPr>
                  </w:pPr>
                </w:p>
              </w:tc>
              <w:tc>
                <w:tcPr>
                  <w:tcW w:w="393" w:type="pct"/>
                  <w:tcBorders>
                    <w:top w:val="single" w:color="auto" w:sz="4" w:space="0"/>
                    <w:left w:val="single" w:color="auto" w:sz="4" w:space="0"/>
                    <w:bottom w:val="single" w:color="auto" w:sz="4" w:space="0"/>
                    <w:right w:val="single" w:color="auto" w:sz="4" w:space="0"/>
                  </w:tcBorders>
                  <w:vAlign w:val="center"/>
                </w:tcPr>
                <w:p>
                  <w:pPr>
                    <w:jc w:val="center"/>
                    <w:rPr>
                      <w:color w:val="auto"/>
                      <w:kern w:val="0"/>
                      <w:highlight w:val="none"/>
                    </w:rPr>
                  </w:pPr>
                  <w:r>
                    <w:rPr>
                      <w:rFonts w:hint="eastAsia"/>
                      <w:color w:val="auto"/>
                      <w:kern w:val="0"/>
                      <w:szCs w:val="21"/>
                      <w:highlight w:val="none"/>
                    </w:rPr>
                    <w:t>--</w:t>
                  </w:r>
                </w:p>
              </w:tc>
              <w:tc>
                <w:tcPr>
                  <w:tcW w:w="439" w:type="pct"/>
                  <w:vMerge w:val="continue"/>
                  <w:tcBorders>
                    <w:top w:val="nil"/>
                    <w:left w:val="single" w:color="auto" w:sz="4" w:space="0"/>
                    <w:bottom w:val="single" w:color="auto" w:sz="4" w:space="0"/>
                    <w:right w:val="single" w:color="auto" w:sz="4" w:space="0"/>
                  </w:tcBorders>
                  <w:vAlign w:val="center"/>
                </w:tcPr>
                <w:p>
                  <w:pPr>
                    <w:jc w:val="center"/>
                    <w:rPr>
                      <w:color w:val="auto"/>
                      <w:szCs w:val="22"/>
                      <w:highlight w:val="none"/>
                    </w:rPr>
                  </w:pPr>
                </w:p>
              </w:tc>
              <w:tc>
                <w:tcPr>
                  <w:tcW w:w="473" w:type="pct"/>
                  <w:tcBorders>
                    <w:top w:val="single" w:color="auto" w:sz="4" w:space="0"/>
                    <w:left w:val="single" w:color="auto" w:sz="4" w:space="0"/>
                    <w:bottom w:val="single" w:color="auto" w:sz="4" w:space="0"/>
                    <w:right w:val="single" w:color="auto" w:sz="4" w:space="0"/>
                  </w:tcBorders>
                  <w:vAlign w:val="center"/>
                </w:tcPr>
                <w:p>
                  <w:pPr>
                    <w:jc w:val="center"/>
                    <w:rPr>
                      <w:color w:val="auto"/>
                      <w:kern w:val="0"/>
                      <w:highlight w:val="none"/>
                    </w:rPr>
                  </w:pPr>
                  <w:r>
                    <w:rPr>
                      <w:rFonts w:hint="eastAsia"/>
                      <w:color w:val="auto"/>
                      <w:szCs w:val="21"/>
                      <w:highlight w:val="none"/>
                    </w:rPr>
                    <w:t>5</w:t>
                  </w:r>
                  <w:r>
                    <w:rPr>
                      <w:color w:val="auto"/>
                      <w:szCs w:val="21"/>
                      <w:highlight w:val="none"/>
                    </w:rPr>
                    <w:t>00</w:t>
                  </w:r>
                </w:p>
              </w:tc>
              <w:tc>
                <w:tcPr>
                  <w:tcW w:w="710" w:type="pct"/>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color w:val="auto"/>
                      <w:szCs w:val="21"/>
                      <w:highlight w:val="none"/>
                    </w:rPr>
                    <w:t>0.01</w:t>
                  </w:r>
                  <w:r>
                    <w:rPr>
                      <w:rFonts w:hint="eastAsia"/>
                      <w:color w:val="auto"/>
                      <w:szCs w:val="21"/>
                      <w:highlight w:val="none"/>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38" w:hRule="atLeast"/>
              </w:trPr>
              <w:tc>
                <w:tcPr>
                  <w:tcW w:w="596" w:type="pct"/>
                  <w:vMerge w:val="continue"/>
                  <w:tcBorders>
                    <w:top w:val="nil"/>
                    <w:left w:val="single" w:color="auto" w:sz="4" w:space="0"/>
                    <w:bottom w:val="single" w:color="auto" w:sz="4" w:space="0"/>
                    <w:right w:val="single" w:color="auto" w:sz="4" w:space="0"/>
                  </w:tcBorders>
                  <w:vAlign w:val="center"/>
                </w:tcPr>
                <w:p>
                  <w:pPr>
                    <w:jc w:val="center"/>
                    <w:rPr>
                      <w:color w:val="auto"/>
                      <w:szCs w:val="22"/>
                      <w:highlight w:val="none"/>
                    </w:rPr>
                  </w:pPr>
                </w:p>
              </w:tc>
              <w:tc>
                <w:tcPr>
                  <w:tcW w:w="477" w:type="pct"/>
                  <w:tcBorders>
                    <w:top w:val="single" w:color="auto" w:sz="4" w:space="0"/>
                    <w:left w:val="single" w:color="auto" w:sz="4" w:space="0"/>
                    <w:bottom w:val="single" w:color="auto" w:sz="4" w:space="0"/>
                    <w:right w:val="single" w:color="auto" w:sz="4" w:space="0"/>
                  </w:tcBorders>
                  <w:vAlign w:val="center"/>
                </w:tcPr>
                <w:p>
                  <w:pPr>
                    <w:widowControl/>
                    <w:jc w:val="center"/>
                    <w:rPr>
                      <w:color w:val="auto"/>
                      <w:kern w:val="0"/>
                      <w:highlight w:val="none"/>
                    </w:rPr>
                  </w:pPr>
                  <w:r>
                    <w:rPr>
                      <w:color w:val="auto"/>
                      <w:kern w:val="0"/>
                      <w:szCs w:val="21"/>
                      <w:highlight w:val="none"/>
                    </w:rPr>
                    <w:t>SS</w:t>
                  </w:r>
                </w:p>
              </w:tc>
              <w:tc>
                <w:tcPr>
                  <w:tcW w:w="504" w:type="pct"/>
                  <w:vMerge w:val="continue"/>
                  <w:tcBorders>
                    <w:top w:val="nil"/>
                    <w:left w:val="single" w:color="auto" w:sz="4" w:space="0"/>
                    <w:bottom w:val="single" w:color="auto" w:sz="4" w:space="0"/>
                    <w:right w:val="single" w:color="auto" w:sz="4" w:space="0"/>
                  </w:tcBorders>
                  <w:vAlign w:val="center"/>
                </w:tcPr>
                <w:p>
                  <w:pPr>
                    <w:jc w:val="center"/>
                    <w:rPr>
                      <w:color w:val="auto"/>
                      <w:szCs w:val="22"/>
                      <w:highlight w:val="none"/>
                    </w:rPr>
                  </w:pPr>
                </w:p>
              </w:tc>
              <w:tc>
                <w:tcPr>
                  <w:tcW w:w="467" w:type="pct"/>
                  <w:tcBorders>
                    <w:top w:val="single" w:color="auto" w:sz="4" w:space="0"/>
                    <w:left w:val="single" w:color="auto" w:sz="4" w:space="0"/>
                    <w:bottom w:val="single" w:color="auto" w:sz="4" w:space="0"/>
                    <w:right w:val="single" w:color="auto" w:sz="4" w:space="0"/>
                  </w:tcBorders>
                  <w:vAlign w:val="center"/>
                </w:tcPr>
                <w:p>
                  <w:pPr>
                    <w:widowControl/>
                    <w:jc w:val="center"/>
                    <w:rPr>
                      <w:color w:val="auto"/>
                      <w:kern w:val="0"/>
                      <w:highlight w:val="none"/>
                    </w:rPr>
                  </w:pPr>
                  <w:r>
                    <w:rPr>
                      <w:color w:val="auto"/>
                      <w:kern w:val="0"/>
                      <w:szCs w:val="21"/>
                      <w:highlight w:val="none"/>
                    </w:rPr>
                    <w:t>400</w:t>
                  </w:r>
                </w:p>
              </w:tc>
              <w:tc>
                <w:tcPr>
                  <w:tcW w:w="636" w:type="pct"/>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color w:val="auto"/>
                      <w:szCs w:val="21"/>
                      <w:highlight w:val="none"/>
                    </w:rPr>
                    <w:t>0.012</w:t>
                  </w:r>
                </w:p>
              </w:tc>
              <w:tc>
                <w:tcPr>
                  <w:tcW w:w="303" w:type="pct"/>
                  <w:vMerge w:val="continue"/>
                  <w:tcBorders>
                    <w:top w:val="nil"/>
                    <w:left w:val="single" w:color="auto" w:sz="4" w:space="0"/>
                    <w:bottom w:val="single" w:color="auto" w:sz="4" w:space="0"/>
                    <w:right w:val="single" w:color="auto" w:sz="4" w:space="0"/>
                  </w:tcBorders>
                  <w:vAlign w:val="center"/>
                </w:tcPr>
                <w:p>
                  <w:pPr>
                    <w:jc w:val="center"/>
                    <w:rPr>
                      <w:color w:val="auto"/>
                      <w:szCs w:val="22"/>
                      <w:highlight w:val="none"/>
                    </w:rPr>
                  </w:pPr>
                </w:p>
              </w:tc>
              <w:tc>
                <w:tcPr>
                  <w:tcW w:w="393" w:type="pct"/>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color w:val="auto"/>
                      <w:szCs w:val="21"/>
                      <w:highlight w:val="none"/>
                    </w:rPr>
                    <w:t>--</w:t>
                  </w:r>
                </w:p>
              </w:tc>
              <w:tc>
                <w:tcPr>
                  <w:tcW w:w="439" w:type="pct"/>
                  <w:vMerge w:val="continue"/>
                  <w:tcBorders>
                    <w:top w:val="nil"/>
                    <w:left w:val="single" w:color="auto" w:sz="4" w:space="0"/>
                    <w:bottom w:val="single" w:color="auto" w:sz="4" w:space="0"/>
                    <w:right w:val="single" w:color="auto" w:sz="4" w:space="0"/>
                  </w:tcBorders>
                  <w:vAlign w:val="center"/>
                </w:tcPr>
                <w:p>
                  <w:pPr>
                    <w:jc w:val="center"/>
                    <w:rPr>
                      <w:color w:val="auto"/>
                      <w:szCs w:val="22"/>
                      <w:highlight w:val="none"/>
                    </w:rPr>
                  </w:pPr>
                </w:p>
              </w:tc>
              <w:tc>
                <w:tcPr>
                  <w:tcW w:w="473" w:type="pct"/>
                  <w:tcBorders>
                    <w:top w:val="single" w:color="auto" w:sz="4" w:space="0"/>
                    <w:left w:val="single" w:color="auto" w:sz="4" w:space="0"/>
                    <w:bottom w:val="single" w:color="auto" w:sz="4" w:space="0"/>
                    <w:right w:val="single" w:color="auto" w:sz="4" w:space="0"/>
                  </w:tcBorders>
                  <w:vAlign w:val="center"/>
                </w:tcPr>
                <w:p>
                  <w:pPr>
                    <w:widowControl/>
                    <w:jc w:val="center"/>
                    <w:rPr>
                      <w:color w:val="auto"/>
                      <w:kern w:val="0"/>
                      <w:highlight w:val="none"/>
                    </w:rPr>
                  </w:pPr>
                  <w:r>
                    <w:rPr>
                      <w:color w:val="auto"/>
                      <w:kern w:val="0"/>
                      <w:szCs w:val="21"/>
                      <w:highlight w:val="none"/>
                    </w:rPr>
                    <w:t>400</w:t>
                  </w:r>
                </w:p>
              </w:tc>
              <w:tc>
                <w:tcPr>
                  <w:tcW w:w="710" w:type="pct"/>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color w:val="auto"/>
                      <w:szCs w:val="21"/>
                      <w:highlight w:val="none"/>
                    </w:rPr>
                    <w:t>0.012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7" w:hRule="atLeast"/>
              </w:trPr>
              <w:tc>
                <w:tcPr>
                  <w:tcW w:w="596" w:type="pct"/>
                  <w:vMerge w:val="restart"/>
                  <w:tcBorders>
                    <w:top w:val="nil"/>
                    <w:left w:val="single" w:color="auto" w:sz="4" w:space="0"/>
                    <w:bottom w:val="single" w:color="auto" w:sz="4" w:space="0"/>
                    <w:right w:val="single" w:color="auto" w:sz="4" w:space="0"/>
                  </w:tcBorders>
                  <w:vAlign w:val="center"/>
                </w:tcPr>
                <w:p>
                  <w:pPr>
                    <w:widowControl/>
                    <w:jc w:val="center"/>
                    <w:rPr>
                      <w:color w:val="auto"/>
                      <w:kern w:val="0"/>
                      <w:highlight w:val="none"/>
                    </w:rPr>
                  </w:pPr>
                  <w:r>
                    <w:rPr>
                      <w:color w:val="auto"/>
                      <w:kern w:val="0"/>
                      <w:szCs w:val="21"/>
                      <w:highlight w:val="none"/>
                    </w:rPr>
                    <w:t>冲洗水</w:t>
                  </w:r>
                </w:p>
              </w:tc>
              <w:tc>
                <w:tcPr>
                  <w:tcW w:w="477" w:type="pct"/>
                  <w:tcBorders>
                    <w:top w:val="single" w:color="auto" w:sz="4" w:space="0"/>
                    <w:left w:val="single" w:color="auto" w:sz="4" w:space="0"/>
                    <w:bottom w:val="single" w:color="auto" w:sz="4" w:space="0"/>
                    <w:right w:val="single" w:color="auto" w:sz="4" w:space="0"/>
                  </w:tcBorders>
                  <w:vAlign w:val="center"/>
                </w:tcPr>
                <w:p>
                  <w:pPr>
                    <w:widowControl/>
                    <w:jc w:val="center"/>
                    <w:rPr>
                      <w:color w:val="auto"/>
                      <w:kern w:val="0"/>
                      <w:highlight w:val="none"/>
                    </w:rPr>
                  </w:pPr>
                  <w:r>
                    <w:rPr>
                      <w:color w:val="auto"/>
                      <w:kern w:val="0"/>
                      <w:szCs w:val="21"/>
                      <w:highlight w:val="none"/>
                    </w:rPr>
                    <w:t>COD</w:t>
                  </w:r>
                </w:p>
              </w:tc>
              <w:tc>
                <w:tcPr>
                  <w:tcW w:w="504" w:type="pct"/>
                  <w:vMerge w:val="restart"/>
                  <w:tcBorders>
                    <w:top w:val="nil"/>
                    <w:left w:val="single" w:color="auto" w:sz="4" w:space="0"/>
                    <w:bottom w:val="single" w:color="auto" w:sz="4" w:space="0"/>
                    <w:right w:val="single" w:color="auto" w:sz="4" w:space="0"/>
                  </w:tcBorders>
                  <w:vAlign w:val="center"/>
                </w:tcPr>
                <w:p>
                  <w:pPr>
                    <w:widowControl/>
                    <w:autoSpaceDE w:val="0"/>
                    <w:jc w:val="center"/>
                    <w:rPr>
                      <w:color w:val="auto"/>
                      <w:kern w:val="0"/>
                      <w:highlight w:val="none"/>
                    </w:rPr>
                  </w:pPr>
                  <w:r>
                    <w:rPr>
                      <w:color w:val="auto"/>
                      <w:kern w:val="0"/>
                      <w:szCs w:val="21"/>
                      <w:highlight w:val="none"/>
                    </w:rPr>
                    <w:t>1840</w:t>
                  </w:r>
                </w:p>
              </w:tc>
              <w:tc>
                <w:tcPr>
                  <w:tcW w:w="467" w:type="pct"/>
                  <w:tcBorders>
                    <w:top w:val="single" w:color="auto" w:sz="4" w:space="0"/>
                    <w:left w:val="single" w:color="auto" w:sz="4" w:space="0"/>
                    <w:bottom w:val="single" w:color="auto" w:sz="4" w:space="0"/>
                    <w:right w:val="single" w:color="auto" w:sz="4" w:space="0"/>
                  </w:tcBorders>
                  <w:vAlign w:val="center"/>
                </w:tcPr>
                <w:p>
                  <w:pPr>
                    <w:widowControl/>
                    <w:jc w:val="center"/>
                    <w:rPr>
                      <w:color w:val="auto"/>
                      <w:kern w:val="0"/>
                      <w:highlight w:val="none"/>
                    </w:rPr>
                  </w:pPr>
                  <w:r>
                    <w:rPr>
                      <w:color w:val="auto"/>
                      <w:kern w:val="0"/>
                      <w:szCs w:val="21"/>
                      <w:highlight w:val="none"/>
                    </w:rPr>
                    <w:t>50</w:t>
                  </w:r>
                </w:p>
              </w:tc>
              <w:tc>
                <w:tcPr>
                  <w:tcW w:w="636" w:type="pct"/>
                  <w:tcBorders>
                    <w:top w:val="single" w:color="auto" w:sz="4" w:space="0"/>
                    <w:left w:val="single" w:color="auto" w:sz="4" w:space="0"/>
                    <w:bottom w:val="single" w:color="auto" w:sz="4" w:space="0"/>
                    <w:right w:val="single" w:color="auto" w:sz="4" w:space="0"/>
                  </w:tcBorders>
                  <w:vAlign w:val="center"/>
                </w:tcPr>
                <w:p>
                  <w:pPr>
                    <w:jc w:val="center"/>
                    <w:rPr>
                      <w:color w:val="auto"/>
                      <w:szCs w:val="21"/>
                      <w:highlight w:val="none"/>
                    </w:rPr>
                  </w:pPr>
                  <w:r>
                    <w:rPr>
                      <w:color w:val="auto"/>
                      <w:szCs w:val="21"/>
                      <w:highlight w:val="none"/>
                    </w:rPr>
                    <w:t>0.092</w:t>
                  </w:r>
                </w:p>
              </w:tc>
              <w:tc>
                <w:tcPr>
                  <w:tcW w:w="303" w:type="pct"/>
                  <w:vMerge w:val="restart"/>
                  <w:tcBorders>
                    <w:top w:val="nil"/>
                    <w:left w:val="single" w:color="auto" w:sz="4" w:space="0"/>
                    <w:bottom w:val="single" w:color="auto" w:sz="4" w:space="0"/>
                    <w:right w:val="single" w:color="auto" w:sz="4" w:space="0"/>
                  </w:tcBorders>
                  <w:vAlign w:val="center"/>
                </w:tcPr>
                <w:p>
                  <w:pPr>
                    <w:widowControl/>
                    <w:jc w:val="center"/>
                    <w:rPr>
                      <w:color w:val="auto"/>
                      <w:kern w:val="0"/>
                      <w:highlight w:val="none"/>
                    </w:rPr>
                  </w:pPr>
                  <w:r>
                    <w:rPr>
                      <w:color w:val="auto"/>
                      <w:kern w:val="0"/>
                      <w:szCs w:val="21"/>
                      <w:highlight w:val="none"/>
                    </w:rPr>
                    <w:t>--</w:t>
                  </w:r>
                </w:p>
              </w:tc>
              <w:tc>
                <w:tcPr>
                  <w:tcW w:w="393" w:type="pct"/>
                  <w:tcBorders>
                    <w:top w:val="single" w:color="auto" w:sz="4" w:space="0"/>
                    <w:left w:val="single" w:color="auto" w:sz="4" w:space="0"/>
                    <w:bottom w:val="single" w:color="auto" w:sz="4" w:space="0"/>
                    <w:right w:val="single" w:color="auto" w:sz="4" w:space="0"/>
                  </w:tcBorders>
                  <w:vAlign w:val="center"/>
                </w:tcPr>
                <w:p>
                  <w:pPr>
                    <w:jc w:val="center"/>
                    <w:rPr>
                      <w:color w:val="auto"/>
                      <w:kern w:val="0"/>
                      <w:highlight w:val="none"/>
                    </w:rPr>
                  </w:pPr>
                  <w:r>
                    <w:rPr>
                      <w:color w:val="auto"/>
                      <w:kern w:val="0"/>
                      <w:szCs w:val="21"/>
                      <w:highlight w:val="none"/>
                    </w:rPr>
                    <w:t>--</w:t>
                  </w:r>
                </w:p>
              </w:tc>
              <w:tc>
                <w:tcPr>
                  <w:tcW w:w="439" w:type="pct"/>
                  <w:vMerge w:val="restart"/>
                  <w:tcBorders>
                    <w:top w:val="nil"/>
                    <w:left w:val="single" w:color="auto" w:sz="4" w:space="0"/>
                    <w:bottom w:val="single" w:color="auto" w:sz="4" w:space="0"/>
                    <w:right w:val="single" w:color="auto" w:sz="4" w:space="0"/>
                  </w:tcBorders>
                  <w:vAlign w:val="center"/>
                </w:tcPr>
                <w:p>
                  <w:pPr>
                    <w:widowControl/>
                    <w:autoSpaceDE w:val="0"/>
                    <w:jc w:val="center"/>
                    <w:rPr>
                      <w:color w:val="auto"/>
                      <w:kern w:val="0"/>
                      <w:highlight w:val="none"/>
                    </w:rPr>
                  </w:pPr>
                  <w:r>
                    <w:rPr>
                      <w:color w:val="auto"/>
                      <w:kern w:val="0"/>
                      <w:szCs w:val="21"/>
                      <w:highlight w:val="none"/>
                    </w:rPr>
                    <w:t>1840</w:t>
                  </w:r>
                </w:p>
              </w:tc>
              <w:tc>
                <w:tcPr>
                  <w:tcW w:w="473" w:type="pct"/>
                  <w:tcBorders>
                    <w:top w:val="single" w:color="auto" w:sz="4" w:space="0"/>
                    <w:left w:val="single" w:color="auto" w:sz="4" w:space="0"/>
                    <w:bottom w:val="single" w:color="auto" w:sz="4" w:space="0"/>
                    <w:right w:val="single" w:color="auto" w:sz="4" w:space="0"/>
                  </w:tcBorders>
                  <w:vAlign w:val="center"/>
                </w:tcPr>
                <w:p>
                  <w:pPr>
                    <w:widowControl/>
                    <w:jc w:val="center"/>
                    <w:rPr>
                      <w:color w:val="auto"/>
                      <w:kern w:val="0"/>
                      <w:highlight w:val="none"/>
                    </w:rPr>
                  </w:pPr>
                  <w:r>
                    <w:rPr>
                      <w:color w:val="auto"/>
                      <w:kern w:val="0"/>
                      <w:szCs w:val="21"/>
                      <w:highlight w:val="none"/>
                    </w:rPr>
                    <w:t>50</w:t>
                  </w:r>
                </w:p>
              </w:tc>
              <w:tc>
                <w:tcPr>
                  <w:tcW w:w="710" w:type="pct"/>
                  <w:tcBorders>
                    <w:top w:val="single" w:color="auto" w:sz="4" w:space="0"/>
                    <w:left w:val="single" w:color="auto" w:sz="4" w:space="0"/>
                    <w:bottom w:val="single" w:color="auto" w:sz="4" w:space="0"/>
                    <w:right w:val="single" w:color="auto" w:sz="4" w:space="0"/>
                  </w:tcBorders>
                  <w:vAlign w:val="center"/>
                </w:tcPr>
                <w:p>
                  <w:pPr>
                    <w:jc w:val="center"/>
                    <w:rPr>
                      <w:color w:val="auto"/>
                      <w:szCs w:val="21"/>
                      <w:highlight w:val="none"/>
                    </w:rPr>
                  </w:pPr>
                  <w:r>
                    <w:rPr>
                      <w:color w:val="auto"/>
                      <w:szCs w:val="21"/>
                      <w:highlight w:val="none"/>
                    </w:rPr>
                    <w:t>0.092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trPr>
              <w:tc>
                <w:tcPr>
                  <w:tcW w:w="596" w:type="pct"/>
                  <w:vMerge w:val="continue"/>
                  <w:tcBorders>
                    <w:top w:val="nil"/>
                    <w:left w:val="single" w:color="auto" w:sz="4" w:space="0"/>
                    <w:bottom w:val="single" w:color="auto" w:sz="4" w:space="0"/>
                    <w:right w:val="single" w:color="auto" w:sz="4" w:space="0"/>
                  </w:tcBorders>
                  <w:vAlign w:val="center"/>
                </w:tcPr>
                <w:p>
                  <w:pPr>
                    <w:jc w:val="center"/>
                    <w:rPr>
                      <w:color w:val="auto"/>
                      <w:szCs w:val="22"/>
                      <w:highlight w:val="none"/>
                    </w:rPr>
                  </w:pPr>
                </w:p>
              </w:tc>
              <w:tc>
                <w:tcPr>
                  <w:tcW w:w="477" w:type="pct"/>
                  <w:tcBorders>
                    <w:top w:val="single" w:color="auto" w:sz="4" w:space="0"/>
                    <w:left w:val="single" w:color="auto" w:sz="4" w:space="0"/>
                    <w:bottom w:val="single" w:color="auto" w:sz="4" w:space="0"/>
                    <w:right w:val="single" w:color="auto" w:sz="4" w:space="0"/>
                  </w:tcBorders>
                  <w:vAlign w:val="center"/>
                </w:tcPr>
                <w:p>
                  <w:pPr>
                    <w:widowControl/>
                    <w:jc w:val="center"/>
                    <w:rPr>
                      <w:color w:val="auto"/>
                      <w:kern w:val="0"/>
                      <w:highlight w:val="none"/>
                    </w:rPr>
                  </w:pPr>
                  <w:r>
                    <w:rPr>
                      <w:color w:val="auto"/>
                      <w:kern w:val="0"/>
                      <w:szCs w:val="21"/>
                      <w:highlight w:val="none"/>
                    </w:rPr>
                    <w:t>SS</w:t>
                  </w:r>
                </w:p>
              </w:tc>
              <w:tc>
                <w:tcPr>
                  <w:tcW w:w="504" w:type="pct"/>
                  <w:vMerge w:val="continue"/>
                  <w:tcBorders>
                    <w:top w:val="nil"/>
                    <w:left w:val="single" w:color="auto" w:sz="4" w:space="0"/>
                    <w:bottom w:val="single" w:color="auto" w:sz="4" w:space="0"/>
                    <w:right w:val="single" w:color="auto" w:sz="4" w:space="0"/>
                  </w:tcBorders>
                  <w:vAlign w:val="center"/>
                </w:tcPr>
                <w:p>
                  <w:pPr>
                    <w:jc w:val="center"/>
                    <w:rPr>
                      <w:color w:val="auto"/>
                      <w:szCs w:val="22"/>
                      <w:highlight w:val="none"/>
                    </w:rPr>
                  </w:pPr>
                </w:p>
              </w:tc>
              <w:tc>
                <w:tcPr>
                  <w:tcW w:w="467" w:type="pct"/>
                  <w:tcBorders>
                    <w:top w:val="single" w:color="auto" w:sz="4" w:space="0"/>
                    <w:left w:val="single" w:color="auto" w:sz="4" w:space="0"/>
                    <w:bottom w:val="single" w:color="auto" w:sz="4" w:space="0"/>
                    <w:right w:val="single" w:color="auto" w:sz="4" w:space="0"/>
                  </w:tcBorders>
                  <w:vAlign w:val="center"/>
                </w:tcPr>
                <w:p>
                  <w:pPr>
                    <w:widowControl/>
                    <w:jc w:val="center"/>
                    <w:rPr>
                      <w:color w:val="auto"/>
                      <w:kern w:val="0"/>
                      <w:highlight w:val="none"/>
                    </w:rPr>
                  </w:pPr>
                  <w:r>
                    <w:rPr>
                      <w:color w:val="auto"/>
                      <w:kern w:val="0"/>
                      <w:szCs w:val="21"/>
                      <w:highlight w:val="none"/>
                    </w:rPr>
                    <w:t>30</w:t>
                  </w:r>
                </w:p>
              </w:tc>
              <w:tc>
                <w:tcPr>
                  <w:tcW w:w="636" w:type="pct"/>
                  <w:tcBorders>
                    <w:top w:val="single" w:color="auto" w:sz="4" w:space="0"/>
                    <w:left w:val="single" w:color="auto" w:sz="4" w:space="0"/>
                    <w:bottom w:val="single" w:color="auto" w:sz="4" w:space="0"/>
                    <w:right w:val="single" w:color="auto" w:sz="4" w:space="0"/>
                  </w:tcBorders>
                  <w:vAlign w:val="center"/>
                </w:tcPr>
                <w:p>
                  <w:pPr>
                    <w:jc w:val="center"/>
                    <w:rPr>
                      <w:color w:val="auto"/>
                      <w:szCs w:val="21"/>
                      <w:highlight w:val="none"/>
                    </w:rPr>
                  </w:pPr>
                  <w:r>
                    <w:rPr>
                      <w:color w:val="auto"/>
                      <w:szCs w:val="21"/>
                      <w:highlight w:val="none"/>
                    </w:rPr>
                    <w:t>0.055</w:t>
                  </w:r>
                </w:p>
              </w:tc>
              <w:tc>
                <w:tcPr>
                  <w:tcW w:w="303" w:type="pct"/>
                  <w:vMerge w:val="continue"/>
                  <w:tcBorders>
                    <w:top w:val="nil"/>
                    <w:left w:val="single" w:color="auto" w:sz="4" w:space="0"/>
                    <w:bottom w:val="single" w:color="auto" w:sz="4" w:space="0"/>
                    <w:right w:val="single" w:color="auto" w:sz="4" w:space="0"/>
                  </w:tcBorders>
                  <w:vAlign w:val="center"/>
                </w:tcPr>
                <w:p>
                  <w:pPr>
                    <w:jc w:val="center"/>
                    <w:rPr>
                      <w:color w:val="auto"/>
                      <w:szCs w:val="22"/>
                      <w:highlight w:val="none"/>
                    </w:rPr>
                  </w:pPr>
                </w:p>
              </w:tc>
              <w:tc>
                <w:tcPr>
                  <w:tcW w:w="393" w:type="pct"/>
                  <w:tcBorders>
                    <w:top w:val="single" w:color="auto" w:sz="4" w:space="0"/>
                    <w:left w:val="single" w:color="auto" w:sz="4" w:space="0"/>
                    <w:bottom w:val="single" w:color="auto" w:sz="4" w:space="0"/>
                    <w:right w:val="single" w:color="auto" w:sz="4" w:space="0"/>
                  </w:tcBorders>
                  <w:vAlign w:val="center"/>
                </w:tcPr>
                <w:p>
                  <w:pPr>
                    <w:jc w:val="center"/>
                    <w:rPr>
                      <w:color w:val="auto"/>
                      <w:kern w:val="0"/>
                      <w:highlight w:val="none"/>
                    </w:rPr>
                  </w:pPr>
                  <w:r>
                    <w:rPr>
                      <w:color w:val="auto"/>
                      <w:kern w:val="0"/>
                      <w:szCs w:val="21"/>
                      <w:highlight w:val="none"/>
                    </w:rPr>
                    <w:t>--</w:t>
                  </w:r>
                </w:p>
              </w:tc>
              <w:tc>
                <w:tcPr>
                  <w:tcW w:w="439" w:type="pct"/>
                  <w:vMerge w:val="continue"/>
                  <w:tcBorders>
                    <w:top w:val="nil"/>
                    <w:left w:val="single" w:color="auto" w:sz="4" w:space="0"/>
                    <w:bottom w:val="single" w:color="auto" w:sz="4" w:space="0"/>
                    <w:right w:val="single" w:color="auto" w:sz="4" w:space="0"/>
                  </w:tcBorders>
                  <w:vAlign w:val="center"/>
                </w:tcPr>
                <w:p>
                  <w:pPr>
                    <w:jc w:val="center"/>
                    <w:rPr>
                      <w:color w:val="auto"/>
                      <w:szCs w:val="22"/>
                      <w:highlight w:val="none"/>
                    </w:rPr>
                  </w:pPr>
                </w:p>
              </w:tc>
              <w:tc>
                <w:tcPr>
                  <w:tcW w:w="473" w:type="pct"/>
                  <w:tcBorders>
                    <w:top w:val="single" w:color="auto" w:sz="4" w:space="0"/>
                    <w:left w:val="single" w:color="auto" w:sz="4" w:space="0"/>
                    <w:bottom w:val="single" w:color="auto" w:sz="4" w:space="0"/>
                    <w:right w:val="single" w:color="auto" w:sz="4" w:space="0"/>
                  </w:tcBorders>
                  <w:vAlign w:val="center"/>
                </w:tcPr>
                <w:p>
                  <w:pPr>
                    <w:widowControl/>
                    <w:jc w:val="center"/>
                    <w:rPr>
                      <w:color w:val="auto"/>
                      <w:kern w:val="0"/>
                      <w:highlight w:val="none"/>
                    </w:rPr>
                  </w:pPr>
                  <w:r>
                    <w:rPr>
                      <w:color w:val="auto"/>
                      <w:kern w:val="0"/>
                      <w:szCs w:val="21"/>
                      <w:highlight w:val="none"/>
                    </w:rPr>
                    <w:t>30</w:t>
                  </w:r>
                </w:p>
              </w:tc>
              <w:tc>
                <w:tcPr>
                  <w:tcW w:w="710" w:type="pct"/>
                  <w:tcBorders>
                    <w:top w:val="single" w:color="auto" w:sz="4" w:space="0"/>
                    <w:left w:val="single" w:color="auto" w:sz="4" w:space="0"/>
                    <w:bottom w:val="single" w:color="auto" w:sz="4" w:space="0"/>
                    <w:right w:val="single" w:color="auto" w:sz="4" w:space="0"/>
                  </w:tcBorders>
                  <w:vAlign w:val="center"/>
                </w:tcPr>
                <w:p>
                  <w:pPr>
                    <w:jc w:val="center"/>
                    <w:rPr>
                      <w:color w:val="auto"/>
                      <w:szCs w:val="21"/>
                      <w:highlight w:val="none"/>
                    </w:rPr>
                  </w:pPr>
                  <w:r>
                    <w:rPr>
                      <w:color w:val="auto"/>
                      <w:szCs w:val="21"/>
                      <w:highlight w:val="none"/>
                    </w:rPr>
                    <w:t>0.055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 w:hRule="atLeast"/>
              </w:trPr>
              <w:tc>
                <w:tcPr>
                  <w:tcW w:w="596" w:type="pct"/>
                  <w:vMerge w:val="restart"/>
                  <w:tcBorders>
                    <w:top w:val="nil"/>
                    <w:left w:val="single" w:color="auto" w:sz="4" w:space="0"/>
                    <w:bottom w:val="single" w:color="auto" w:sz="4" w:space="0"/>
                    <w:right w:val="single" w:color="auto" w:sz="4" w:space="0"/>
                  </w:tcBorders>
                  <w:vAlign w:val="center"/>
                </w:tcPr>
                <w:p>
                  <w:pPr>
                    <w:jc w:val="center"/>
                    <w:rPr>
                      <w:color w:val="auto"/>
                      <w:kern w:val="0"/>
                      <w:highlight w:val="none"/>
                    </w:rPr>
                  </w:pPr>
                  <w:r>
                    <w:rPr>
                      <w:color w:val="auto"/>
                      <w:kern w:val="0"/>
                      <w:szCs w:val="21"/>
                      <w:highlight w:val="none"/>
                    </w:rPr>
                    <w:t>循环水排水</w:t>
                  </w:r>
                </w:p>
              </w:tc>
              <w:tc>
                <w:tcPr>
                  <w:tcW w:w="477" w:type="pct"/>
                  <w:tcBorders>
                    <w:top w:val="single" w:color="auto" w:sz="4" w:space="0"/>
                    <w:left w:val="single" w:color="auto" w:sz="4" w:space="0"/>
                    <w:bottom w:val="single" w:color="auto" w:sz="4" w:space="0"/>
                    <w:right w:val="single" w:color="auto" w:sz="4" w:space="0"/>
                  </w:tcBorders>
                  <w:vAlign w:val="center"/>
                </w:tcPr>
                <w:p>
                  <w:pPr>
                    <w:jc w:val="center"/>
                    <w:rPr>
                      <w:color w:val="auto"/>
                      <w:kern w:val="0"/>
                      <w:highlight w:val="none"/>
                    </w:rPr>
                  </w:pPr>
                  <w:r>
                    <w:rPr>
                      <w:color w:val="auto"/>
                      <w:kern w:val="0"/>
                      <w:szCs w:val="21"/>
                      <w:highlight w:val="none"/>
                    </w:rPr>
                    <w:t>COD</w:t>
                  </w:r>
                </w:p>
              </w:tc>
              <w:tc>
                <w:tcPr>
                  <w:tcW w:w="504" w:type="pct"/>
                  <w:vMerge w:val="restart"/>
                  <w:tcBorders>
                    <w:top w:val="nil"/>
                    <w:left w:val="single" w:color="auto" w:sz="4" w:space="0"/>
                    <w:bottom w:val="single" w:color="auto" w:sz="4" w:space="0"/>
                    <w:right w:val="single" w:color="auto" w:sz="4" w:space="0"/>
                  </w:tcBorders>
                  <w:vAlign w:val="center"/>
                </w:tcPr>
                <w:p>
                  <w:pPr>
                    <w:jc w:val="center"/>
                    <w:rPr>
                      <w:color w:val="auto"/>
                      <w:kern w:val="0"/>
                      <w:highlight w:val="none"/>
                    </w:rPr>
                  </w:pPr>
                  <w:r>
                    <w:rPr>
                      <w:color w:val="auto"/>
                      <w:kern w:val="0"/>
                      <w:szCs w:val="21"/>
                      <w:highlight w:val="none"/>
                    </w:rPr>
                    <w:t>78</w:t>
                  </w:r>
                </w:p>
              </w:tc>
              <w:tc>
                <w:tcPr>
                  <w:tcW w:w="467" w:type="pct"/>
                  <w:tcBorders>
                    <w:top w:val="single" w:color="auto" w:sz="4" w:space="0"/>
                    <w:left w:val="single" w:color="auto" w:sz="4" w:space="0"/>
                    <w:bottom w:val="single" w:color="auto" w:sz="4" w:space="0"/>
                    <w:right w:val="single" w:color="auto" w:sz="4" w:space="0"/>
                  </w:tcBorders>
                  <w:vAlign w:val="center"/>
                </w:tcPr>
                <w:p>
                  <w:pPr>
                    <w:jc w:val="center"/>
                    <w:rPr>
                      <w:color w:val="auto"/>
                      <w:kern w:val="0"/>
                      <w:highlight w:val="none"/>
                    </w:rPr>
                  </w:pPr>
                  <w:r>
                    <w:rPr>
                      <w:color w:val="auto"/>
                      <w:kern w:val="0"/>
                      <w:szCs w:val="21"/>
                      <w:highlight w:val="none"/>
                    </w:rPr>
                    <w:t>300</w:t>
                  </w:r>
                </w:p>
              </w:tc>
              <w:tc>
                <w:tcPr>
                  <w:tcW w:w="636" w:type="pct"/>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color w:val="auto"/>
                      <w:szCs w:val="21"/>
                      <w:highlight w:val="none"/>
                    </w:rPr>
                    <w:t>0.023</w:t>
                  </w:r>
                </w:p>
              </w:tc>
              <w:tc>
                <w:tcPr>
                  <w:tcW w:w="303" w:type="pct"/>
                  <w:vMerge w:val="restart"/>
                  <w:tcBorders>
                    <w:top w:val="nil"/>
                    <w:left w:val="single" w:color="auto" w:sz="4" w:space="0"/>
                    <w:bottom w:val="single" w:color="auto" w:sz="4" w:space="0"/>
                    <w:right w:val="single" w:color="auto" w:sz="4" w:space="0"/>
                  </w:tcBorders>
                  <w:vAlign w:val="center"/>
                </w:tcPr>
                <w:p>
                  <w:pPr>
                    <w:jc w:val="center"/>
                    <w:rPr>
                      <w:color w:val="auto"/>
                      <w:kern w:val="0"/>
                      <w:highlight w:val="none"/>
                    </w:rPr>
                  </w:pPr>
                  <w:r>
                    <w:rPr>
                      <w:color w:val="auto"/>
                      <w:kern w:val="0"/>
                      <w:szCs w:val="21"/>
                      <w:highlight w:val="none"/>
                    </w:rPr>
                    <w:t>--</w:t>
                  </w:r>
                </w:p>
              </w:tc>
              <w:tc>
                <w:tcPr>
                  <w:tcW w:w="393" w:type="pct"/>
                  <w:tcBorders>
                    <w:top w:val="single" w:color="auto" w:sz="4" w:space="0"/>
                    <w:left w:val="single" w:color="auto" w:sz="4" w:space="0"/>
                    <w:bottom w:val="single" w:color="auto" w:sz="4" w:space="0"/>
                    <w:right w:val="single" w:color="auto" w:sz="4" w:space="0"/>
                  </w:tcBorders>
                  <w:vAlign w:val="center"/>
                </w:tcPr>
                <w:p>
                  <w:pPr>
                    <w:jc w:val="center"/>
                    <w:rPr>
                      <w:color w:val="auto"/>
                      <w:kern w:val="0"/>
                      <w:highlight w:val="none"/>
                    </w:rPr>
                  </w:pPr>
                  <w:r>
                    <w:rPr>
                      <w:color w:val="auto"/>
                      <w:kern w:val="0"/>
                      <w:szCs w:val="21"/>
                      <w:highlight w:val="none"/>
                    </w:rPr>
                    <w:t>--</w:t>
                  </w:r>
                </w:p>
              </w:tc>
              <w:tc>
                <w:tcPr>
                  <w:tcW w:w="439" w:type="pct"/>
                  <w:vMerge w:val="restart"/>
                  <w:tcBorders>
                    <w:top w:val="nil"/>
                    <w:left w:val="single" w:color="auto" w:sz="4" w:space="0"/>
                    <w:bottom w:val="single" w:color="auto" w:sz="4" w:space="0"/>
                    <w:right w:val="single" w:color="auto" w:sz="4" w:space="0"/>
                  </w:tcBorders>
                  <w:vAlign w:val="center"/>
                </w:tcPr>
                <w:p>
                  <w:pPr>
                    <w:jc w:val="center"/>
                    <w:rPr>
                      <w:color w:val="auto"/>
                      <w:kern w:val="0"/>
                      <w:highlight w:val="none"/>
                    </w:rPr>
                  </w:pPr>
                  <w:r>
                    <w:rPr>
                      <w:color w:val="auto"/>
                      <w:kern w:val="0"/>
                      <w:szCs w:val="21"/>
                      <w:highlight w:val="none"/>
                    </w:rPr>
                    <w:t>78</w:t>
                  </w:r>
                </w:p>
              </w:tc>
              <w:tc>
                <w:tcPr>
                  <w:tcW w:w="822" w:type="dxa"/>
                  <w:tcBorders>
                    <w:top w:val="single" w:color="auto" w:sz="4" w:space="0"/>
                    <w:left w:val="single" w:color="auto" w:sz="4" w:space="0"/>
                    <w:bottom w:val="single" w:color="auto" w:sz="4" w:space="0"/>
                    <w:right w:val="single" w:color="auto" w:sz="4" w:space="0"/>
                  </w:tcBorders>
                  <w:vAlign w:val="center"/>
                </w:tcPr>
                <w:p>
                  <w:pPr>
                    <w:jc w:val="center"/>
                    <w:rPr>
                      <w:color w:val="auto"/>
                      <w:kern w:val="0"/>
                      <w:highlight w:val="none"/>
                    </w:rPr>
                  </w:pPr>
                  <w:r>
                    <w:rPr>
                      <w:color w:val="auto"/>
                      <w:kern w:val="0"/>
                      <w:szCs w:val="21"/>
                      <w:highlight w:val="none"/>
                    </w:rPr>
                    <w:t>300</w:t>
                  </w:r>
                </w:p>
              </w:tc>
              <w:tc>
                <w:tcPr>
                  <w:tcW w:w="710" w:type="pct"/>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color w:val="auto"/>
                      <w:szCs w:val="21"/>
                      <w:highlight w:val="none"/>
                    </w:rPr>
                    <w:t>0.023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596" w:type="pct"/>
                  <w:vMerge w:val="continue"/>
                  <w:tcBorders>
                    <w:top w:val="nil"/>
                    <w:left w:val="single" w:color="auto" w:sz="4" w:space="0"/>
                    <w:bottom w:val="single" w:color="auto" w:sz="4" w:space="0"/>
                    <w:right w:val="single" w:color="auto" w:sz="4" w:space="0"/>
                  </w:tcBorders>
                  <w:vAlign w:val="center"/>
                </w:tcPr>
                <w:p>
                  <w:pPr>
                    <w:jc w:val="center"/>
                    <w:rPr>
                      <w:color w:val="auto"/>
                      <w:szCs w:val="22"/>
                      <w:highlight w:val="none"/>
                    </w:rPr>
                  </w:pPr>
                </w:p>
              </w:tc>
              <w:tc>
                <w:tcPr>
                  <w:tcW w:w="477" w:type="pct"/>
                  <w:tcBorders>
                    <w:top w:val="single" w:color="auto" w:sz="4" w:space="0"/>
                    <w:left w:val="single" w:color="auto" w:sz="4" w:space="0"/>
                    <w:bottom w:val="single" w:color="auto" w:sz="4" w:space="0"/>
                    <w:right w:val="single" w:color="auto" w:sz="4" w:space="0"/>
                  </w:tcBorders>
                  <w:vAlign w:val="center"/>
                </w:tcPr>
                <w:p>
                  <w:pPr>
                    <w:jc w:val="center"/>
                    <w:rPr>
                      <w:color w:val="auto"/>
                      <w:kern w:val="0"/>
                      <w:highlight w:val="none"/>
                    </w:rPr>
                  </w:pPr>
                  <w:r>
                    <w:rPr>
                      <w:color w:val="auto"/>
                      <w:kern w:val="0"/>
                      <w:szCs w:val="21"/>
                      <w:highlight w:val="none"/>
                    </w:rPr>
                    <w:t>SS</w:t>
                  </w:r>
                </w:p>
              </w:tc>
              <w:tc>
                <w:tcPr>
                  <w:tcW w:w="504" w:type="pct"/>
                  <w:vMerge w:val="continue"/>
                  <w:tcBorders>
                    <w:top w:val="nil"/>
                    <w:left w:val="single" w:color="auto" w:sz="4" w:space="0"/>
                    <w:bottom w:val="single" w:color="auto" w:sz="4" w:space="0"/>
                    <w:right w:val="single" w:color="auto" w:sz="4" w:space="0"/>
                  </w:tcBorders>
                  <w:vAlign w:val="center"/>
                </w:tcPr>
                <w:p>
                  <w:pPr>
                    <w:jc w:val="center"/>
                    <w:rPr>
                      <w:color w:val="auto"/>
                      <w:szCs w:val="22"/>
                      <w:highlight w:val="none"/>
                    </w:rPr>
                  </w:pPr>
                </w:p>
              </w:tc>
              <w:tc>
                <w:tcPr>
                  <w:tcW w:w="467" w:type="pct"/>
                  <w:tcBorders>
                    <w:top w:val="single" w:color="auto" w:sz="4" w:space="0"/>
                    <w:left w:val="single" w:color="auto" w:sz="4" w:space="0"/>
                    <w:bottom w:val="single" w:color="auto" w:sz="4" w:space="0"/>
                    <w:right w:val="single" w:color="auto" w:sz="4" w:space="0"/>
                  </w:tcBorders>
                  <w:vAlign w:val="center"/>
                </w:tcPr>
                <w:p>
                  <w:pPr>
                    <w:jc w:val="center"/>
                    <w:rPr>
                      <w:color w:val="auto"/>
                      <w:kern w:val="0"/>
                      <w:highlight w:val="none"/>
                    </w:rPr>
                  </w:pPr>
                  <w:r>
                    <w:rPr>
                      <w:color w:val="auto"/>
                      <w:kern w:val="0"/>
                      <w:szCs w:val="21"/>
                      <w:highlight w:val="none"/>
                    </w:rPr>
                    <w:t>200</w:t>
                  </w:r>
                </w:p>
              </w:tc>
              <w:tc>
                <w:tcPr>
                  <w:tcW w:w="636" w:type="pct"/>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color w:val="auto"/>
                      <w:szCs w:val="21"/>
                      <w:highlight w:val="none"/>
                    </w:rPr>
                    <w:t>0.016</w:t>
                  </w:r>
                </w:p>
              </w:tc>
              <w:tc>
                <w:tcPr>
                  <w:tcW w:w="303" w:type="pct"/>
                  <w:vMerge w:val="continue"/>
                  <w:tcBorders>
                    <w:top w:val="nil"/>
                    <w:left w:val="single" w:color="auto" w:sz="4" w:space="0"/>
                    <w:bottom w:val="single" w:color="auto" w:sz="4" w:space="0"/>
                    <w:right w:val="single" w:color="auto" w:sz="4" w:space="0"/>
                  </w:tcBorders>
                  <w:vAlign w:val="center"/>
                </w:tcPr>
                <w:p>
                  <w:pPr>
                    <w:jc w:val="center"/>
                    <w:rPr>
                      <w:color w:val="auto"/>
                      <w:szCs w:val="22"/>
                      <w:highlight w:val="none"/>
                    </w:rPr>
                  </w:pPr>
                </w:p>
              </w:tc>
              <w:tc>
                <w:tcPr>
                  <w:tcW w:w="393" w:type="pct"/>
                  <w:tcBorders>
                    <w:top w:val="single" w:color="auto" w:sz="4" w:space="0"/>
                    <w:left w:val="single" w:color="auto" w:sz="4" w:space="0"/>
                    <w:bottom w:val="single" w:color="auto" w:sz="4" w:space="0"/>
                    <w:right w:val="single" w:color="auto" w:sz="4" w:space="0"/>
                  </w:tcBorders>
                  <w:vAlign w:val="center"/>
                </w:tcPr>
                <w:p>
                  <w:pPr>
                    <w:jc w:val="center"/>
                    <w:rPr>
                      <w:color w:val="auto"/>
                      <w:kern w:val="0"/>
                      <w:highlight w:val="none"/>
                    </w:rPr>
                  </w:pPr>
                  <w:r>
                    <w:rPr>
                      <w:color w:val="auto"/>
                      <w:kern w:val="0"/>
                      <w:szCs w:val="21"/>
                      <w:highlight w:val="none"/>
                    </w:rPr>
                    <w:t>--</w:t>
                  </w:r>
                </w:p>
              </w:tc>
              <w:tc>
                <w:tcPr>
                  <w:tcW w:w="439" w:type="pct"/>
                  <w:vMerge w:val="continue"/>
                  <w:tcBorders>
                    <w:top w:val="nil"/>
                    <w:left w:val="single" w:color="auto" w:sz="4" w:space="0"/>
                    <w:bottom w:val="single" w:color="auto" w:sz="4" w:space="0"/>
                    <w:right w:val="single" w:color="auto" w:sz="4" w:space="0"/>
                  </w:tcBorders>
                  <w:vAlign w:val="center"/>
                </w:tcPr>
                <w:p>
                  <w:pPr>
                    <w:jc w:val="center"/>
                    <w:rPr>
                      <w:color w:val="auto"/>
                      <w:szCs w:val="22"/>
                      <w:highlight w:val="none"/>
                    </w:rPr>
                  </w:pPr>
                </w:p>
              </w:tc>
              <w:tc>
                <w:tcPr>
                  <w:tcW w:w="822" w:type="dxa"/>
                  <w:tcBorders>
                    <w:top w:val="single" w:color="auto" w:sz="4" w:space="0"/>
                    <w:left w:val="single" w:color="auto" w:sz="4" w:space="0"/>
                    <w:bottom w:val="single" w:color="auto" w:sz="4" w:space="0"/>
                    <w:right w:val="single" w:color="auto" w:sz="4" w:space="0"/>
                  </w:tcBorders>
                  <w:vAlign w:val="center"/>
                </w:tcPr>
                <w:p>
                  <w:pPr>
                    <w:jc w:val="center"/>
                    <w:rPr>
                      <w:color w:val="auto"/>
                      <w:kern w:val="0"/>
                      <w:highlight w:val="none"/>
                    </w:rPr>
                  </w:pPr>
                  <w:r>
                    <w:rPr>
                      <w:color w:val="auto"/>
                      <w:kern w:val="0"/>
                      <w:szCs w:val="21"/>
                      <w:highlight w:val="none"/>
                    </w:rPr>
                    <w:t>200</w:t>
                  </w:r>
                </w:p>
              </w:tc>
              <w:tc>
                <w:tcPr>
                  <w:tcW w:w="710" w:type="pct"/>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color w:val="auto"/>
                      <w:szCs w:val="21"/>
                      <w:highlight w:val="none"/>
                    </w:rPr>
                    <w:t>0.016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596" w:type="pct"/>
                  <w:vMerge w:val="restart"/>
                  <w:tcBorders>
                    <w:top w:val="single" w:color="auto" w:sz="4" w:space="0"/>
                    <w:left w:val="single" w:color="auto" w:sz="4" w:space="0"/>
                    <w:right w:val="single" w:color="auto" w:sz="4" w:space="0"/>
                  </w:tcBorders>
                  <w:vAlign w:val="center"/>
                </w:tcPr>
                <w:p>
                  <w:pPr>
                    <w:jc w:val="center"/>
                    <w:rPr>
                      <w:color w:val="auto"/>
                      <w:kern w:val="0"/>
                      <w:highlight w:val="none"/>
                    </w:rPr>
                  </w:pPr>
                  <w:r>
                    <w:rPr>
                      <w:rFonts w:hint="eastAsia"/>
                      <w:color w:val="auto"/>
                      <w:kern w:val="0"/>
                      <w:szCs w:val="21"/>
                      <w:highlight w:val="none"/>
                    </w:rPr>
                    <w:t>纯水制备</w:t>
                  </w:r>
                  <w:r>
                    <w:rPr>
                      <w:color w:val="auto"/>
                      <w:kern w:val="0"/>
                      <w:szCs w:val="21"/>
                      <w:highlight w:val="none"/>
                    </w:rPr>
                    <w:t>浓水</w:t>
                  </w:r>
                </w:p>
              </w:tc>
              <w:tc>
                <w:tcPr>
                  <w:tcW w:w="477" w:type="pct"/>
                  <w:tcBorders>
                    <w:top w:val="single" w:color="auto" w:sz="4" w:space="0"/>
                    <w:left w:val="single" w:color="auto" w:sz="4" w:space="0"/>
                    <w:bottom w:val="single" w:color="auto" w:sz="4" w:space="0"/>
                    <w:right w:val="single" w:color="auto" w:sz="4" w:space="0"/>
                  </w:tcBorders>
                  <w:vAlign w:val="center"/>
                </w:tcPr>
                <w:p>
                  <w:pPr>
                    <w:jc w:val="center"/>
                    <w:rPr>
                      <w:color w:val="auto"/>
                      <w:kern w:val="0"/>
                      <w:highlight w:val="none"/>
                    </w:rPr>
                  </w:pPr>
                  <w:r>
                    <w:rPr>
                      <w:color w:val="auto"/>
                      <w:kern w:val="0"/>
                      <w:szCs w:val="21"/>
                      <w:highlight w:val="none"/>
                    </w:rPr>
                    <w:t>COD</w:t>
                  </w:r>
                </w:p>
              </w:tc>
              <w:tc>
                <w:tcPr>
                  <w:tcW w:w="504" w:type="pct"/>
                  <w:vMerge w:val="restart"/>
                  <w:tcBorders>
                    <w:top w:val="single" w:color="auto" w:sz="4" w:space="0"/>
                    <w:left w:val="single" w:color="auto" w:sz="4" w:space="0"/>
                    <w:right w:val="single" w:color="auto" w:sz="4" w:space="0"/>
                  </w:tcBorders>
                  <w:vAlign w:val="center"/>
                </w:tcPr>
                <w:p>
                  <w:pPr>
                    <w:jc w:val="center"/>
                    <w:rPr>
                      <w:color w:val="auto"/>
                      <w:kern w:val="0"/>
                      <w:highlight w:val="none"/>
                    </w:rPr>
                  </w:pPr>
                  <w:r>
                    <w:rPr>
                      <w:color w:val="auto"/>
                      <w:kern w:val="0"/>
                      <w:szCs w:val="21"/>
                      <w:highlight w:val="none"/>
                    </w:rPr>
                    <w:t>1000</w:t>
                  </w:r>
                </w:p>
              </w:tc>
              <w:tc>
                <w:tcPr>
                  <w:tcW w:w="467" w:type="pct"/>
                  <w:tcBorders>
                    <w:top w:val="single" w:color="auto" w:sz="4" w:space="0"/>
                    <w:left w:val="single" w:color="auto" w:sz="4" w:space="0"/>
                    <w:bottom w:val="single" w:color="auto" w:sz="4" w:space="0"/>
                    <w:right w:val="single" w:color="auto" w:sz="4" w:space="0"/>
                  </w:tcBorders>
                  <w:vAlign w:val="center"/>
                </w:tcPr>
                <w:p>
                  <w:pPr>
                    <w:jc w:val="center"/>
                    <w:rPr>
                      <w:color w:val="auto"/>
                      <w:kern w:val="0"/>
                      <w:highlight w:val="none"/>
                    </w:rPr>
                  </w:pPr>
                  <w:r>
                    <w:rPr>
                      <w:color w:val="auto"/>
                      <w:kern w:val="0"/>
                      <w:szCs w:val="21"/>
                      <w:highlight w:val="none"/>
                    </w:rPr>
                    <w:t>40</w:t>
                  </w:r>
                </w:p>
              </w:tc>
              <w:tc>
                <w:tcPr>
                  <w:tcW w:w="636" w:type="pct"/>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color w:val="auto"/>
                      <w:szCs w:val="21"/>
                      <w:highlight w:val="none"/>
                    </w:rPr>
                    <w:t>0.040</w:t>
                  </w:r>
                </w:p>
              </w:tc>
              <w:tc>
                <w:tcPr>
                  <w:tcW w:w="303" w:type="pct"/>
                  <w:tcBorders>
                    <w:top w:val="single" w:color="auto" w:sz="4" w:space="0"/>
                    <w:left w:val="single" w:color="auto" w:sz="4" w:space="0"/>
                    <w:bottom w:val="single" w:color="auto" w:sz="4" w:space="0"/>
                    <w:right w:val="single" w:color="auto" w:sz="4" w:space="0"/>
                  </w:tcBorders>
                  <w:vAlign w:val="center"/>
                </w:tcPr>
                <w:p>
                  <w:pPr>
                    <w:jc w:val="center"/>
                    <w:rPr>
                      <w:color w:val="auto"/>
                      <w:kern w:val="0"/>
                      <w:highlight w:val="none"/>
                    </w:rPr>
                  </w:pPr>
                  <w:r>
                    <w:rPr>
                      <w:color w:val="auto"/>
                      <w:kern w:val="0"/>
                      <w:szCs w:val="21"/>
                      <w:highlight w:val="none"/>
                    </w:rPr>
                    <w:t>--</w:t>
                  </w:r>
                </w:p>
              </w:tc>
              <w:tc>
                <w:tcPr>
                  <w:tcW w:w="393" w:type="pct"/>
                  <w:tcBorders>
                    <w:top w:val="single" w:color="auto" w:sz="4" w:space="0"/>
                    <w:left w:val="single" w:color="auto" w:sz="4" w:space="0"/>
                    <w:bottom w:val="single" w:color="auto" w:sz="4" w:space="0"/>
                    <w:right w:val="single" w:color="auto" w:sz="4" w:space="0"/>
                  </w:tcBorders>
                  <w:vAlign w:val="center"/>
                </w:tcPr>
                <w:p>
                  <w:pPr>
                    <w:jc w:val="center"/>
                    <w:rPr>
                      <w:color w:val="auto"/>
                      <w:kern w:val="0"/>
                      <w:highlight w:val="none"/>
                    </w:rPr>
                  </w:pPr>
                  <w:r>
                    <w:rPr>
                      <w:color w:val="auto"/>
                      <w:kern w:val="0"/>
                      <w:szCs w:val="21"/>
                      <w:highlight w:val="none"/>
                    </w:rPr>
                    <w:t>--</w:t>
                  </w:r>
                </w:p>
              </w:tc>
              <w:tc>
                <w:tcPr>
                  <w:tcW w:w="439" w:type="pct"/>
                  <w:vMerge w:val="restart"/>
                  <w:tcBorders>
                    <w:top w:val="single" w:color="auto" w:sz="4" w:space="0"/>
                    <w:left w:val="single" w:color="auto" w:sz="4" w:space="0"/>
                    <w:right w:val="single" w:color="auto" w:sz="4" w:space="0"/>
                  </w:tcBorders>
                  <w:vAlign w:val="center"/>
                </w:tcPr>
                <w:p>
                  <w:pPr>
                    <w:jc w:val="center"/>
                    <w:rPr>
                      <w:color w:val="auto"/>
                      <w:kern w:val="0"/>
                      <w:highlight w:val="none"/>
                    </w:rPr>
                  </w:pPr>
                  <w:r>
                    <w:rPr>
                      <w:color w:val="auto"/>
                      <w:kern w:val="0"/>
                      <w:szCs w:val="21"/>
                      <w:highlight w:val="none"/>
                    </w:rPr>
                    <w:t>1000</w:t>
                  </w:r>
                </w:p>
              </w:tc>
              <w:tc>
                <w:tcPr>
                  <w:tcW w:w="473" w:type="pct"/>
                  <w:tcBorders>
                    <w:top w:val="single" w:color="auto" w:sz="4" w:space="0"/>
                    <w:left w:val="single" w:color="auto" w:sz="4" w:space="0"/>
                    <w:bottom w:val="single" w:color="auto" w:sz="4" w:space="0"/>
                    <w:right w:val="single" w:color="auto" w:sz="4" w:space="0"/>
                  </w:tcBorders>
                  <w:vAlign w:val="center"/>
                </w:tcPr>
                <w:p>
                  <w:pPr>
                    <w:jc w:val="center"/>
                    <w:rPr>
                      <w:color w:val="auto"/>
                      <w:kern w:val="0"/>
                      <w:highlight w:val="none"/>
                    </w:rPr>
                  </w:pPr>
                  <w:r>
                    <w:rPr>
                      <w:color w:val="auto"/>
                      <w:kern w:val="0"/>
                      <w:szCs w:val="21"/>
                      <w:highlight w:val="none"/>
                    </w:rPr>
                    <w:t>40</w:t>
                  </w:r>
                </w:p>
              </w:tc>
              <w:tc>
                <w:tcPr>
                  <w:tcW w:w="710" w:type="pct"/>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color w:val="auto"/>
                      <w:szCs w:val="21"/>
                      <w:highlight w:val="none"/>
                    </w:rPr>
                    <w:t>0.040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 w:hRule="atLeast"/>
              </w:trPr>
              <w:tc>
                <w:tcPr>
                  <w:tcW w:w="596" w:type="pct"/>
                  <w:vMerge w:val="continue"/>
                  <w:tcBorders>
                    <w:left w:val="single" w:color="auto" w:sz="4" w:space="0"/>
                    <w:right w:val="single" w:color="auto" w:sz="4" w:space="0"/>
                  </w:tcBorders>
                  <w:vAlign w:val="center"/>
                </w:tcPr>
                <w:p>
                  <w:pPr>
                    <w:jc w:val="center"/>
                    <w:rPr>
                      <w:color w:val="auto"/>
                      <w:kern w:val="0"/>
                      <w:szCs w:val="21"/>
                      <w:highlight w:val="none"/>
                    </w:rPr>
                  </w:pPr>
                </w:p>
              </w:tc>
              <w:tc>
                <w:tcPr>
                  <w:tcW w:w="477" w:type="pct"/>
                  <w:tcBorders>
                    <w:top w:val="single" w:color="auto" w:sz="4" w:space="0"/>
                    <w:left w:val="single" w:color="auto" w:sz="4" w:space="0"/>
                    <w:bottom w:val="single" w:color="auto" w:sz="4" w:space="0"/>
                    <w:right w:val="single" w:color="auto" w:sz="4" w:space="0"/>
                  </w:tcBorders>
                  <w:vAlign w:val="center"/>
                </w:tcPr>
                <w:p>
                  <w:pPr>
                    <w:jc w:val="center"/>
                    <w:rPr>
                      <w:color w:val="auto"/>
                      <w:kern w:val="0"/>
                      <w:szCs w:val="21"/>
                      <w:highlight w:val="none"/>
                    </w:rPr>
                  </w:pPr>
                  <w:r>
                    <w:rPr>
                      <w:rFonts w:hint="eastAsia"/>
                      <w:color w:val="auto"/>
                      <w:kern w:val="0"/>
                      <w:szCs w:val="21"/>
                      <w:highlight w:val="none"/>
                    </w:rPr>
                    <w:t>SS</w:t>
                  </w:r>
                </w:p>
              </w:tc>
              <w:tc>
                <w:tcPr>
                  <w:tcW w:w="504" w:type="pct"/>
                  <w:vMerge w:val="continue"/>
                  <w:tcBorders>
                    <w:left w:val="single" w:color="auto" w:sz="4" w:space="0"/>
                    <w:right w:val="single" w:color="auto" w:sz="4" w:space="0"/>
                  </w:tcBorders>
                  <w:vAlign w:val="center"/>
                </w:tcPr>
                <w:p>
                  <w:pPr>
                    <w:jc w:val="center"/>
                    <w:rPr>
                      <w:color w:val="auto"/>
                      <w:kern w:val="0"/>
                      <w:szCs w:val="21"/>
                      <w:highlight w:val="none"/>
                    </w:rPr>
                  </w:pPr>
                </w:p>
              </w:tc>
              <w:tc>
                <w:tcPr>
                  <w:tcW w:w="467" w:type="pct"/>
                  <w:tcBorders>
                    <w:top w:val="single" w:color="auto" w:sz="4" w:space="0"/>
                    <w:left w:val="single" w:color="auto" w:sz="4" w:space="0"/>
                    <w:bottom w:val="single" w:color="auto" w:sz="4" w:space="0"/>
                    <w:right w:val="single" w:color="auto" w:sz="4" w:space="0"/>
                  </w:tcBorders>
                  <w:vAlign w:val="center"/>
                </w:tcPr>
                <w:p>
                  <w:pPr>
                    <w:jc w:val="center"/>
                    <w:rPr>
                      <w:color w:val="auto"/>
                      <w:kern w:val="0"/>
                      <w:szCs w:val="21"/>
                      <w:highlight w:val="none"/>
                    </w:rPr>
                  </w:pPr>
                  <w:r>
                    <w:rPr>
                      <w:rFonts w:hint="eastAsia"/>
                      <w:color w:val="auto"/>
                      <w:kern w:val="0"/>
                      <w:szCs w:val="21"/>
                      <w:highlight w:val="none"/>
                    </w:rPr>
                    <w:t>250</w:t>
                  </w:r>
                </w:p>
              </w:tc>
              <w:tc>
                <w:tcPr>
                  <w:tcW w:w="636" w:type="pct"/>
                  <w:tcBorders>
                    <w:top w:val="single" w:color="auto" w:sz="4" w:space="0"/>
                    <w:left w:val="single" w:color="auto" w:sz="4" w:space="0"/>
                    <w:bottom w:val="single" w:color="auto" w:sz="4" w:space="0"/>
                    <w:right w:val="single" w:color="auto" w:sz="4" w:space="0"/>
                  </w:tcBorders>
                  <w:vAlign w:val="center"/>
                </w:tcPr>
                <w:p>
                  <w:pPr>
                    <w:jc w:val="center"/>
                    <w:rPr>
                      <w:color w:val="auto"/>
                      <w:szCs w:val="21"/>
                      <w:highlight w:val="none"/>
                    </w:rPr>
                  </w:pPr>
                  <w:r>
                    <w:rPr>
                      <w:rFonts w:hint="eastAsia"/>
                      <w:color w:val="auto"/>
                      <w:szCs w:val="21"/>
                      <w:highlight w:val="none"/>
                    </w:rPr>
                    <w:t>0.250</w:t>
                  </w:r>
                </w:p>
              </w:tc>
              <w:tc>
                <w:tcPr>
                  <w:tcW w:w="303" w:type="pct"/>
                  <w:tcBorders>
                    <w:top w:val="single" w:color="auto" w:sz="4" w:space="0"/>
                    <w:left w:val="single" w:color="auto" w:sz="4" w:space="0"/>
                    <w:bottom w:val="single" w:color="auto" w:sz="4" w:space="0"/>
                    <w:right w:val="single" w:color="auto" w:sz="4" w:space="0"/>
                  </w:tcBorders>
                  <w:vAlign w:val="center"/>
                </w:tcPr>
                <w:p>
                  <w:pPr>
                    <w:jc w:val="center"/>
                    <w:rPr>
                      <w:color w:val="auto"/>
                      <w:kern w:val="0"/>
                      <w:szCs w:val="21"/>
                      <w:highlight w:val="none"/>
                    </w:rPr>
                  </w:pPr>
                  <w:r>
                    <w:rPr>
                      <w:rFonts w:hint="eastAsia"/>
                      <w:color w:val="auto"/>
                      <w:kern w:val="0"/>
                      <w:szCs w:val="21"/>
                      <w:highlight w:val="none"/>
                    </w:rPr>
                    <w:t>--</w:t>
                  </w:r>
                </w:p>
              </w:tc>
              <w:tc>
                <w:tcPr>
                  <w:tcW w:w="393" w:type="pct"/>
                  <w:tcBorders>
                    <w:top w:val="single" w:color="auto" w:sz="4" w:space="0"/>
                    <w:left w:val="single" w:color="auto" w:sz="4" w:space="0"/>
                    <w:bottom w:val="single" w:color="auto" w:sz="4" w:space="0"/>
                    <w:right w:val="single" w:color="auto" w:sz="4" w:space="0"/>
                  </w:tcBorders>
                  <w:vAlign w:val="center"/>
                </w:tcPr>
                <w:p>
                  <w:pPr>
                    <w:jc w:val="center"/>
                    <w:rPr>
                      <w:color w:val="auto"/>
                      <w:kern w:val="0"/>
                      <w:szCs w:val="21"/>
                      <w:highlight w:val="none"/>
                    </w:rPr>
                  </w:pPr>
                  <w:r>
                    <w:rPr>
                      <w:rFonts w:hint="eastAsia"/>
                      <w:color w:val="auto"/>
                      <w:kern w:val="0"/>
                      <w:szCs w:val="21"/>
                      <w:highlight w:val="none"/>
                    </w:rPr>
                    <w:t>--</w:t>
                  </w:r>
                </w:p>
              </w:tc>
              <w:tc>
                <w:tcPr>
                  <w:tcW w:w="439" w:type="pct"/>
                  <w:vMerge w:val="continue"/>
                  <w:tcBorders>
                    <w:left w:val="single" w:color="auto" w:sz="4" w:space="0"/>
                    <w:right w:val="single" w:color="auto" w:sz="4" w:space="0"/>
                  </w:tcBorders>
                  <w:vAlign w:val="center"/>
                </w:tcPr>
                <w:p>
                  <w:pPr>
                    <w:jc w:val="center"/>
                    <w:rPr>
                      <w:color w:val="auto"/>
                      <w:kern w:val="0"/>
                      <w:szCs w:val="21"/>
                      <w:highlight w:val="none"/>
                    </w:rPr>
                  </w:pPr>
                </w:p>
              </w:tc>
              <w:tc>
                <w:tcPr>
                  <w:tcW w:w="822" w:type="dxa"/>
                  <w:tcBorders>
                    <w:top w:val="single" w:color="auto" w:sz="4" w:space="0"/>
                    <w:left w:val="single" w:color="auto" w:sz="4" w:space="0"/>
                    <w:bottom w:val="single" w:color="auto" w:sz="4" w:space="0"/>
                    <w:right w:val="single" w:color="auto" w:sz="4" w:space="0"/>
                  </w:tcBorders>
                  <w:vAlign w:val="center"/>
                </w:tcPr>
                <w:p>
                  <w:pPr>
                    <w:jc w:val="center"/>
                    <w:rPr>
                      <w:color w:val="auto"/>
                      <w:kern w:val="0"/>
                      <w:szCs w:val="21"/>
                      <w:highlight w:val="none"/>
                    </w:rPr>
                  </w:pPr>
                  <w:r>
                    <w:rPr>
                      <w:rFonts w:hint="eastAsia"/>
                      <w:color w:val="auto"/>
                      <w:kern w:val="0"/>
                      <w:szCs w:val="21"/>
                      <w:highlight w:val="none"/>
                    </w:rPr>
                    <w:t>250</w:t>
                  </w:r>
                </w:p>
              </w:tc>
              <w:tc>
                <w:tcPr>
                  <w:tcW w:w="1235" w:type="dxa"/>
                  <w:tcBorders>
                    <w:top w:val="single" w:color="auto" w:sz="4" w:space="0"/>
                    <w:left w:val="single" w:color="auto" w:sz="4" w:space="0"/>
                    <w:bottom w:val="single" w:color="auto" w:sz="4" w:space="0"/>
                    <w:right w:val="single" w:color="auto" w:sz="4" w:space="0"/>
                  </w:tcBorders>
                  <w:vAlign w:val="center"/>
                </w:tcPr>
                <w:p>
                  <w:pPr>
                    <w:jc w:val="center"/>
                    <w:rPr>
                      <w:color w:val="auto"/>
                      <w:szCs w:val="21"/>
                      <w:highlight w:val="none"/>
                    </w:rPr>
                  </w:pPr>
                  <w:r>
                    <w:rPr>
                      <w:rFonts w:hint="eastAsia"/>
                      <w:color w:val="auto"/>
                      <w:szCs w:val="21"/>
                      <w:highlight w:val="none"/>
                    </w:rPr>
                    <w:t>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 w:hRule="atLeast"/>
              </w:trPr>
              <w:tc>
                <w:tcPr>
                  <w:tcW w:w="596" w:type="pct"/>
                  <w:vMerge w:val="continue"/>
                  <w:tcBorders>
                    <w:left w:val="single" w:color="auto" w:sz="4" w:space="0"/>
                    <w:bottom w:val="double" w:color="auto" w:sz="4" w:space="0"/>
                    <w:right w:val="single" w:color="auto" w:sz="4" w:space="0"/>
                  </w:tcBorders>
                  <w:vAlign w:val="center"/>
                </w:tcPr>
                <w:p>
                  <w:pPr>
                    <w:jc w:val="center"/>
                    <w:rPr>
                      <w:color w:val="auto"/>
                      <w:kern w:val="0"/>
                      <w:szCs w:val="21"/>
                      <w:highlight w:val="none"/>
                    </w:rPr>
                  </w:pPr>
                </w:p>
              </w:tc>
              <w:tc>
                <w:tcPr>
                  <w:tcW w:w="477" w:type="pct"/>
                  <w:tcBorders>
                    <w:top w:val="single" w:color="auto" w:sz="4" w:space="0"/>
                    <w:left w:val="single" w:color="auto" w:sz="4" w:space="0"/>
                    <w:bottom w:val="double" w:color="auto" w:sz="4" w:space="0"/>
                    <w:right w:val="single" w:color="auto" w:sz="4" w:space="0"/>
                  </w:tcBorders>
                  <w:vAlign w:val="center"/>
                </w:tcPr>
                <w:p>
                  <w:pPr>
                    <w:jc w:val="center"/>
                    <w:rPr>
                      <w:color w:val="auto"/>
                      <w:kern w:val="0"/>
                      <w:szCs w:val="21"/>
                      <w:highlight w:val="none"/>
                    </w:rPr>
                  </w:pPr>
                  <w:r>
                    <w:rPr>
                      <w:rFonts w:hint="eastAsia"/>
                      <w:color w:val="auto"/>
                      <w:kern w:val="0"/>
                      <w:szCs w:val="21"/>
                      <w:highlight w:val="none"/>
                    </w:rPr>
                    <w:t>全盐量</w:t>
                  </w:r>
                </w:p>
              </w:tc>
              <w:tc>
                <w:tcPr>
                  <w:tcW w:w="504" w:type="pct"/>
                  <w:vMerge w:val="continue"/>
                  <w:tcBorders>
                    <w:left w:val="single" w:color="auto" w:sz="4" w:space="0"/>
                    <w:bottom w:val="double" w:color="auto" w:sz="4" w:space="0"/>
                    <w:right w:val="single" w:color="auto" w:sz="4" w:space="0"/>
                  </w:tcBorders>
                  <w:vAlign w:val="center"/>
                </w:tcPr>
                <w:p>
                  <w:pPr>
                    <w:jc w:val="center"/>
                    <w:rPr>
                      <w:color w:val="auto"/>
                      <w:kern w:val="0"/>
                      <w:szCs w:val="21"/>
                      <w:highlight w:val="none"/>
                    </w:rPr>
                  </w:pPr>
                </w:p>
              </w:tc>
              <w:tc>
                <w:tcPr>
                  <w:tcW w:w="467" w:type="pct"/>
                  <w:tcBorders>
                    <w:top w:val="single" w:color="auto" w:sz="4" w:space="0"/>
                    <w:left w:val="single" w:color="auto" w:sz="4" w:space="0"/>
                    <w:bottom w:val="double" w:color="auto" w:sz="4" w:space="0"/>
                    <w:right w:val="single" w:color="auto" w:sz="4" w:space="0"/>
                  </w:tcBorders>
                  <w:vAlign w:val="center"/>
                </w:tcPr>
                <w:p>
                  <w:pPr>
                    <w:jc w:val="center"/>
                    <w:rPr>
                      <w:color w:val="auto"/>
                      <w:kern w:val="0"/>
                      <w:szCs w:val="21"/>
                      <w:highlight w:val="none"/>
                    </w:rPr>
                  </w:pPr>
                  <w:r>
                    <w:rPr>
                      <w:rFonts w:hint="eastAsia"/>
                      <w:color w:val="auto"/>
                      <w:kern w:val="0"/>
                      <w:szCs w:val="21"/>
                      <w:highlight w:val="none"/>
                    </w:rPr>
                    <w:t>600</w:t>
                  </w:r>
                </w:p>
              </w:tc>
              <w:tc>
                <w:tcPr>
                  <w:tcW w:w="636" w:type="pct"/>
                  <w:tcBorders>
                    <w:top w:val="single" w:color="auto" w:sz="4" w:space="0"/>
                    <w:left w:val="single" w:color="auto" w:sz="4" w:space="0"/>
                    <w:bottom w:val="double" w:color="auto" w:sz="4" w:space="0"/>
                    <w:right w:val="single" w:color="auto" w:sz="4" w:space="0"/>
                  </w:tcBorders>
                  <w:vAlign w:val="center"/>
                </w:tcPr>
                <w:p>
                  <w:pPr>
                    <w:jc w:val="center"/>
                    <w:rPr>
                      <w:color w:val="auto"/>
                      <w:szCs w:val="21"/>
                      <w:highlight w:val="none"/>
                    </w:rPr>
                  </w:pPr>
                  <w:r>
                    <w:rPr>
                      <w:rFonts w:hint="eastAsia"/>
                      <w:color w:val="auto"/>
                      <w:szCs w:val="21"/>
                      <w:highlight w:val="none"/>
                    </w:rPr>
                    <w:t>0.600</w:t>
                  </w:r>
                </w:p>
              </w:tc>
              <w:tc>
                <w:tcPr>
                  <w:tcW w:w="303" w:type="pct"/>
                  <w:tcBorders>
                    <w:top w:val="single" w:color="auto" w:sz="4" w:space="0"/>
                    <w:left w:val="single" w:color="auto" w:sz="4" w:space="0"/>
                    <w:bottom w:val="double" w:color="auto" w:sz="4" w:space="0"/>
                    <w:right w:val="single" w:color="auto" w:sz="4" w:space="0"/>
                  </w:tcBorders>
                  <w:vAlign w:val="center"/>
                </w:tcPr>
                <w:p>
                  <w:pPr>
                    <w:jc w:val="center"/>
                    <w:rPr>
                      <w:color w:val="auto"/>
                      <w:kern w:val="0"/>
                      <w:szCs w:val="21"/>
                      <w:highlight w:val="none"/>
                    </w:rPr>
                  </w:pPr>
                  <w:r>
                    <w:rPr>
                      <w:rFonts w:hint="eastAsia"/>
                      <w:color w:val="auto"/>
                      <w:kern w:val="0"/>
                      <w:szCs w:val="21"/>
                      <w:highlight w:val="none"/>
                    </w:rPr>
                    <w:t>--</w:t>
                  </w:r>
                </w:p>
              </w:tc>
              <w:tc>
                <w:tcPr>
                  <w:tcW w:w="393" w:type="pct"/>
                  <w:tcBorders>
                    <w:top w:val="single" w:color="auto" w:sz="4" w:space="0"/>
                    <w:left w:val="single" w:color="auto" w:sz="4" w:space="0"/>
                    <w:bottom w:val="double" w:color="auto" w:sz="4" w:space="0"/>
                    <w:right w:val="single" w:color="auto" w:sz="4" w:space="0"/>
                  </w:tcBorders>
                  <w:vAlign w:val="center"/>
                </w:tcPr>
                <w:p>
                  <w:pPr>
                    <w:jc w:val="center"/>
                    <w:rPr>
                      <w:color w:val="auto"/>
                      <w:kern w:val="0"/>
                      <w:szCs w:val="21"/>
                      <w:highlight w:val="none"/>
                    </w:rPr>
                  </w:pPr>
                  <w:r>
                    <w:rPr>
                      <w:rFonts w:hint="eastAsia"/>
                      <w:color w:val="auto"/>
                      <w:kern w:val="0"/>
                      <w:szCs w:val="21"/>
                      <w:highlight w:val="none"/>
                    </w:rPr>
                    <w:t>--</w:t>
                  </w:r>
                </w:p>
              </w:tc>
              <w:tc>
                <w:tcPr>
                  <w:tcW w:w="439" w:type="pct"/>
                  <w:vMerge w:val="continue"/>
                  <w:tcBorders>
                    <w:left w:val="single" w:color="auto" w:sz="4" w:space="0"/>
                    <w:bottom w:val="double" w:color="auto" w:sz="4" w:space="0"/>
                    <w:right w:val="single" w:color="auto" w:sz="4" w:space="0"/>
                  </w:tcBorders>
                  <w:vAlign w:val="center"/>
                </w:tcPr>
                <w:p>
                  <w:pPr>
                    <w:jc w:val="center"/>
                    <w:rPr>
                      <w:color w:val="auto"/>
                      <w:kern w:val="0"/>
                      <w:szCs w:val="21"/>
                      <w:highlight w:val="none"/>
                    </w:rPr>
                  </w:pPr>
                </w:p>
              </w:tc>
              <w:tc>
                <w:tcPr>
                  <w:tcW w:w="822" w:type="dxa"/>
                  <w:tcBorders>
                    <w:top w:val="single" w:color="auto" w:sz="4" w:space="0"/>
                    <w:left w:val="single" w:color="auto" w:sz="4" w:space="0"/>
                    <w:bottom w:val="double" w:color="auto" w:sz="4" w:space="0"/>
                    <w:right w:val="single" w:color="auto" w:sz="4" w:space="0"/>
                  </w:tcBorders>
                  <w:vAlign w:val="center"/>
                </w:tcPr>
                <w:p>
                  <w:pPr>
                    <w:jc w:val="center"/>
                    <w:rPr>
                      <w:color w:val="auto"/>
                      <w:kern w:val="0"/>
                      <w:szCs w:val="21"/>
                      <w:highlight w:val="none"/>
                    </w:rPr>
                  </w:pPr>
                  <w:r>
                    <w:rPr>
                      <w:rFonts w:hint="eastAsia"/>
                      <w:color w:val="auto"/>
                      <w:kern w:val="0"/>
                      <w:szCs w:val="21"/>
                      <w:highlight w:val="none"/>
                    </w:rPr>
                    <w:t>600</w:t>
                  </w:r>
                </w:p>
              </w:tc>
              <w:tc>
                <w:tcPr>
                  <w:tcW w:w="1235" w:type="dxa"/>
                  <w:tcBorders>
                    <w:top w:val="single" w:color="auto" w:sz="4" w:space="0"/>
                    <w:left w:val="single" w:color="auto" w:sz="4" w:space="0"/>
                    <w:bottom w:val="double" w:color="auto" w:sz="4" w:space="0"/>
                    <w:right w:val="single" w:color="auto" w:sz="4" w:space="0"/>
                  </w:tcBorders>
                  <w:vAlign w:val="center"/>
                </w:tcPr>
                <w:p>
                  <w:pPr>
                    <w:jc w:val="center"/>
                    <w:rPr>
                      <w:color w:val="auto"/>
                      <w:szCs w:val="21"/>
                      <w:highlight w:val="none"/>
                    </w:rPr>
                  </w:pPr>
                  <w:r>
                    <w:rPr>
                      <w:rFonts w:hint="eastAsia"/>
                      <w:color w:val="auto"/>
                      <w:szCs w:val="21"/>
                      <w:highlight w:val="none"/>
                    </w:rPr>
                    <w:t>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73" w:hRule="atLeast"/>
              </w:trPr>
              <w:tc>
                <w:tcPr>
                  <w:tcW w:w="596" w:type="pct"/>
                  <w:vMerge w:val="restart"/>
                  <w:tcBorders>
                    <w:top w:val="double" w:color="auto" w:sz="4" w:space="0"/>
                    <w:left w:val="single" w:color="auto" w:sz="4" w:space="0"/>
                    <w:right w:val="single" w:color="auto" w:sz="4" w:space="0"/>
                  </w:tcBorders>
                  <w:vAlign w:val="center"/>
                </w:tcPr>
                <w:p>
                  <w:pPr>
                    <w:jc w:val="center"/>
                    <w:rPr>
                      <w:rStyle w:val="43"/>
                      <w:color w:val="auto"/>
                      <w:kern w:val="0"/>
                      <w:szCs w:val="20"/>
                      <w:highlight w:val="none"/>
                    </w:rPr>
                  </w:pPr>
                  <w:r>
                    <w:rPr>
                      <w:color w:val="auto"/>
                      <w:kern w:val="0"/>
                      <w:szCs w:val="21"/>
                      <w:highlight w:val="none"/>
                    </w:rPr>
                    <w:t>综合</w:t>
                  </w:r>
                </w:p>
                <w:p>
                  <w:pPr>
                    <w:jc w:val="center"/>
                    <w:rPr>
                      <w:color w:val="auto"/>
                      <w:kern w:val="0"/>
                      <w:highlight w:val="none"/>
                    </w:rPr>
                  </w:pPr>
                  <w:r>
                    <w:rPr>
                      <w:rFonts w:hint="eastAsia"/>
                      <w:color w:val="auto"/>
                      <w:kern w:val="0"/>
                      <w:szCs w:val="21"/>
                      <w:highlight w:val="none"/>
                    </w:rPr>
                    <w:t>废水</w:t>
                  </w:r>
                </w:p>
              </w:tc>
              <w:tc>
                <w:tcPr>
                  <w:tcW w:w="477" w:type="pct"/>
                  <w:tcBorders>
                    <w:top w:val="double" w:color="auto" w:sz="4" w:space="0"/>
                    <w:left w:val="single" w:color="auto" w:sz="4" w:space="0"/>
                    <w:bottom w:val="single" w:color="auto" w:sz="4" w:space="0"/>
                    <w:right w:val="single" w:color="auto" w:sz="4" w:space="0"/>
                  </w:tcBorders>
                  <w:vAlign w:val="center"/>
                </w:tcPr>
                <w:p>
                  <w:pPr>
                    <w:widowControl/>
                    <w:jc w:val="center"/>
                    <w:rPr>
                      <w:color w:val="auto"/>
                      <w:kern w:val="0"/>
                      <w:highlight w:val="none"/>
                    </w:rPr>
                  </w:pPr>
                  <w:r>
                    <w:rPr>
                      <w:color w:val="auto"/>
                      <w:kern w:val="0"/>
                      <w:szCs w:val="21"/>
                      <w:highlight w:val="none"/>
                    </w:rPr>
                    <w:t>pH</w:t>
                  </w:r>
                </w:p>
              </w:tc>
              <w:tc>
                <w:tcPr>
                  <w:tcW w:w="504" w:type="pct"/>
                  <w:vMerge w:val="restart"/>
                  <w:tcBorders>
                    <w:top w:val="double" w:color="auto" w:sz="4" w:space="0"/>
                    <w:left w:val="single" w:color="auto" w:sz="4" w:space="0"/>
                    <w:right w:val="single" w:color="auto" w:sz="4" w:space="0"/>
                  </w:tcBorders>
                  <w:vAlign w:val="center"/>
                </w:tcPr>
                <w:p>
                  <w:pPr>
                    <w:jc w:val="center"/>
                    <w:rPr>
                      <w:color w:val="auto"/>
                      <w:kern w:val="0"/>
                      <w:highlight w:val="none"/>
                    </w:rPr>
                  </w:pPr>
                  <w:r>
                    <w:rPr>
                      <w:color w:val="auto"/>
                      <w:kern w:val="0"/>
                      <w:szCs w:val="21"/>
                      <w:highlight w:val="none"/>
                    </w:rPr>
                    <w:t>3309.2</w:t>
                  </w:r>
                </w:p>
              </w:tc>
              <w:tc>
                <w:tcPr>
                  <w:tcW w:w="467" w:type="pct"/>
                  <w:tcBorders>
                    <w:top w:val="double" w:color="auto" w:sz="4" w:space="0"/>
                    <w:left w:val="single" w:color="auto" w:sz="4" w:space="0"/>
                    <w:bottom w:val="single" w:color="auto" w:sz="4" w:space="0"/>
                    <w:right w:val="single" w:color="auto" w:sz="4" w:space="0"/>
                  </w:tcBorders>
                  <w:vAlign w:val="center"/>
                </w:tcPr>
                <w:p>
                  <w:pPr>
                    <w:jc w:val="center"/>
                    <w:rPr>
                      <w:color w:val="auto"/>
                      <w:kern w:val="0"/>
                      <w:highlight w:val="none"/>
                    </w:rPr>
                  </w:pPr>
                  <w:r>
                    <w:rPr>
                      <w:color w:val="auto"/>
                      <w:kern w:val="0"/>
                      <w:szCs w:val="21"/>
                      <w:highlight w:val="none"/>
                    </w:rPr>
                    <w:t>--</w:t>
                  </w:r>
                </w:p>
              </w:tc>
              <w:tc>
                <w:tcPr>
                  <w:tcW w:w="636" w:type="pct"/>
                  <w:tcBorders>
                    <w:top w:val="double" w:color="auto" w:sz="4" w:space="0"/>
                    <w:left w:val="single" w:color="auto" w:sz="4" w:space="0"/>
                    <w:bottom w:val="single" w:color="auto" w:sz="4" w:space="0"/>
                    <w:right w:val="single" w:color="auto" w:sz="4" w:space="0"/>
                  </w:tcBorders>
                  <w:vAlign w:val="center"/>
                </w:tcPr>
                <w:p>
                  <w:pPr>
                    <w:jc w:val="center"/>
                    <w:rPr>
                      <w:color w:val="auto"/>
                      <w:highlight w:val="none"/>
                    </w:rPr>
                  </w:pPr>
                  <w:r>
                    <w:rPr>
                      <w:color w:val="auto"/>
                      <w:kern w:val="0"/>
                      <w:szCs w:val="21"/>
                      <w:highlight w:val="none"/>
                    </w:rPr>
                    <w:t>--</w:t>
                  </w:r>
                </w:p>
              </w:tc>
              <w:tc>
                <w:tcPr>
                  <w:tcW w:w="303" w:type="pct"/>
                  <w:tcBorders>
                    <w:top w:val="double" w:color="auto" w:sz="4" w:space="0"/>
                    <w:left w:val="single" w:color="auto" w:sz="4" w:space="0"/>
                    <w:bottom w:val="single" w:color="auto" w:sz="4" w:space="0"/>
                    <w:right w:val="single" w:color="auto" w:sz="4" w:space="0"/>
                  </w:tcBorders>
                  <w:vAlign w:val="center"/>
                </w:tcPr>
                <w:p>
                  <w:pPr>
                    <w:jc w:val="center"/>
                    <w:rPr>
                      <w:color w:val="auto"/>
                      <w:kern w:val="0"/>
                      <w:highlight w:val="none"/>
                    </w:rPr>
                  </w:pPr>
                  <w:r>
                    <w:rPr>
                      <w:color w:val="auto"/>
                      <w:kern w:val="0"/>
                      <w:szCs w:val="21"/>
                      <w:highlight w:val="none"/>
                    </w:rPr>
                    <w:t>--</w:t>
                  </w:r>
                </w:p>
              </w:tc>
              <w:tc>
                <w:tcPr>
                  <w:tcW w:w="393" w:type="pct"/>
                  <w:tcBorders>
                    <w:top w:val="double" w:color="auto" w:sz="4" w:space="0"/>
                    <w:left w:val="single" w:color="auto" w:sz="4" w:space="0"/>
                    <w:bottom w:val="single" w:color="auto" w:sz="4" w:space="0"/>
                    <w:right w:val="single" w:color="auto" w:sz="4" w:space="0"/>
                  </w:tcBorders>
                  <w:vAlign w:val="center"/>
                </w:tcPr>
                <w:p>
                  <w:pPr>
                    <w:jc w:val="center"/>
                    <w:rPr>
                      <w:color w:val="auto"/>
                      <w:kern w:val="0"/>
                      <w:highlight w:val="none"/>
                    </w:rPr>
                  </w:pPr>
                  <w:r>
                    <w:rPr>
                      <w:color w:val="auto"/>
                      <w:kern w:val="0"/>
                      <w:szCs w:val="21"/>
                      <w:highlight w:val="none"/>
                    </w:rPr>
                    <w:t>--</w:t>
                  </w:r>
                </w:p>
              </w:tc>
              <w:tc>
                <w:tcPr>
                  <w:tcW w:w="439" w:type="pct"/>
                  <w:tcBorders>
                    <w:top w:val="double" w:color="auto" w:sz="4" w:space="0"/>
                    <w:left w:val="single" w:color="auto" w:sz="4" w:space="0"/>
                    <w:bottom w:val="single" w:color="auto" w:sz="4" w:space="0"/>
                    <w:right w:val="single" w:color="auto" w:sz="4" w:space="0"/>
                  </w:tcBorders>
                  <w:vAlign w:val="center"/>
                </w:tcPr>
                <w:p>
                  <w:pPr>
                    <w:jc w:val="center"/>
                    <w:rPr>
                      <w:color w:val="auto"/>
                      <w:kern w:val="0"/>
                      <w:highlight w:val="none"/>
                    </w:rPr>
                  </w:pPr>
                  <w:r>
                    <w:rPr>
                      <w:color w:val="auto"/>
                      <w:kern w:val="0"/>
                      <w:szCs w:val="21"/>
                      <w:highlight w:val="none"/>
                    </w:rPr>
                    <w:t>--</w:t>
                  </w:r>
                </w:p>
              </w:tc>
              <w:tc>
                <w:tcPr>
                  <w:tcW w:w="473" w:type="pct"/>
                  <w:tcBorders>
                    <w:top w:val="double" w:color="auto" w:sz="4" w:space="0"/>
                    <w:left w:val="single" w:color="auto" w:sz="4" w:space="0"/>
                    <w:bottom w:val="single" w:color="auto" w:sz="4" w:space="0"/>
                    <w:right w:val="single" w:color="auto" w:sz="4" w:space="0"/>
                  </w:tcBorders>
                  <w:vAlign w:val="center"/>
                </w:tcPr>
                <w:p>
                  <w:pPr>
                    <w:jc w:val="center"/>
                    <w:rPr>
                      <w:color w:val="auto"/>
                      <w:kern w:val="0"/>
                      <w:highlight w:val="none"/>
                    </w:rPr>
                  </w:pPr>
                  <w:r>
                    <w:rPr>
                      <w:color w:val="auto"/>
                      <w:kern w:val="0"/>
                      <w:szCs w:val="21"/>
                      <w:highlight w:val="none"/>
                    </w:rPr>
                    <w:t>6-9</w:t>
                  </w:r>
                </w:p>
              </w:tc>
              <w:tc>
                <w:tcPr>
                  <w:tcW w:w="710" w:type="pct"/>
                  <w:tcBorders>
                    <w:top w:val="double" w:color="auto" w:sz="4" w:space="0"/>
                    <w:left w:val="single" w:color="auto" w:sz="4" w:space="0"/>
                    <w:bottom w:val="single" w:color="auto" w:sz="4" w:space="0"/>
                    <w:right w:val="single" w:color="auto" w:sz="4" w:space="0"/>
                  </w:tcBorders>
                  <w:vAlign w:val="center"/>
                </w:tcPr>
                <w:p>
                  <w:pPr>
                    <w:jc w:val="center"/>
                    <w:rPr>
                      <w:color w:val="auto"/>
                      <w:highlight w:val="none"/>
                    </w:rPr>
                  </w:pPr>
                  <w:r>
                    <w:rPr>
                      <w:color w:val="auto"/>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80" w:hRule="atLeast"/>
              </w:trPr>
              <w:tc>
                <w:tcPr>
                  <w:tcW w:w="596" w:type="pct"/>
                  <w:vMerge w:val="continue"/>
                  <w:tcBorders>
                    <w:left w:val="single" w:color="auto" w:sz="4" w:space="0"/>
                    <w:right w:val="single" w:color="auto" w:sz="4" w:space="0"/>
                  </w:tcBorders>
                  <w:vAlign w:val="center"/>
                </w:tcPr>
                <w:p>
                  <w:pPr>
                    <w:jc w:val="center"/>
                    <w:rPr>
                      <w:color w:val="auto"/>
                      <w:szCs w:val="22"/>
                      <w:highlight w:val="none"/>
                    </w:rPr>
                  </w:pPr>
                </w:p>
              </w:tc>
              <w:tc>
                <w:tcPr>
                  <w:tcW w:w="477" w:type="pct"/>
                  <w:tcBorders>
                    <w:top w:val="single" w:color="auto" w:sz="4" w:space="0"/>
                    <w:left w:val="single" w:color="auto" w:sz="4" w:space="0"/>
                    <w:bottom w:val="single" w:color="auto" w:sz="4" w:space="0"/>
                    <w:right w:val="single" w:color="auto" w:sz="4" w:space="0"/>
                  </w:tcBorders>
                  <w:vAlign w:val="center"/>
                </w:tcPr>
                <w:p>
                  <w:pPr>
                    <w:widowControl/>
                    <w:jc w:val="center"/>
                    <w:rPr>
                      <w:color w:val="auto"/>
                      <w:kern w:val="0"/>
                      <w:highlight w:val="none"/>
                    </w:rPr>
                  </w:pPr>
                  <w:r>
                    <w:rPr>
                      <w:color w:val="auto"/>
                      <w:kern w:val="0"/>
                      <w:szCs w:val="21"/>
                      <w:highlight w:val="none"/>
                    </w:rPr>
                    <w:t>COD</w:t>
                  </w:r>
                </w:p>
              </w:tc>
              <w:tc>
                <w:tcPr>
                  <w:tcW w:w="504" w:type="pct"/>
                  <w:vMerge w:val="continue"/>
                  <w:tcBorders>
                    <w:left w:val="single" w:color="auto" w:sz="4" w:space="0"/>
                    <w:right w:val="single" w:color="auto" w:sz="4" w:space="0"/>
                  </w:tcBorders>
                  <w:vAlign w:val="center"/>
                </w:tcPr>
                <w:p>
                  <w:pPr>
                    <w:jc w:val="center"/>
                    <w:rPr>
                      <w:color w:val="auto"/>
                      <w:szCs w:val="22"/>
                      <w:highlight w:val="none"/>
                    </w:rPr>
                  </w:pPr>
                </w:p>
              </w:tc>
              <w:tc>
                <w:tcPr>
                  <w:tcW w:w="467" w:type="pct"/>
                  <w:tcBorders>
                    <w:top w:val="single" w:color="auto" w:sz="4" w:space="0"/>
                    <w:left w:val="single" w:color="auto" w:sz="4" w:space="0"/>
                    <w:bottom w:val="single" w:color="auto" w:sz="4" w:space="0"/>
                    <w:right w:val="single" w:color="auto" w:sz="4" w:space="0"/>
                  </w:tcBorders>
                  <w:vAlign w:val="center"/>
                </w:tcPr>
                <w:p>
                  <w:pPr>
                    <w:jc w:val="center"/>
                    <w:rPr>
                      <w:color w:val="auto"/>
                      <w:kern w:val="0"/>
                      <w:highlight w:val="none"/>
                    </w:rPr>
                  </w:pPr>
                  <w:r>
                    <w:rPr>
                      <w:color w:val="auto"/>
                      <w:kern w:val="0"/>
                      <w:szCs w:val="21"/>
                      <w:highlight w:val="none"/>
                    </w:rPr>
                    <w:t>--</w:t>
                  </w:r>
                </w:p>
              </w:tc>
              <w:tc>
                <w:tcPr>
                  <w:tcW w:w="636" w:type="pct"/>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color w:val="auto"/>
                      <w:kern w:val="0"/>
                      <w:szCs w:val="21"/>
                      <w:highlight w:val="none"/>
                    </w:rPr>
                    <w:t>--</w:t>
                  </w:r>
                </w:p>
              </w:tc>
              <w:tc>
                <w:tcPr>
                  <w:tcW w:w="303" w:type="pct"/>
                  <w:tcBorders>
                    <w:top w:val="single" w:color="auto" w:sz="4" w:space="0"/>
                    <w:left w:val="single" w:color="auto" w:sz="4" w:space="0"/>
                    <w:bottom w:val="single" w:color="auto" w:sz="4" w:space="0"/>
                    <w:right w:val="single" w:color="auto" w:sz="4" w:space="0"/>
                  </w:tcBorders>
                  <w:vAlign w:val="center"/>
                </w:tcPr>
                <w:p>
                  <w:pPr>
                    <w:jc w:val="center"/>
                    <w:rPr>
                      <w:color w:val="auto"/>
                      <w:kern w:val="0"/>
                      <w:highlight w:val="none"/>
                    </w:rPr>
                  </w:pPr>
                  <w:r>
                    <w:rPr>
                      <w:color w:val="auto"/>
                      <w:kern w:val="0"/>
                      <w:szCs w:val="21"/>
                      <w:highlight w:val="none"/>
                    </w:rPr>
                    <w:t>--</w:t>
                  </w:r>
                </w:p>
              </w:tc>
              <w:tc>
                <w:tcPr>
                  <w:tcW w:w="393" w:type="pct"/>
                  <w:tcBorders>
                    <w:top w:val="single" w:color="auto" w:sz="4" w:space="0"/>
                    <w:left w:val="single" w:color="auto" w:sz="4" w:space="0"/>
                    <w:bottom w:val="single" w:color="auto" w:sz="4" w:space="0"/>
                    <w:right w:val="single" w:color="auto" w:sz="4" w:space="0"/>
                  </w:tcBorders>
                  <w:vAlign w:val="center"/>
                </w:tcPr>
                <w:p>
                  <w:pPr>
                    <w:jc w:val="center"/>
                    <w:rPr>
                      <w:color w:val="auto"/>
                      <w:kern w:val="0"/>
                      <w:highlight w:val="none"/>
                    </w:rPr>
                  </w:pPr>
                  <w:r>
                    <w:rPr>
                      <w:color w:val="auto"/>
                      <w:kern w:val="0"/>
                      <w:szCs w:val="21"/>
                      <w:highlight w:val="none"/>
                    </w:rPr>
                    <w:t>--</w:t>
                  </w:r>
                </w:p>
              </w:tc>
              <w:tc>
                <w:tcPr>
                  <w:tcW w:w="439" w:type="pct"/>
                  <w:tcBorders>
                    <w:top w:val="single" w:color="auto" w:sz="4" w:space="0"/>
                    <w:left w:val="single" w:color="auto" w:sz="4" w:space="0"/>
                    <w:bottom w:val="single" w:color="auto" w:sz="4" w:space="0"/>
                    <w:right w:val="single" w:color="auto" w:sz="4" w:space="0"/>
                  </w:tcBorders>
                  <w:vAlign w:val="center"/>
                </w:tcPr>
                <w:p>
                  <w:pPr>
                    <w:jc w:val="center"/>
                    <w:rPr>
                      <w:color w:val="auto"/>
                      <w:kern w:val="0"/>
                      <w:highlight w:val="none"/>
                    </w:rPr>
                  </w:pPr>
                  <w:r>
                    <w:rPr>
                      <w:color w:val="auto"/>
                      <w:kern w:val="0"/>
                      <w:szCs w:val="21"/>
                      <w:highlight w:val="none"/>
                    </w:rPr>
                    <w:t>--</w:t>
                  </w:r>
                </w:p>
              </w:tc>
              <w:tc>
                <w:tcPr>
                  <w:tcW w:w="473" w:type="pct"/>
                  <w:tcBorders>
                    <w:top w:val="single" w:color="auto" w:sz="4" w:space="0"/>
                    <w:left w:val="single" w:color="auto" w:sz="4" w:space="0"/>
                    <w:bottom w:val="single" w:color="auto" w:sz="4" w:space="0"/>
                    <w:right w:val="single" w:color="auto" w:sz="4" w:space="0"/>
                  </w:tcBorders>
                  <w:vAlign w:val="center"/>
                </w:tcPr>
                <w:p>
                  <w:pPr>
                    <w:jc w:val="center"/>
                    <w:rPr>
                      <w:color w:val="auto"/>
                      <w:kern w:val="0"/>
                      <w:szCs w:val="21"/>
                      <w:highlight w:val="none"/>
                    </w:rPr>
                  </w:pPr>
                  <w:r>
                    <w:rPr>
                      <w:rFonts w:hint="eastAsia"/>
                      <w:color w:val="auto"/>
                      <w:kern w:val="0"/>
                      <w:szCs w:val="21"/>
                      <w:highlight w:val="none"/>
                    </w:rPr>
                    <w:t>109</w:t>
                  </w:r>
                </w:p>
              </w:tc>
              <w:tc>
                <w:tcPr>
                  <w:tcW w:w="710" w:type="pct"/>
                  <w:tcBorders>
                    <w:top w:val="single" w:color="auto" w:sz="4" w:space="0"/>
                    <w:left w:val="single" w:color="auto" w:sz="4" w:space="0"/>
                    <w:bottom w:val="single" w:color="auto" w:sz="4" w:space="0"/>
                    <w:right w:val="single" w:color="auto" w:sz="4" w:space="0"/>
                  </w:tcBorders>
                  <w:vAlign w:val="center"/>
                </w:tcPr>
                <w:p>
                  <w:pPr>
                    <w:jc w:val="center"/>
                    <w:rPr>
                      <w:color w:val="auto"/>
                      <w:sz w:val="22"/>
                      <w:szCs w:val="22"/>
                      <w:highlight w:val="none"/>
                    </w:rPr>
                  </w:pPr>
                  <w:r>
                    <w:rPr>
                      <w:color w:val="auto"/>
                      <w:sz w:val="22"/>
                      <w:szCs w:val="22"/>
                      <w:highlight w:val="none"/>
                    </w:rPr>
                    <w:t>0.3</w:t>
                  </w:r>
                  <w:r>
                    <w:rPr>
                      <w:rFonts w:hint="eastAsia"/>
                      <w:color w:val="auto"/>
                      <w:sz w:val="22"/>
                      <w:szCs w:val="22"/>
                      <w:highlight w:val="none"/>
                    </w:rPr>
                    <w:t>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4" w:hRule="atLeast"/>
              </w:trPr>
              <w:tc>
                <w:tcPr>
                  <w:tcW w:w="596" w:type="pct"/>
                  <w:vMerge w:val="continue"/>
                  <w:tcBorders>
                    <w:left w:val="single" w:color="auto" w:sz="4" w:space="0"/>
                    <w:right w:val="single" w:color="auto" w:sz="4" w:space="0"/>
                  </w:tcBorders>
                  <w:vAlign w:val="center"/>
                </w:tcPr>
                <w:p>
                  <w:pPr>
                    <w:jc w:val="center"/>
                    <w:rPr>
                      <w:color w:val="auto"/>
                      <w:szCs w:val="22"/>
                      <w:highlight w:val="none"/>
                    </w:rPr>
                  </w:pPr>
                </w:p>
              </w:tc>
              <w:tc>
                <w:tcPr>
                  <w:tcW w:w="477" w:type="pct"/>
                  <w:tcBorders>
                    <w:top w:val="single" w:color="auto" w:sz="4" w:space="0"/>
                    <w:left w:val="single" w:color="auto" w:sz="4" w:space="0"/>
                    <w:bottom w:val="single" w:color="auto" w:sz="4" w:space="0"/>
                    <w:right w:val="single" w:color="auto" w:sz="4" w:space="0"/>
                  </w:tcBorders>
                  <w:vAlign w:val="center"/>
                </w:tcPr>
                <w:p>
                  <w:pPr>
                    <w:widowControl/>
                    <w:jc w:val="center"/>
                    <w:rPr>
                      <w:color w:val="auto"/>
                      <w:kern w:val="0"/>
                      <w:highlight w:val="none"/>
                    </w:rPr>
                  </w:pPr>
                  <w:r>
                    <w:rPr>
                      <w:color w:val="auto"/>
                      <w:kern w:val="0"/>
                      <w:szCs w:val="21"/>
                      <w:highlight w:val="none"/>
                    </w:rPr>
                    <w:t>SS</w:t>
                  </w:r>
                </w:p>
              </w:tc>
              <w:tc>
                <w:tcPr>
                  <w:tcW w:w="504" w:type="pct"/>
                  <w:vMerge w:val="continue"/>
                  <w:tcBorders>
                    <w:left w:val="single" w:color="auto" w:sz="4" w:space="0"/>
                    <w:right w:val="single" w:color="auto" w:sz="4" w:space="0"/>
                  </w:tcBorders>
                  <w:vAlign w:val="center"/>
                </w:tcPr>
                <w:p>
                  <w:pPr>
                    <w:jc w:val="center"/>
                    <w:rPr>
                      <w:color w:val="auto"/>
                      <w:szCs w:val="22"/>
                      <w:highlight w:val="none"/>
                    </w:rPr>
                  </w:pPr>
                </w:p>
              </w:tc>
              <w:tc>
                <w:tcPr>
                  <w:tcW w:w="467" w:type="pct"/>
                  <w:tcBorders>
                    <w:top w:val="single" w:color="auto" w:sz="4" w:space="0"/>
                    <w:left w:val="single" w:color="auto" w:sz="4" w:space="0"/>
                    <w:bottom w:val="single" w:color="auto" w:sz="4" w:space="0"/>
                    <w:right w:val="single" w:color="auto" w:sz="4" w:space="0"/>
                  </w:tcBorders>
                  <w:vAlign w:val="center"/>
                </w:tcPr>
                <w:p>
                  <w:pPr>
                    <w:jc w:val="center"/>
                    <w:rPr>
                      <w:color w:val="auto"/>
                      <w:kern w:val="0"/>
                      <w:highlight w:val="none"/>
                    </w:rPr>
                  </w:pPr>
                  <w:r>
                    <w:rPr>
                      <w:color w:val="auto"/>
                      <w:kern w:val="0"/>
                      <w:szCs w:val="21"/>
                      <w:highlight w:val="none"/>
                    </w:rPr>
                    <w:t>--</w:t>
                  </w:r>
                </w:p>
              </w:tc>
              <w:tc>
                <w:tcPr>
                  <w:tcW w:w="636" w:type="pct"/>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color w:val="auto"/>
                      <w:kern w:val="0"/>
                      <w:szCs w:val="21"/>
                      <w:highlight w:val="none"/>
                    </w:rPr>
                    <w:t>--</w:t>
                  </w:r>
                </w:p>
              </w:tc>
              <w:tc>
                <w:tcPr>
                  <w:tcW w:w="303" w:type="pct"/>
                  <w:tcBorders>
                    <w:top w:val="single" w:color="auto" w:sz="4" w:space="0"/>
                    <w:left w:val="single" w:color="auto" w:sz="4" w:space="0"/>
                    <w:bottom w:val="single" w:color="auto" w:sz="4" w:space="0"/>
                    <w:right w:val="single" w:color="auto" w:sz="4" w:space="0"/>
                  </w:tcBorders>
                  <w:vAlign w:val="center"/>
                </w:tcPr>
                <w:p>
                  <w:pPr>
                    <w:jc w:val="center"/>
                    <w:rPr>
                      <w:color w:val="auto"/>
                      <w:kern w:val="0"/>
                      <w:highlight w:val="none"/>
                    </w:rPr>
                  </w:pPr>
                  <w:r>
                    <w:rPr>
                      <w:color w:val="auto"/>
                      <w:kern w:val="0"/>
                      <w:szCs w:val="21"/>
                      <w:highlight w:val="none"/>
                    </w:rPr>
                    <w:t>--</w:t>
                  </w:r>
                </w:p>
              </w:tc>
              <w:tc>
                <w:tcPr>
                  <w:tcW w:w="393" w:type="pct"/>
                  <w:tcBorders>
                    <w:top w:val="single" w:color="auto" w:sz="4" w:space="0"/>
                    <w:left w:val="single" w:color="auto" w:sz="4" w:space="0"/>
                    <w:bottom w:val="single" w:color="auto" w:sz="4" w:space="0"/>
                    <w:right w:val="single" w:color="auto" w:sz="4" w:space="0"/>
                  </w:tcBorders>
                  <w:vAlign w:val="center"/>
                </w:tcPr>
                <w:p>
                  <w:pPr>
                    <w:jc w:val="center"/>
                    <w:rPr>
                      <w:color w:val="auto"/>
                      <w:kern w:val="0"/>
                      <w:highlight w:val="none"/>
                    </w:rPr>
                  </w:pPr>
                  <w:r>
                    <w:rPr>
                      <w:color w:val="auto"/>
                      <w:kern w:val="0"/>
                      <w:szCs w:val="21"/>
                      <w:highlight w:val="none"/>
                    </w:rPr>
                    <w:t>--</w:t>
                  </w:r>
                </w:p>
              </w:tc>
              <w:tc>
                <w:tcPr>
                  <w:tcW w:w="439" w:type="pct"/>
                  <w:tcBorders>
                    <w:top w:val="single" w:color="auto" w:sz="4" w:space="0"/>
                    <w:left w:val="single" w:color="auto" w:sz="4" w:space="0"/>
                    <w:bottom w:val="single" w:color="auto" w:sz="4" w:space="0"/>
                    <w:right w:val="single" w:color="auto" w:sz="4" w:space="0"/>
                  </w:tcBorders>
                  <w:vAlign w:val="center"/>
                </w:tcPr>
                <w:p>
                  <w:pPr>
                    <w:jc w:val="center"/>
                    <w:rPr>
                      <w:color w:val="auto"/>
                      <w:kern w:val="0"/>
                      <w:highlight w:val="none"/>
                    </w:rPr>
                  </w:pPr>
                  <w:r>
                    <w:rPr>
                      <w:color w:val="auto"/>
                      <w:kern w:val="0"/>
                      <w:szCs w:val="21"/>
                      <w:highlight w:val="none"/>
                    </w:rPr>
                    <w:t>--</w:t>
                  </w:r>
                </w:p>
              </w:tc>
              <w:tc>
                <w:tcPr>
                  <w:tcW w:w="473" w:type="pct"/>
                  <w:tcBorders>
                    <w:top w:val="single" w:color="auto" w:sz="4" w:space="0"/>
                    <w:left w:val="single" w:color="auto" w:sz="4" w:space="0"/>
                    <w:bottom w:val="single" w:color="auto" w:sz="4" w:space="0"/>
                    <w:right w:val="single" w:color="auto" w:sz="4" w:space="0"/>
                  </w:tcBorders>
                  <w:vAlign w:val="center"/>
                </w:tcPr>
                <w:p>
                  <w:pPr>
                    <w:jc w:val="center"/>
                    <w:rPr>
                      <w:color w:val="auto"/>
                      <w:kern w:val="0"/>
                      <w:szCs w:val="21"/>
                      <w:highlight w:val="none"/>
                    </w:rPr>
                  </w:pPr>
                  <w:r>
                    <w:rPr>
                      <w:rFonts w:hint="eastAsia"/>
                      <w:color w:val="auto"/>
                      <w:kern w:val="0"/>
                      <w:szCs w:val="21"/>
                      <w:highlight w:val="none"/>
                    </w:rPr>
                    <w:t>144</w:t>
                  </w:r>
                </w:p>
              </w:tc>
              <w:tc>
                <w:tcPr>
                  <w:tcW w:w="710" w:type="pct"/>
                  <w:tcBorders>
                    <w:top w:val="single" w:color="auto" w:sz="4" w:space="0"/>
                    <w:left w:val="single" w:color="auto" w:sz="4" w:space="0"/>
                    <w:bottom w:val="single" w:color="auto" w:sz="4" w:space="0"/>
                    <w:right w:val="single" w:color="auto" w:sz="4" w:space="0"/>
                  </w:tcBorders>
                  <w:vAlign w:val="center"/>
                </w:tcPr>
                <w:p>
                  <w:pPr>
                    <w:jc w:val="center"/>
                    <w:rPr>
                      <w:color w:val="auto"/>
                      <w:sz w:val="22"/>
                      <w:szCs w:val="22"/>
                      <w:highlight w:val="none"/>
                    </w:rPr>
                  </w:pPr>
                  <w:r>
                    <w:rPr>
                      <w:color w:val="auto"/>
                      <w:sz w:val="22"/>
                      <w:szCs w:val="22"/>
                      <w:highlight w:val="none"/>
                    </w:rPr>
                    <w:t>0.</w:t>
                  </w:r>
                  <w:r>
                    <w:rPr>
                      <w:rFonts w:hint="eastAsia"/>
                      <w:color w:val="auto"/>
                      <w:sz w:val="22"/>
                      <w:szCs w:val="22"/>
                      <w:highlight w:val="none"/>
                    </w:rPr>
                    <w:t>47</w:t>
                  </w:r>
                  <w:r>
                    <w:rPr>
                      <w:color w:val="auto"/>
                      <w:sz w:val="22"/>
                      <w:szCs w:val="22"/>
                      <w:highlight w:val="none"/>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56" w:hRule="atLeast"/>
              </w:trPr>
              <w:tc>
                <w:tcPr>
                  <w:tcW w:w="596" w:type="pct"/>
                  <w:vMerge w:val="continue"/>
                  <w:tcBorders>
                    <w:left w:val="single" w:color="auto" w:sz="4" w:space="0"/>
                    <w:right w:val="single" w:color="auto" w:sz="4" w:space="0"/>
                  </w:tcBorders>
                  <w:vAlign w:val="center"/>
                </w:tcPr>
                <w:p>
                  <w:pPr>
                    <w:jc w:val="center"/>
                    <w:rPr>
                      <w:color w:val="auto"/>
                      <w:szCs w:val="22"/>
                      <w:highlight w:val="none"/>
                    </w:rPr>
                  </w:pPr>
                </w:p>
              </w:tc>
              <w:tc>
                <w:tcPr>
                  <w:tcW w:w="477" w:type="pct"/>
                  <w:tcBorders>
                    <w:top w:val="single" w:color="auto" w:sz="4" w:space="0"/>
                    <w:left w:val="single" w:color="auto" w:sz="4" w:space="0"/>
                    <w:bottom w:val="single" w:color="auto" w:sz="4" w:space="0"/>
                    <w:right w:val="single" w:color="auto" w:sz="4" w:space="0"/>
                  </w:tcBorders>
                  <w:vAlign w:val="center"/>
                </w:tcPr>
                <w:p>
                  <w:pPr>
                    <w:jc w:val="center"/>
                    <w:rPr>
                      <w:color w:val="auto"/>
                      <w:kern w:val="0"/>
                      <w:szCs w:val="21"/>
                      <w:highlight w:val="none"/>
                    </w:rPr>
                  </w:pPr>
                  <w:r>
                    <w:rPr>
                      <w:color w:val="auto"/>
                      <w:kern w:val="0"/>
                      <w:szCs w:val="21"/>
                      <w:highlight w:val="none"/>
                    </w:rPr>
                    <w:t>氨氮</w:t>
                  </w:r>
                </w:p>
              </w:tc>
              <w:tc>
                <w:tcPr>
                  <w:tcW w:w="504" w:type="pct"/>
                  <w:vMerge w:val="continue"/>
                  <w:tcBorders>
                    <w:left w:val="single" w:color="auto" w:sz="4" w:space="0"/>
                    <w:right w:val="single" w:color="auto" w:sz="4" w:space="0"/>
                  </w:tcBorders>
                  <w:vAlign w:val="center"/>
                </w:tcPr>
                <w:p>
                  <w:pPr>
                    <w:jc w:val="center"/>
                    <w:rPr>
                      <w:color w:val="auto"/>
                      <w:szCs w:val="22"/>
                      <w:highlight w:val="none"/>
                    </w:rPr>
                  </w:pPr>
                </w:p>
              </w:tc>
              <w:tc>
                <w:tcPr>
                  <w:tcW w:w="467" w:type="pct"/>
                  <w:tcBorders>
                    <w:top w:val="single" w:color="auto" w:sz="4" w:space="0"/>
                    <w:left w:val="single" w:color="auto" w:sz="4" w:space="0"/>
                    <w:bottom w:val="single" w:color="auto" w:sz="4" w:space="0"/>
                    <w:right w:val="single" w:color="auto" w:sz="4" w:space="0"/>
                  </w:tcBorders>
                  <w:vAlign w:val="center"/>
                </w:tcPr>
                <w:p>
                  <w:pPr>
                    <w:jc w:val="center"/>
                    <w:rPr>
                      <w:color w:val="auto"/>
                      <w:kern w:val="0"/>
                      <w:szCs w:val="21"/>
                      <w:highlight w:val="none"/>
                    </w:rPr>
                  </w:pPr>
                  <w:r>
                    <w:rPr>
                      <w:color w:val="auto"/>
                      <w:kern w:val="0"/>
                      <w:szCs w:val="21"/>
                      <w:highlight w:val="none"/>
                    </w:rPr>
                    <w:t>--</w:t>
                  </w:r>
                </w:p>
              </w:tc>
              <w:tc>
                <w:tcPr>
                  <w:tcW w:w="636" w:type="pct"/>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color w:val="auto"/>
                      <w:kern w:val="0"/>
                      <w:szCs w:val="21"/>
                      <w:highlight w:val="none"/>
                    </w:rPr>
                    <w:t>--</w:t>
                  </w:r>
                </w:p>
              </w:tc>
              <w:tc>
                <w:tcPr>
                  <w:tcW w:w="303" w:type="pct"/>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color w:val="auto"/>
                      <w:kern w:val="0"/>
                      <w:szCs w:val="21"/>
                      <w:highlight w:val="none"/>
                    </w:rPr>
                    <w:t>--</w:t>
                  </w:r>
                </w:p>
              </w:tc>
              <w:tc>
                <w:tcPr>
                  <w:tcW w:w="393" w:type="pct"/>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color w:val="auto"/>
                      <w:kern w:val="0"/>
                      <w:szCs w:val="21"/>
                      <w:highlight w:val="none"/>
                    </w:rPr>
                    <w:t>--</w:t>
                  </w:r>
                </w:p>
              </w:tc>
              <w:tc>
                <w:tcPr>
                  <w:tcW w:w="439" w:type="pct"/>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color w:val="auto"/>
                      <w:kern w:val="0"/>
                      <w:szCs w:val="21"/>
                      <w:highlight w:val="none"/>
                    </w:rPr>
                    <w:t>--</w:t>
                  </w:r>
                </w:p>
              </w:tc>
              <w:tc>
                <w:tcPr>
                  <w:tcW w:w="473" w:type="pct"/>
                  <w:tcBorders>
                    <w:top w:val="single" w:color="auto" w:sz="4" w:space="0"/>
                    <w:left w:val="single" w:color="auto" w:sz="4" w:space="0"/>
                    <w:bottom w:val="single" w:color="auto" w:sz="4" w:space="0"/>
                    <w:right w:val="single" w:color="auto" w:sz="4" w:space="0"/>
                  </w:tcBorders>
                  <w:vAlign w:val="center"/>
                </w:tcPr>
                <w:p>
                  <w:pPr>
                    <w:jc w:val="center"/>
                    <w:rPr>
                      <w:color w:val="auto"/>
                      <w:kern w:val="0"/>
                      <w:szCs w:val="21"/>
                      <w:highlight w:val="none"/>
                    </w:rPr>
                  </w:pPr>
                  <w:r>
                    <w:rPr>
                      <w:color w:val="auto"/>
                      <w:kern w:val="0"/>
                      <w:szCs w:val="21"/>
                      <w:highlight w:val="none"/>
                    </w:rPr>
                    <w:t>0.907</w:t>
                  </w:r>
                </w:p>
              </w:tc>
              <w:tc>
                <w:tcPr>
                  <w:tcW w:w="710" w:type="pct"/>
                  <w:tcBorders>
                    <w:top w:val="single" w:color="auto" w:sz="4" w:space="0"/>
                    <w:left w:val="single" w:color="auto" w:sz="4" w:space="0"/>
                    <w:bottom w:val="single" w:color="auto" w:sz="4" w:space="0"/>
                    <w:right w:val="single" w:color="auto" w:sz="4" w:space="0"/>
                  </w:tcBorders>
                  <w:vAlign w:val="center"/>
                </w:tcPr>
                <w:p>
                  <w:pPr>
                    <w:jc w:val="center"/>
                    <w:rPr>
                      <w:color w:val="auto"/>
                      <w:sz w:val="22"/>
                      <w:szCs w:val="22"/>
                      <w:highlight w:val="none"/>
                    </w:rPr>
                  </w:pPr>
                  <w:r>
                    <w:rPr>
                      <w:color w:val="auto"/>
                      <w:sz w:val="22"/>
                      <w:szCs w:val="22"/>
                      <w:highlight w:val="none"/>
                    </w:rPr>
                    <w:t>0.003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39" w:hRule="atLeast"/>
              </w:trPr>
              <w:tc>
                <w:tcPr>
                  <w:tcW w:w="596" w:type="pct"/>
                  <w:vMerge w:val="continue"/>
                  <w:tcBorders>
                    <w:left w:val="single" w:color="auto" w:sz="4" w:space="0"/>
                    <w:right w:val="single" w:color="auto" w:sz="4" w:space="0"/>
                  </w:tcBorders>
                  <w:vAlign w:val="center"/>
                </w:tcPr>
                <w:p>
                  <w:pPr>
                    <w:jc w:val="center"/>
                    <w:rPr>
                      <w:color w:val="auto"/>
                      <w:szCs w:val="22"/>
                      <w:highlight w:val="none"/>
                    </w:rPr>
                  </w:pPr>
                </w:p>
              </w:tc>
              <w:tc>
                <w:tcPr>
                  <w:tcW w:w="477" w:type="pct"/>
                  <w:tcBorders>
                    <w:top w:val="single" w:color="auto" w:sz="4" w:space="0"/>
                    <w:left w:val="single" w:color="auto" w:sz="4" w:space="0"/>
                    <w:bottom w:val="single" w:color="auto" w:sz="4" w:space="0"/>
                    <w:right w:val="single" w:color="auto" w:sz="4" w:space="0"/>
                  </w:tcBorders>
                  <w:vAlign w:val="center"/>
                </w:tcPr>
                <w:p>
                  <w:pPr>
                    <w:jc w:val="center"/>
                    <w:rPr>
                      <w:color w:val="auto"/>
                      <w:kern w:val="0"/>
                      <w:szCs w:val="21"/>
                      <w:highlight w:val="none"/>
                    </w:rPr>
                  </w:pPr>
                  <w:r>
                    <w:rPr>
                      <w:color w:val="auto"/>
                      <w:kern w:val="0"/>
                      <w:szCs w:val="21"/>
                      <w:highlight w:val="none"/>
                    </w:rPr>
                    <w:t>总磷</w:t>
                  </w:r>
                </w:p>
              </w:tc>
              <w:tc>
                <w:tcPr>
                  <w:tcW w:w="504" w:type="pct"/>
                  <w:vMerge w:val="continue"/>
                  <w:tcBorders>
                    <w:left w:val="single" w:color="auto" w:sz="4" w:space="0"/>
                    <w:right w:val="single" w:color="auto" w:sz="4" w:space="0"/>
                  </w:tcBorders>
                  <w:vAlign w:val="center"/>
                </w:tcPr>
                <w:p>
                  <w:pPr>
                    <w:jc w:val="center"/>
                    <w:rPr>
                      <w:color w:val="auto"/>
                      <w:szCs w:val="22"/>
                      <w:highlight w:val="none"/>
                    </w:rPr>
                  </w:pPr>
                </w:p>
              </w:tc>
              <w:tc>
                <w:tcPr>
                  <w:tcW w:w="467" w:type="pct"/>
                  <w:tcBorders>
                    <w:top w:val="single" w:color="auto" w:sz="4" w:space="0"/>
                    <w:left w:val="single" w:color="auto" w:sz="4" w:space="0"/>
                    <w:right w:val="single" w:color="auto" w:sz="4" w:space="0"/>
                  </w:tcBorders>
                  <w:vAlign w:val="center"/>
                </w:tcPr>
                <w:p>
                  <w:pPr>
                    <w:jc w:val="center"/>
                    <w:rPr>
                      <w:color w:val="auto"/>
                      <w:kern w:val="0"/>
                      <w:szCs w:val="21"/>
                      <w:highlight w:val="none"/>
                    </w:rPr>
                  </w:pPr>
                  <w:r>
                    <w:rPr>
                      <w:color w:val="auto"/>
                      <w:kern w:val="0"/>
                      <w:szCs w:val="21"/>
                      <w:highlight w:val="none"/>
                    </w:rPr>
                    <w:t>--</w:t>
                  </w:r>
                </w:p>
              </w:tc>
              <w:tc>
                <w:tcPr>
                  <w:tcW w:w="636" w:type="pct"/>
                  <w:tcBorders>
                    <w:top w:val="single" w:color="auto" w:sz="4" w:space="0"/>
                    <w:left w:val="single" w:color="auto" w:sz="4" w:space="0"/>
                    <w:right w:val="single" w:color="auto" w:sz="4" w:space="0"/>
                  </w:tcBorders>
                  <w:vAlign w:val="center"/>
                </w:tcPr>
                <w:p>
                  <w:pPr>
                    <w:jc w:val="center"/>
                    <w:rPr>
                      <w:color w:val="auto"/>
                      <w:highlight w:val="none"/>
                    </w:rPr>
                  </w:pPr>
                  <w:r>
                    <w:rPr>
                      <w:color w:val="auto"/>
                      <w:kern w:val="0"/>
                      <w:szCs w:val="21"/>
                      <w:highlight w:val="none"/>
                    </w:rPr>
                    <w:t>--</w:t>
                  </w:r>
                </w:p>
              </w:tc>
              <w:tc>
                <w:tcPr>
                  <w:tcW w:w="303" w:type="pct"/>
                  <w:tcBorders>
                    <w:top w:val="single" w:color="auto" w:sz="4" w:space="0"/>
                    <w:left w:val="single" w:color="auto" w:sz="4" w:space="0"/>
                    <w:right w:val="single" w:color="auto" w:sz="4" w:space="0"/>
                  </w:tcBorders>
                  <w:vAlign w:val="center"/>
                </w:tcPr>
                <w:p>
                  <w:pPr>
                    <w:jc w:val="center"/>
                    <w:rPr>
                      <w:color w:val="auto"/>
                      <w:highlight w:val="none"/>
                    </w:rPr>
                  </w:pPr>
                  <w:r>
                    <w:rPr>
                      <w:color w:val="auto"/>
                      <w:kern w:val="0"/>
                      <w:szCs w:val="21"/>
                      <w:highlight w:val="none"/>
                    </w:rPr>
                    <w:t>--</w:t>
                  </w:r>
                </w:p>
              </w:tc>
              <w:tc>
                <w:tcPr>
                  <w:tcW w:w="393" w:type="pct"/>
                  <w:tcBorders>
                    <w:top w:val="single" w:color="auto" w:sz="4" w:space="0"/>
                    <w:left w:val="single" w:color="auto" w:sz="4" w:space="0"/>
                    <w:right w:val="single" w:color="auto" w:sz="4" w:space="0"/>
                  </w:tcBorders>
                  <w:vAlign w:val="center"/>
                </w:tcPr>
                <w:p>
                  <w:pPr>
                    <w:jc w:val="center"/>
                    <w:rPr>
                      <w:color w:val="auto"/>
                      <w:highlight w:val="none"/>
                    </w:rPr>
                  </w:pPr>
                  <w:r>
                    <w:rPr>
                      <w:color w:val="auto"/>
                      <w:kern w:val="0"/>
                      <w:szCs w:val="21"/>
                      <w:highlight w:val="none"/>
                    </w:rPr>
                    <w:t>--</w:t>
                  </w:r>
                </w:p>
              </w:tc>
              <w:tc>
                <w:tcPr>
                  <w:tcW w:w="439" w:type="pct"/>
                  <w:tcBorders>
                    <w:top w:val="single" w:color="auto" w:sz="4" w:space="0"/>
                    <w:left w:val="single" w:color="auto" w:sz="4" w:space="0"/>
                    <w:right w:val="single" w:color="auto" w:sz="4" w:space="0"/>
                  </w:tcBorders>
                  <w:vAlign w:val="center"/>
                </w:tcPr>
                <w:p>
                  <w:pPr>
                    <w:jc w:val="center"/>
                    <w:rPr>
                      <w:color w:val="auto"/>
                      <w:highlight w:val="none"/>
                    </w:rPr>
                  </w:pPr>
                  <w:r>
                    <w:rPr>
                      <w:color w:val="auto"/>
                      <w:kern w:val="0"/>
                      <w:szCs w:val="21"/>
                      <w:highlight w:val="none"/>
                    </w:rPr>
                    <w:t>--</w:t>
                  </w:r>
                </w:p>
              </w:tc>
              <w:tc>
                <w:tcPr>
                  <w:tcW w:w="473" w:type="pct"/>
                  <w:tcBorders>
                    <w:top w:val="single" w:color="auto" w:sz="4" w:space="0"/>
                    <w:left w:val="single" w:color="auto" w:sz="4" w:space="0"/>
                    <w:right w:val="single" w:color="auto" w:sz="4" w:space="0"/>
                  </w:tcBorders>
                  <w:vAlign w:val="center"/>
                </w:tcPr>
                <w:p>
                  <w:pPr>
                    <w:jc w:val="center"/>
                    <w:rPr>
                      <w:color w:val="auto"/>
                      <w:kern w:val="0"/>
                      <w:szCs w:val="21"/>
                      <w:highlight w:val="none"/>
                    </w:rPr>
                  </w:pPr>
                  <w:r>
                    <w:rPr>
                      <w:color w:val="auto"/>
                      <w:kern w:val="0"/>
                      <w:szCs w:val="21"/>
                      <w:highlight w:val="none"/>
                    </w:rPr>
                    <w:t>0.</w:t>
                  </w:r>
                  <w:r>
                    <w:rPr>
                      <w:rFonts w:hint="eastAsia"/>
                      <w:color w:val="auto"/>
                      <w:kern w:val="0"/>
                      <w:szCs w:val="21"/>
                      <w:highlight w:val="none"/>
                    </w:rPr>
                    <w:t>604</w:t>
                  </w:r>
                </w:p>
              </w:tc>
              <w:tc>
                <w:tcPr>
                  <w:tcW w:w="710" w:type="pct"/>
                  <w:tcBorders>
                    <w:top w:val="single" w:color="auto" w:sz="4" w:space="0"/>
                    <w:left w:val="single" w:color="auto" w:sz="4" w:space="0"/>
                    <w:right w:val="single" w:color="auto" w:sz="4" w:space="0"/>
                  </w:tcBorders>
                  <w:vAlign w:val="center"/>
                </w:tcPr>
                <w:p>
                  <w:pPr>
                    <w:jc w:val="center"/>
                    <w:rPr>
                      <w:color w:val="auto"/>
                      <w:sz w:val="22"/>
                      <w:szCs w:val="22"/>
                      <w:highlight w:val="none"/>
                    </w:rPr>
                  </w:pPr>
                  <w:r>
                    <w:rPr>
                      <w:color w:val="auto"/>
                      <w:sz w:val="22"/>
                      <w:szCs w:val="22"/>
                      <w:highlight w:val="none"/>
                    </w:rPr>
                    <w:t>0.00</w:t>
                  </w:r>
                  <w:r>
                    <w:rPr>
                      <w:rFonts w:hint="eastAsia"/>
                      <w:color w:val="auto"/>
                      <w:sz w:val="22"/>
                      <w:szCs w:val="22"/>
                      <w:highlight w:val="none"/>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596" w:type="pct"/>
                  <w:vMerge w:val="continue"/>
                  <w:tcBorders>
                    <w:left w:val="single" w:color="auto" w:sz="4" w:space="0"/>
                    <w:bottom w:val="single" w:color="auto" w:sz="4" w:space="0"/>
                    <w:right w:val="single" w:color="auto" w:sz="4" w:space="0"/>
                  </w:tcBorders>
                  <w:vAlign w:val="center"/>
                </w:tcPr>
                <w:p>
                  <w:pPr>
                    <w:jc w:val="center"/>
                    <w:rPr>
                      <w:color w:val="auto"/>
                      <w:szCs w:val="22"/>
                      <w:highlight w:val="none"/>
                    </w:rPr>
                  </w:pPr>
                </w:p>
              </w:tc>
              <w:tc>
                <w:tcPr>
                  <w:tcW w:w="477" w:type="pct"/>
                  <w:tcBorders>
                    <w:top w:val="single" w:color="auto" w:sz="4" w:space="0"/>
                    <w:left w:val="single" w:color="auto" w:sz="4" w:space="0"/>
                    <w:bottom w:val="single" w:color="auto" w:sz="4" w:space="0"/>
                    <w:right w:val="single" w:color="auto" w:sz="4" w:space="0"/>
                  </w:tcBorders>
                  <w:vAlign w:val="center"/>
                </w:tcPr>
                <w:p>
                  <w:pPr>
                    <w:ind w:left="-105" w:leftChars="-50" w:right="-105" w:rightChars="-50"/>
                    <w:jc w:val="center"/>
                    <w:rPr>
                      <w:color w:val="auto"/>
                      <w:kern w:val="0"/>
                      <w:szCs w:val="21"/>
                      <w:highlight w:val="none"/>
                    </w:rPr>
                  </w:pPr>
                  <w:r>
                    <w:rPr>
                      <w:rFonts w:hint="eastAsia"/>
                      <w:color w:val="auto"/>
                      <w:kern w:val="0"/>
                      <w:szCs w:val="21"/>
                      <w:highlight w:val="none"/>
                    </w:rPr>
                    <w:t>全盐量</w:t>
                  </w:r>
                </w:p>
              </w:tc>
              <w:tc>
                <w:tcPr>
                  <w:tcW w:w="504" w:type="pct"/>
                  <w:vMerge w:val="continue"/>
                  <w:tcBorders>
                    <w:left w:val="single" w:color="auto" w:sz="4" w:space="0"/>
                    <w:bottom w:val="single" w:color="auto" w:sz="4" w:space="0"/>
                    <w:right w:val="single" w:color="auto" w:sz="4" w:space="0"/>
                  </w:tcBorders>
                  <w:vAlign w:val="center"/>
                </w:tcPr>
                <w:p>
                  <w:pPr>
                    <w:jc w:val="center"/>
                    <w:rPr>
                      <w:color w:val="auto"/>
                      <w:szCs w:val="22"/>
                      <w:highlight w:val="none"/>
                    </w:rPr>
                  </w:pPr>
                </w:p>
              </w:tc>
              <w:tc>
                <w:tcPr>
                  <w:tcW w:w="467" w:type="pct"/>
                  <w:tcBorders>
                    <w:left w:val="single" w:color="auto" w:sz="4" w:space="0"/>
                    <w:bottom w:val="single" w:color="auto" w:sz="4" w:space="0"/>
                    <w:right w:val="single" w:color="auto" w:sz="4" w:space="0"/>
                  </w:tcBorders>
                  <w:vAlign w:val="center"/>
                </w:tcPr>
                <w:p>
                  <w:pPr>
                    <w:jc w:val="center"/>
                    <w:rPr>
                      <w:color w:val="auto"/>
                      <w:kern w:val="0"/>
                      <w:szCs w:val="21"/>
                      <w:highlight w:val="none"/>
                    </w:rPr>
                  </w:pPr>
                  <w:r>
                    <w:rPr>
                      <w:rFonts w:hint="eastAsia"/>
                      <w:color w:val="auto"/>
                      <w:kern w:val="0"/>
                      <w:szCs w:val="21"/>
                      <w:highlight w:val="none"/>
                    </w:rPr>
                    <w:t>--</w:t>
                  </w:r>
                </w:p>
              </w:tc>
              <w:tc>
                <w:tcPr>
                  <w:tcW w:w="636" w:type="pct"/>
                  <w:tcBorders>
                    <w:left w:val="single" w:color="auto" w:sz="4" w:space="0"/>
                    <w:bottom w:val="single" w:color="auto" w:sz="4" w:space="0"/>
                    <w:right w:val="single" w:color="auto" w:sz="4" w:space="0"/>
                  </w:tcBorders>
                  <w:vAlign w:val="center"/>
                </w:tcPr>
                <w:p>
                  <w:pPr>
                    <w:jc w:val="center"/>
                    <w:rPr>
                      <w:color w:val="auto"/>
                      <w:kern w:val="0"/>
                      <w:szCs w:val="21"/>
                      <w:highlight w:val="none"/>
                    </w:rPr>
                  </w:pPr>
                  <w:r>
                    <w:rPr>
                      <w:rFonts w:hint="eastAsia"/>
                      <w:color w:val="auto"/>
                      <w:kern w:val="0"/>
                      <w:szCs w:val="21"/>
                      <w:highlight w:val="none"/>
                    </w:rPr>
                    <w:t>--</w:t>
                  </w:r>
                </w:p>
              </w:tc>
              <w:tc>
                <w:tcPr>
                  <w:tcW w:w="303" w:type="pct"/>
                  <w:tcBorders>
                    <w:left w:val="single" w:color="auto" w:sz="4" w:space="0"/>
                    <w:bottom w:val="single" w:color="auto" w:sz="4" w:space="0"/>
                    <w:right w:val="single" w:color="auto" w:sz="4" w:space="0"/>
                  </w:tcBorders>
                  <w:vAlign w:val="center"/>
                </w:tcPr>
                <w:p>
                  <w:pPr>
                    <w:jc w:val="center"/>
                    <w:rPr>
                      <w:color w:val="auto"/>
                      <w:kern w:val="0"/>
                      <w:szCs w:val="21"/>
                      <w:highlight w:val="none"/>
                    </w:rPr>
                  </w:pPr>
                  <w:r>
                    <w:rPr>
                      <w:rFonts w:hint="eastAsia"/>
                      <w:color w:val="auto"/>
                      <w:kern w:val="0"/>
                      <w:szCs w:val="21"/>
                      <w:highlight w:val="none"/>
                    </w:rPr>
                    <w:t>--</w:t>
                  </w:r>
                </w:p>
              </w:tc>
              <w:tc>
                <w:tcPr>
                  <w:tcW w:w="393" w:type="pct"/>
                  <w:tcBorders>
                    <w:left w:val="single" w:color="auto" w:sz="4" w:space="0"/>
                    <w:bottom w:val="single" w:color="auto" w:sz="4" w:space="0"/>
                    <w:right w:val="single" w:color="auto" w:sz="4" w:space="0"/>
                  </w:tcBorders>
                  <w:vAlign w:val="center"/>
                </w:tcPr>
                <w:p>
                  <w:pPr>
                    <w:jc w:val="center"/>
                    <w:rPr>
                      <w:color w:val="auto"/>
                      <w:kern w:val="0"/>
                      <w:szCs w:val="21"/>
                      <w:highlight w:val="none"/>
                    </w:rPr>
                  </w:pPr>
                  <w:r>
                    <w:rPr>
                      <w:rFonts w:hint="eastAsia"/>
                      <w:color w:val="auto"/>
                      <w:kern w:val="0"/>
                      <w:szCs w:val="21"/>
                      <w:highlight w:val="none"/>
                    </w:rPr>
                    <w:t>--</w:t>
                  </w:r>
                </w:p>
              </w:tc>
              <w:tc>
                <w:tcPr>
                  <w:tcW w:w="439" w:type="pct"/>
                  <w:tcBorders>
                    <w:left w:val="single" w:color="auto" w:sz="4" w:space="0"/>
                    <w:bottom w:val="single" w:color="auto" w:sz="4" w:space="0"/>
                    <w:right w:val="single" w:color="auto" w:sz="4" w:space="0"/>
                  </w:tcBorders>
                  <w:vAlign w:val="center"/>
                </w:tcPr>
                <w:p>
                  <w:pPr>
                    <w:jc w:val="center"/>
                    <w:rPr>
                      <w:color w:val="auto"/>
                      <w:kern w:val="0"/>
                      <w:szCs w:val="21"/>
                      <w:highlight w:val="none"/>
                    </w:rPr>
                  </w:pPr>
                  <w:r>
                    <w:rPr>
                      <w:rFonts w:hint="eastAsia"/>
                      <w:color w:val="auto"/>
                      <w:kern w:val="0"/>
                      <w:szCs w:val="21"/>
                      <w:highlight w:val="none"/>
                    </w:rPr>
                    <w:t>--</w:t>
                  </w:r>
                </w:p>
              </w:tc>
              <w:tc>
                <w:tcPr>
                  <w:tcW w:w="473" w:type="pct"/>
                  <w:tcBorders>
                    <w:left w:val="single" w:color="auto" w:sz="4" w:space="0"/>
                    <w:bottom w:val="single" w:color="auto" w:sz="4" w:space="0"/>
                    <w:right w:val="single" w:color="auto" w:sz="4" w:space="0"/>
                  </w:tcBorders>
                  <w:vAlign w:val="center"/>
                </w:tcPr>
                <w:p>
                  <w:pPr>
                    <w:jc w:val="center"/>
                    <w:rPr>
                      <w:color w:val="auto"/>
                      <w:kern w:val="0"/>
                      <w:szCs w:val="21"/>
                      <w:highlight w:val="none"/>
                    </w:rPr>
                  </w:pPr>
                  <w:r>
                    <w:rPr>
                      <w:rFonts w:hint="eastAsia"/>
                      <w:color w:val="auto"/>
                      <w:kern w:val="0"/>
                      <w:szCs w:val="21"/>
                      <w:highlight w:val="none"/>
                    </w:rPr>
                    <w:t>181</w:t>
                  </w:r>
                </w:p>
              </w:tc>
              <w:tc>
                <w:tcPr>
                  <w:tcW w:w="710" w:type="pct"/>
                  <w:tcBorders>
                    <w:left w:val="single" w:color="auto" w:sz="4" w:space="0"/>
                    <w:bottom w:val="single" w:color="auto" w:sz="4" w:space="0"/>
                    <w:right w:val="single" w:color="auto" w:sz="4" w:space="0"/>
                  </w:tcBorders>
                  <w:vAlign w:val="center"/>
                </w:tcPr>
                <w:p>
                  <w:pPr>
                    <w:jc w:val="center"/>
                    <w:rPr>
                      <w:color w:val="auto"/>
                      <w:sz w:val="22"/>
                      <w:szCs w:val="22"/>
                      <w:highlight w:val="none"/>
                    </w:rPr>
                  </w:pPr>
                  <w:r>
                    <w:rPr>
                      <w:rFonts w:hint="eastAsia"/>
                      <w:color w:val="auto"/>
                      <w:sz w:val="22"/>
                      <w:szCs w:val="22"/>
                      <w:highlight w:val="none"/>
                    </w:rPr>
                    <w:t>0.600</w:t>
                  </w:r>
                </w:p>
              </w:tc>
            </w:tr>
          </w:tbl>
          <w:p>
            <w:pPr>
              <w:pStyle w:val="121"/>
              <w:spacing w:beforeLines="50"/>
              <w:jc w:val="both"/>
              <w:rPr>
                <w:bCs/>
                <w:color w:val="auto"/>
                <w:highlight w:val="none"/>
              </w:rPr>
            </w:pPr>
            <w:r>
              <w:rPr>
                <w:bCs/>
                <w:color w:val="auto"/>
                <w:highlight w:val="none"/>
              </w:rPr>
              <w:t>注pH无量纲</w:t>
            </w:r>
          </w:p>
          <w:p>
            <w:pPr>
              <w:pStyle w:val="121"/>
              <w:spacing w:beforeLines="50" w:line="360" w:lineRule="auto"/>
              <w:ind w:firstLine="482" w:firstLineChars="200"/>
              <w:jc w:val="both"/>
              <w:rPr>
                <w:b/>
                <w:color w:val="auto"/>
                <w:sz w:val="24"/>
                <w:szCs w:val="24"/>
                <w:highlight w:val="none"/>
              </w:rPr>
            </w:pPr>
            <w:r>
              <w:rPr>
                <w:b/>
                <w:color w:val="auto"/>
                <w:sz w:val="24"/>
                <w:szCs w:val="24"/>
                <w:highlight w:val="none"/>
              </w:rPr>
              <w:t>（2）依托现有项目酸碱处理设施处理可行性分析</w:t>
            </w:r>
          </w:p>
          <w:p>
            <w:pPr>
              <w:pStyle w:val="6"/>
              <w:ind w:firstLine="480" w:firstLineChars="200"/>
              <w:rPr>
                <w:rFonts w:ascii="Times New Roman" w:hAnsi="Times New Roman"/>
                <w:color w:val="auto"/>
                <w:sz w:val="24"/>
                <w:szCs w:val="24"/>
                <w:highlight w:val="none"/>
              </w:rPr>
            </w:pPr>
            <w:r>
              <w:rPr>
                <w:rFonts w:ascii="Times New Roman" w:hAnsi="Times New Roman"/>
                <w:color w:val="auto"/>
                <w:sz w:val="24"/>
                <w:szCs w:val="24"/>
                <w:highlight w:val="none"/>
              </w:rPr>
              <w:t>现有项目酸碱废水处理系统采用10%氢氧化钠溶液进行中和酸性废水，在中和桶内设置pH监测探头（监测探头设定阈值为6＜pH＜9），根据桶内废水的pH浓度自动添加氢氧化钠溶液来进行调节。</w:t>
            </w:r>
          </w:p>
          <w:p>
            <w:pPr>
              <w:pStyle w:val="121"/>
              <w:spacing w:line="360" w:lineRule="auto"/>
              <w:ind w:firstLine="360" w:firstLineChars="150"/>
              <w:jc w:val="both"/>
              <w:rPr>
                <w:b/>
                <w:color w:val="auto"/>
                <w:sz w:val="24"/>
                <w:szCs w:val="24"/>
                <w:highlight w:val="none"/>
              </w:rPr>
            </w:pPr>
            <w:r>
              <w:rPr>
                <w:bCs/>
                <w:color w:val="auto"/>
                <w:sz w:val="24"/>
                <w:szCs w:val="24"/>
                <w:highlight w:val="none"/>
              </w:rPr>
              <w:t>现有项目和本项目水质相同，现有项目酸碱废水1504.2t/a（5t/d），本项目酸碱废水361.2t/a(1.2t/d)，现有项目酸碱废水处理装置处理规模9t/d，从水量和水质均满足本项目酸碱废水处理需要</w:t>
            </w:r>
            <w:r>
              <w:rPr>
                <w:rStyle w:val="43"/>
                <w:rFonts w:hint="eastAsia"/>
                <w:color w:val="auto"/>
                <w:kern w:val="0"/>
                <w:szCs w:val="20"/>
                <w:highlight w:val="none"/>
              </w:rPr>
              <w:t>。</w:t>
            </w:r>
          </w:p>
          <w:p>
            <w:pPr>
              <w:pStyle w:val="121"/>
              <w:spacing w:line="360" w:lineRule="auto"/>
              <w:ind w:firstLine="482" w:firstLineChars="200"/>
              <w:jc w:val="both"/>
              <w:rPr>
                <w:b/>
                <w:color w:val="auto"/>
                <w:sz w:val="24"/>
                <w:szCs w:val="24"/>
                <w:highlight w:val="none"/>
              </w:rPr>
            </w:pPr>
            <w:r>
              <w:rPr>
                <w:b/>
                <w:color w:val="auto"/>
                <w:sz w:val="24"/>
                <w:szCs w:val="24"/>
                <w:highlight w:val="none"/>
              </w:rPr>
              <w:t>（3）接管可行性分析</w:t>
            </w:r>
          </w:p>
          <w:p>
            <w:pPr>
              <w:widowControl/>
              <w:spacing w:line="360" w:lineRule="auto"/>
              <w:ind w:firstLine="480" w:firstLineChars="200"/>
              <w:rPr>
                <w:color w:val="auto"/>
                <w:kern w:val="0"/>
                <w:sz w:val="24"/>
                <w:highlight w:val="none"/>
              </w:rPr>
            </w:pPr>
            <w:r>
              <w:rPr>
                <w:color w:val="auto"/>
                <w:kern w:val="0"/>
                <w:sz w:val="24"/>
                <w:highlight w:val="none"/>
              </w:rPr>
              <w:t>酸碱洗废水</w:t>
            </w:r>
            <w:r>
              <w:rPr>
                <w:color w:val="auto"/>
                <w:sz w:val="24"/>
                <w:highlight w:val="none"/>
              </w:rPr>
              <w:t>361.2</w:t>
            </w:r>
            <w:r>
              <w:rPr>
                <w:color w:val="auto"/>
                <w:kern w:val="0"/>
                <w:sz w:val="24"/>
                <w:highlight w:val="none"/>
              </w:rPr>
              <w:t>t/a、废气处理喷淋水30t/a经酸碱处理设施处理后和零单件冲洗水1840t/a、循环水排放水78t/a及纯水制备浓水1000t/a能够达到</w:t>
            </w:r>
            <w:r>
              <w:rPr>
                <w:color w:val="auto"/>
                <w:sz w:val="24"/>
                <w:highlight w:val="none"/>
              </w:rPr>
              <w:t>江宁经济技术</w:t>
            </w:r>
            <w:r>
              <w:rPr>
                <w:color w:val="auto"/>
                <w:kern w:val="0"/>
                <w:sz w:val="24"/>
                <w:highlight w:val="none"/>
              </w:rPr>
              <w:t>开发区污水处理厂接管标准。且建设项目所在地配套污水管网已竣工，接管可行。</w:t>
            </w:r>
          </w:p>
          <w:p>
            <w:pPr>
              <w:adjustRightInd w:val="0"/>
              <w:snapToGrid w:val="0"/>
              <w:spacing w:line="360" w:lineRule="auto"/>
              <w:ind w:firstLine="480" w:firstLineChars="200"/>
              <w:rPr>
                <w:color w:val="auto"/>
                <w:sz w:val="24"/>
                <w:szCs w:val="22"/>
                <w:highlight w:val="none"/>
              </w:rPr>
            </w:pPr>
            <w:r>
              <w:rPr>
                <w:color w:val="auto"/>
                <w:sz w:val="24"/>
                <w:highlight w:val="none"/>
              </w:rPr>
              <w:t>江宁经济技术</w:t>
            </w:r>
            <w:r>
              <w:rPr>
                <w:color w:val="auto"/>
                <w:sz w:val="24"/>
                <w:szCs w:val="22"/>
                <w:highlight w:val="none"/>
              </w:rPr>
              <w:t>开发区污水处理厂设计总规模为5万吨/天，</w:t>
            </w:r>
            <w:r>
              <w:rPr>
                <w:color w:val="auto"/>
                <w:sz w:val="24"/>
                <w:highlight w:val="none"/>
                <w:shd w:val="clear" w:color="auto" w:fill="FFFFFF"/>
              </w:rPr>
              <w:t>采用反硝化深床滤池+紫外消毒深度处理工艺</w:t>
            </w:r>
            <w:r>
              <w:rPr>
                <w:color w:val="auto"/>
                <w:sz w:val="24"/>
                <w:highlight w:val="none"/>
              </w:rPr>
              <w:t>。</w:t>
            </w:r>
            <w:r>
              <w:rPr>
                <w:color w:val="auto"/>
                <w:sz w:val="24"/>
                <w:szCs w:val="22"/>
                <w:highlight w:val="none"/>
              </w:rPr>
              <w:t>目前</w:t>
            </w:r>
            <w:r>
              <w:rPr>
                <w:color w:val="auto"/>
                <w:sz w:val="24"/>
                <w:highlight w:val="none"/>
              </w:rPr>
              <w:t>江宁经济技术</w:t>
            </w:r>
            <w:r>
              <w:rPr>
                <w:color w:val="auto"/>
                <w:sz w:val="24"/>
                <w:szCs w:val="22"/>
                <w:highlight w:val="none"/>
              </w:rPr>
              <w:t>开发区污水处理厂实际废水接管量约2.5万吨/天，尚有处理余量。根据工程分析，本项目最终废水排放量约</w:t>
            </w:r>
            <w:r>
              <w:rPr>
                <w:color w:val="auto"/>
                <w:sz w:val="24"/>
                <w:highlight w:val="none"/>
              </w:rPr>
              <w:t>为</w:t>
            </w:r>
            <w:r>
              <w:rPr>
                <w:color w:val="auto"/>
                <w:kern w:val="0"/>
                <w:sz w:val="24"/>
                <w:highlight w:val="none"/>
              </w:rPr>
              <w:t>3309.2</w:t>
            </w:r>
            <w:r>
              <w:rPr>
                <w:color w:val="auto"/>
                <w:sz w:val="24"/>
                <w:highlight w:val="none"/>
              </w:rPr>
              <w:t>t/a</w:t>
            </w:r>
            <w:r>
              <w:rPr>
                <w:color w:val="auto"/>
                <w:sz w:val="24"/>
                <w:szCs w:val="22"/>
                <w:highlight w:val="none"/>
              </w:rPr>
              <w:t>（11t/d），</w:t>
            </w:r>
            <w:r>
              <w:rPr>
                <w:color w:val="auto"/>
                <w:sz w:val="24"/>
                <w:highlight w:val="none"/>
              </w:rPr>
              <w:t>江宁经济技术</w:t>
            </w:r>
            <w:r>
              <w:rPr>
                <w:color w:val="auto"/>
                <w:sz w:val="24"/>
                <w:szCs w:val="22"/>
                <w:highlight w:val="none"/>
              </w:rPr>
              <w:t>开发区污水处理厂有足够的容量容纳项目废水。</w:t>
            </w:r>
          </w:p>
          <w:p>
            <w:pPr>
              <w:adjustRightInd w:val="0"/>
              <w:snapToGrid w:val="0"/>
              <w:spacing w:line="360" w:lineRule="auto"/>
              <w:ind w:firstLine="480" w:firstLineChars="200"/>
              <w:rPr>
                <w:color w:val="auto"/>
                <w:sz w:val="24"/>
                <w:szCs w:val="22"/>
                <w:highlight w:val="none"/>
              </w:rPr>
            </w:pPr>
            <w:r>
              <w:rPr>
                <w:color w:val="auto"/>
                <w:sz w:val="24"/>
                <w:szCs w:val="22"/>
                <w:highlight w:val="none"/>
              </w:rPr>
              <w:t>本项目所在地属于</w:t>
            </w:r>
            <w:r>
              <w:rPr>
                <w:color w:val="auto"/>
                <w:sz w:val="24"/>
                <w:highlight w:val="none"/>
              </w:rPr>
              <w:t>江宁经济技术</w:t>
            </w:r>
            <w:r>
              <w:rPr>
                <w:color w:val="auto"/>
                <w:sz w:val="24"/>
                <w:szCs w:val="22"/>
                <w:highlight w:val="none"/>
              </w:rPr>
              <w:t>开发区污水处理厂的纳污范围内，本项目废水达到达纳管标准后可接入污水管网，接</w:t>
            </w:r>
            <w:r>
              <w:rPr>
                <w:color w:val="auto"/>
                <w:sz w:val="24"/>
                <w:highlight w:val="none"/>
              </w:rPr>
              <w:t>江宁经济技术</w:t>
            </w:r>
            <w:r>
              <w:rPr>
                <w:color w:val="auto"/>
                <w:sz w:val="24"/>
                <w:szCs w:val="22"/>
                <w:highlight w:val="none"/>
              </w:rPr>
              <w:t>开发区污水处理厂处理达标后排放。</w:t>
            </w:r>
            <w:r>
              <w:rPr>
                <w:color w:val="auto"/>
                <w:sz w:val="24"/>
                <w:highlight w:val="none"/>
              </w:rPr>
              <w:t>江宁经济技术</w:t>
            </w:r>
            <w:r>
              <w:rPr>
                <w:color w:val="auto"/>
                <w:sz w:val="24"/>
                <w:szCs w:val="22"/>
                <w:highlight w:val="none"/>
              </w:rPr>
              <w:t>开发区污水处理厂稳定运行多年，纳入集中污水处理厂在水量、水质及时间和空间的衔接上是可行的。</w:t>
            </w:r>
          </w:p>
          <w:p>
            <w:pPr>
              <w:adjustRightInd w:val="0"/>
              <w:snapToGrid w:val="0"/>
              <w:spacing w:line="360" w:lineRule="auto"/>
              <w:ind w:firstLine="480" w:firstLineChars="200"/>
              <w:rPr>
                <w:color w:val="auto"/>
                <w:sz w:val="24"/>
                <w:szCs w:val="22"/>
                <w:highlight w:val="none"/>
              </w:rPr>
            </w:pPr>
            <w:r>
              <w:rPr>
                <w:color w:val="auto"/>
                <w:sz w:val="24"/>
                <w:szCs w:val="22"/>
                <w:highlight w:val="none"/>
              </w:rPr>
              <w:t>综上，本项目</w:t>
            </w:r>
            <w:r>
              <w:rPr>
                <w:rFonts w:hint="eastAsia"/>
                <w:color w:val="auto"/>
                <w:sz w:val="24"/>
                <w:szCs w:val="22"/>
                <w:highlight w:val="none"/>
              </w:rPr>
              <w:t>产生废水</w:t>
            </w:r>
            <w:r>
              <w:rPr>
                <w:color w:val="auto"/>
                <w:sz w:val="24"/>
                <w:szCs w:val="22"/>
                <w:highlight w:val="none"/>
              </w:rPr>
              <w:t>纳入</w:t>
            </w:r>
            <w:r>
              <w:rPr>
                <w:color w:val="auto"/>
                <w:sz w:val="24"/>
                <w:highlight w:val="none"/>
              </w:rPr>
              <w:t>江宁经济技术</w:t>
            </w:r>
            <w:r>
              <w:rPr>
                <w:color w:val="auto"/>
                <w:sz w:val="24"/>
                <w:szCs w:val="22"/>
                <w:highlight w:val="none"/>
              </w:rPr>
              <w:t>开发区污水处理厂处理可行，不会对</w:t>
            </w:r>
            <w:r>
              <w:rPr>
                <w:color w:val="auto"/>
                <w:sz w:val="24"/>
                <w:highlight w:val="none"/>
              </w:rPr>
              <w:t>江宁经济技术</w:t>
            </w:r>
            <w:r>
              <w:rPr>
                <w:color w:val="auto"/>
                <w:sz w:val="24"/>
                <w:szCs w:val="22"/>
                <w:highlight w:val="none"/>
              </w:rPr>
              <w:t>开发区污水处理厂的处理效果造成影响。</w:t>
            </w:r>
          </w:p>
          <w:p>
            <w:pPr>
              <w:pStyle w:val="121"/>
              <w:spacing w:line="360" w:lineRule="auto"/>
              <w:ind w:firstLine="482" w:firstLineChars="200"/>
              <w:jc w:val="both"/>
              <w:rPr>
                <w:b/>
                <w:color w:val="auto"/>
                <w:sz w:val="24"/>
                <w:szCs w:val="24"/>
                <w:highlight w:val="none"/>
              </w:rPr>
            </w:pPr>
            <w:r>
              <w:rPr>
                <w:b/>
                <w:color w:val="auto"/>
                <w:sz w:val="24"/>
                <w:szCs w:val="24"/>
                <w:highlight w:val="none"/>
              </w:rPr>
              <w:t>（5）项目</w:t>
            </w:r>
            <w:r>
              <w:rPr>
                <w:rFonts w:hint="eastAsia"/>
                <w:b/>
                <w:color w:val="auto"/>
                <w:sz w:val="24"/>
                <w:szCs w:val="24"/>
                <w:highlight w:val="none"/>
              </w:rPr>
              <w:t>废水</w:t>
            </w:r>
            <w:r>
              <w:rPr>
                <w:b/>
                <w:color w:val="auto"/>
                <w:sz w:val="24"/>
                <w:szCs w:val="24"/>
                <w:highlight w:val="none"/>
              </w:rPr>
              <w:t>对地表水环境影响分析</w:t>
            </w:r>
          </w:p>
          <w:p>
            <w:pPr>
              <w:adjustRightInd w:val="0"/>
              <w:snapToGrid w:val="0"/>
              <w:spacing w:line="360" w:lineRule="auto"/>
              <w:ind w:firstLine="480" w:firstLineChars="200"/>
              <w:rPr>
                <w:color w:val="auto"/>
                <w:sz w:val="24"/>
                <w:szCs w:val="22"/>
                <w:highlight w:val="none"/>
              </w:rPr>
            </w:pPr>
            <w:r>
              <w:rPr>
                <w:color w:val="auto"/>
                <w:sz w:val="24"/>
                <w:szCs w:val="22"/>
                <w:highlight w:val="none"/>
              </w:rPr>
              <w:t>本项目</w:t>
            </w:r>
            <w:r>
              <w:rPr>
                <w:rFonts w:hint="eastAsia"/>
                <w:color w:val="auto"/>
                <w:sz w:val="24"/>
                <w:szCs w:val="22"/>
                <w:highlight w:val="none"/>
              </w:rPr>
              <w:t>废水</w:t>
            </w:r>
            <w:r>
              <w:rPr>
                <w:color w:val="auto"/>
                <w:sz w:val="24"/>
                <w:szCs w:val="22"/>
                <w:highlight w:val="none"/>
              </w:rPr>
              <w:t>经处理后</w:t>
            </w:r>
            <w:r>
              <w:rPr>
                <w:rFonts w:hint="eastAsia"/>
                <w:color w:val="auto"/>
                <w:sz w:val="24"/>
                <w:szCs w:val="22"/>
                <w:highlight w:val="none"/>
              </w:rPr>
              <w:t>达到接管标准，排入</w:t>
            </w:r>
            <w:r>
              <w:rPr>
                <w:color w:val="auto"/>
                <w:sz w:val="24"/>
                <w:highlight w:val="none"/>
              </w:rPr>
              <w:t>江宁经济技术</w:t>
            </w:r>
            <w:r>
              <w:rPr>
                <w:rFonts w:hint="eastAsia"/>
                <w:color w:val="auto"/>
                <w:sz w:val="24"/>
                <w:szCs w:val="22"/>
                <w:highlight w:val="none"/>
              </w:rPr>
              <w:t>开发区</w:t>
            </w:r>
            <w:r>
              <w:rPr>
                <w:color w:val="auto"/>
                <w:sz w:val="24"/>
                <w:szCs w:val="22"/>
                <w:highlight w:val="none"/>
              </w:rPr>
              <w:t>污水处理厂集中处理达标后排至</w:t>
            </w:r>
            <w:r>
              <w:rPr>
                <w:rFonts w:hint="eastAsia"/>
                <w:color w:val="auto"/>
                <w:sz w:val="24"/>
                <w:szCs w:val="22"/>
                <w:highlight w:val="none"/>
              </w:rPr>
              <w:t>秦淮新河</w:t>
            </w:r>
            <w:r>
              <w:rPr>
                <w:color w:val="auto"/>
                <w:sz w:val="24"/>
                <w:szCs w:val="22"/>
                <w:highlight w:val="none"/>
              </w:rPr>
              <w:t>，不直接排入附近地表水体。因此，本项目废水基本上不会对附近地表水体造成影响。</w:t>
            </w:r>
          </w:p>
          <w:p>
            <w:pPr>
              <w:adjustRightInd w:val="0"/>
              <w:snapToGrid w:val="0"/>
              <w:spacing w:line="360" w:lineRule="auto"/>
              <w:ind w:firstLine="480" w:firstLineChars="200"/>
              <w:rPr>
                <w:color w:val="auto"/>
                <w:sz w:val="24"/>
                <w:szCs w:val="22"/>
                <w:highlight w:val="none"/>
              </w:rPr>
            </w:pPr>
            <w:r>
              <w:rPr>
                <w:color w:val="auto"/>
                <w:sz w:val="24"/>
                <w:szCs w:val="22"/>
                <w:highlight w:val="none"/>
              </w:rPr>
              <w:t>本项目在已建成厂房内建设，不新增初期雨水。</w:t>
            </w:r>
          </w:p>
          <w:p>
            <w:pPr>
              <w:widowControl/>
              <w:spacing w:line="360" w:lineRule="auto"/>
              <w:ind w:firstLine="482" w:firstLineChars="200"/>
              <w:rPr>
                <w:b/>
                <w:color w:val="auto"/>
                <w:kern w:val="0"/>
                <w:sz w:val="24"/>
                <w:highlight w:val="none"/>
              </w:rPr>
            </w:pPr>
            <w:r>
              <w:rPr>
                <w:b/>
                <w:color w:val="auto"/>
                <w:kern w:val="0"/>
                <w:sz w:val="24"/>
                <w:highlight w:val="none"/>
              </w:rPr>
              <w:t>（6）污水接管口信息</w:t>
            </w:r>
          </w:p>
          <w:p>
            <w:pPr>
              <w:widowControl/>
              <w:spacing w:line="360" w:lineRule="auto"/>
              <w:ind w:firstLine="480" w:firstLineChars="200"/>
              <w:rPr>
                <w:color w:val="auto"/>
                <w:kern w:val="0"/>
                <w:sz w:val="24"/>
                <w:highlight w:val="none"/>
              </w:rPr>
            </w:pPr>
            <w:r>
              <w:rPr>
                <w:color w:val="auto"/>
                <w:kern w:val="0"/>
                <w:sz w:val="24"/>
                <w:highlight w:val="none"/>
              </w:rPr>
              <w:t>污水接管口根据江苏省环保厅《江苏省排污口设置及规范化整治管理办法》进行规范化设置。主要信息见表4-1</w:t>
            </w:r>
            <w:r>
              <w:rPr>
                <w:rFonts w:hint="eastAsia"/>
                <w:color w:val="auto"/>
                <w:kern w:val="0"/>
                <w:sz w:val="24"/>
                <w:highlight w:val="none"/>
              </w:rPr>
              <w:t>4</w:t>
            </w:r>
            <w:r>
              <w:rPr>
                <w:color w:val="auto"/>
                <w:kern w:val="0"/>
                <w:sz w:val="24"/>
                <w:highlight w:val="none"/>
              </w:rPr>
              <w:t>、4-1</w:t>
            </w:r>
            <w:r>
              <w:rPr>
                <w:rFonts w:hint="eastAsia"/>
                <w:color w:val="auto"/>
                <w:kern w:val="0"/>
                <w:sz w:val="24"/>
                <w:highlight w:val="none"/>
              </w:rPr>
              <w:t>5</w:t>
            </w:r>
            <w:r>
              <w:rPr>
                <w:color w:val="auto"/>
                <w:kern w:val="0"/>
                <w:sz w:val="24"/>
                <w:highlight w:val="none"/>
              </w:rPr>
              <w:t>、4-1</w:t>
            </w:r>
            <w:r>
              <w:rPr>
                <w:rFonts w:hint="eastAsia"/>
                <w:color w:val="auto"/>
                <w:kern w:val="0"/>
                <w:sz w:val="24"/>
                <w:highlight w:val="none"/>
              </w:rPr>
              <w:t>6</w:t>
            </w:r>
            <w:r>
              <w:rPr>
                <w:color w:val="auto"/>
                <w:kern w:val="0"/>
                <w:sz w:val="24"/>
                <w:highlight w:val="none"/>
              </w:rPr>
              <w:t>。</w:t>
            </w:r>
          </w:p>
          <w:p>
            <w:pPr>
              <w:widowControl/>
              <w:spacing w:line="360" w:lineRule="auto"/>
              <w:jc w:val="center"/>
              <w:rPr>
                <w:b/>
                <w:color w:val="auto"/>
                <w:kern w:val="0"/>
                <w:sz w:val="24"/>
                <w:highlight w:val="none"/>
              </w:rPr>
            </w:pPr>
            <w:r>
              <w:rPr>
                <w:b/>
                <w:color w:val="auto"/>
                <w:kern w:val="0"/>
                <w:sz w:val="24"/>
                <w:highlight w:val="none"/>
              </w:rPr>
              <w:t>表4-1</w:t>
            </w:r>
            <w:r>
              <w:rPr>
                <w:rFonts w:hint="eastAsia"/>
                <w:b/>
                <w:color w:val="auto"/>
                <w:kern w:val="0"/>
                <w:sz w:val="24"/>
                <w:highlight w:val="none"/>
              </w:rPr>
              <w:t>4</w:t>
            </w:r>
            <w:r>
              <w:rPr>
                <w:b/>
                <w:color w:val="auto"/>
                <w:kern w:val="0"/>
                <w:sz w:val="24"/>
                <w:highlight w:val="none"/>
              </w:rPr>
              <w:t xml:space="preserve">  废水类别、污染物及污染治理设施信息表</w:t>
            </w:r>
          </w:p>
          <w:tbl>
            <w:tblPr>
              <w:tblStyle w:val="3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7"/>
              <w:gridCol w:w="1143"/>
              <w:gridCol w:w="1616"/>
              <w:gridCol w:w="682"/>
              <w:gridCol w:w="682"/>
              <w:gridCol w:w="466"/>
              <w:gridCol w:w="725"/>
              <w:gridCol w:w="706"/>
              <w:gridCol w:w="578"/>
              <w:gridCol w:w="960"/>
              <w:gridCol w:w="6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51" w:type="pct"/>
                  <w:vMerge w:val="restart"/>
                  <w:vAlign w:val="center"/>
                </w:tcPr>
                <w:p>
                  <w:pPr>
                    <w:widowControl/>
                    <w:jc w:val="center"/>
                    <w:rPr>
                      <w:color w:val="auto"/>
                      <w:kern w:val="0"/>
                      <w:szCs w:val="21"/>
                      <w:highlight w:val="none"/>
                    </w:rPr>
                  </w:pPr>
                  <w:r>
                    <w:rPr>
                      <w:color w:val="auto"/>
                      <w:kern w:val="0"/>
                      <w:szCs w:val="21"/>
                      <w:highlight w:val="none"/>
                    </w:rPr>
                    <w:t>序号</w:t>
                  </w:r>
                </w:p>
              </w:tc>
              <w:tc>
                <w:tcPr>
                  <w:tcW w:w="657" w:type="pct"/>
                  <w:vMerge w:val="restart"/>
                  <w:vAlign w:val="center"/>
                </w:tcPr>
                <w:p>
                  <w:pPr>
                    <w:widowControl/>
                    <w:jc w:val="center"/>
                    <w:rPr>
                      <w:color w:val="auto"/>
                      <w:kern w:val="0"/>
                      <w:szCs w:val="21"/>
                      <w:highlight w:val="none"/>
                    </w:rPr>
                  </w:pPr>
                  <w:r>
                    <w:rPr>
                      <w:color w:val="auto"/>
                      <w:kern w:val="0"/>
                      <w:szCs w:val="21"/>
                      <w:highlight w:val="none"/>
                    </w:rPr>
                    <w:t>废水类别</w:t>
                  </w:r>
                </w:p>
              </w:tc>
              <w:tc>
                <w:tcPr>
                  <w:tcW w:w="929" w:type="pct"/>
                  <w:vMerge w:val="restart"/>
                  <w:vAlign w:val="center"/>
                </w:tcPr>
                <w:p>
                  <w:pPr>
                    <w:widowControl/>
                    <w:jc w:val="center"/>
                    <w:rPr>
                      <w:color w:val="auto"/>
                      <w:kern w:val="0"/>
                      <w:szCs w:val="21"/>
                      <w:highlight w:val="none"/>
                    </w:rPr>
                  </w:pPr>
                  <w:r>
                    <w:rPr>
                      <w:color w:val="auto"/>
                      <w:kern w:val="0"/>
                      <w:szCs w:val="21"/>
                      <w:highlight w:val="none"/>
                    </w:rPr>
                    <w:t>污染物种类</w:t>
                  </w:r>
                </w:p>
              </w:tc>
              <w:tc>
                <w:tcPr>
                  <w:tcW w:w="392" w:type="pct"/>
                  <w:vMerge w:val="restart"/>
                  <w:vAlign w:val="center"/>
                </w:tcPr>
                <w:p>
                  <w:pPr>
                    <w:widowControl/>
                    <w:jc w:val="center"/>
                    <w:rPr>
                      <w:color w:val="auto"/>
                      <w:kern w:val="0"/>
                      <w:szCs w:val="21"/>
                      <w:highlight w:val="none"/>
                    </w:rPr>
                  </w:pPr>
                  <w:r>
                    <w:rPr>
                      <w:color w:val="auto"/>
                      <w:kern w:val="0"/>
                      <w:szCs w:val="21"/>
                      <w:highlight w:val="none"/>
                    </w:rPr>
                    <w:t>排放去向</w:t>
                  </w:r>
                </w:p>
              </w:tc>
              <w:tc>
                <w:tcPr>
                  <w:tcW w:w="392" w:type="pct"/>
                  <w:vMerge w:val="restart"/>
                  <w:vAlign w:val="center"/>
                </w:tcPr>
                <w:p>
                  <w:pPr>
                    <w:widowControl/>
                    <w:jc w:val="center"/>
                    <w:rPr>
                      <w:color w:val="auto"/>
                      <w:kern w:val="0"/>
                      <w:szCs w:val="21"/>
                      <w:highlight w:val="none"/>
                    </w:rPr>
                  </w:pPr>
                  <w:r>
                    <w:rPr>
                      <w:color w:val="auto"/>
                      <w:kern w:val="0"/>
                      <w:szCs w:val="21"/>
                      <w:highlight w:val="none"/>
                    </w:rPr>
                    <w:t>排放规律</w:t>
                  </w:r>
                </w:p>
              </w:tc>
              <w:tc>
                <w:tcPr>
                  <w:tcW w:w="1091" w:type="pct"/>
                  <w:gridSpan w:val="3"/>
                  <w:vAlign w:val="center"/>
                </w:tcPr>
                <w:p>
                  <w:pPr>
                    <w:widowControl/>
                    <w:jc w:val="center"/>
                    <w:rPr>
                      <w:color w:val="auto"/>
                      <w:kern w:val="0"/>
                      <w:szCs w:val="21"/>
                      <w:highlight w:val="none"/>
                    </w:rPr>
                  </w:pPr>
                  <w:r>
                    <w:rPr>
                      <w:color w:val="auto"/>
                      <w:kern w:val="0"/>
                      <w:szCs w:val="21"/>
                      <w:highlight w:val="none"/>
                    </w:rPr>
                    <w:t>污染治理设施</w:t>
                  </w:r>
                </w:p>
              </w:tc>
              <w:tc>
                <w:tcPr>
                  <w:tcW w:w="332" w:type="pct"/>
                  <w:vMerge w:val="restart"/>
                  <w:vAlign w:val="center"/>
                </w:tcPr>
                <w:p>
                  <w:pPr>
                    <w:widowControl/>
                    <w:jc w:val="center"/>
                    <w:rPr>
                      <w:color w:val="auto"/>
                      <w:kern w:val="0"/>
                      <w:szCs w:val="21"/>
                      <w:highlight w:val="none"/>
                    </w:rPr>
                  </w:pPr>
                  <w:r>
                    <w:rPr>
                      <w:color w:val="auto"/>
                      <w:kern w:val="0"/>
                      <w:szCs w:val="21"/>
                      <w:highlight w:val="none"/>
                    </w:rPr>
                    <w:t>排放口编号</w:t>
                  </w:r>
                </w:p>
              </w:tc>
              <w:tc>
                <w:tcPr>
                  <w:tcW w:w="552" w:type="pct"/>
                  <w:vMerge w:val="restart"/>
                  <w:vAlign w:val="center"/>
                </w:tcPr>
                <w:p>
                  <w:pPr>
                    <w:widowControl/>
                    <w:jc w:val="center"/>
                    <w:rPr>
                      <w:color w:val="auto"/>
                      <w:kern w:val="0"/>
                      <w:szCs w:val="21"/>
                      <w:highlight w:val="none"/>
                    </w:rPr>
                  </w:pPr>
                  <w:r>
                    <w:rPr>
                      <w:color w:val="auto"/>
                      <w:kern w:val="0"/>
                      <w:szCs w:val="21"/>
                      <w:highlight w:val="none"/>
                    </w:rPr>
                    <w:t>排放口</w:t>
                  </w:r>
                </w:p>
                <w:p>
                  <w:pPr>
                    <w:widowControl/>
                    <w:jc w:val="center"/>
                    <w:rPr>
                      <w:color w:val="auto"/>
                      <w:kern w:val="0"/>
                      <w:szCs w:val="21"/>
                      <w:highlight w:val="none"/>
                    </w:rPr>
                  </w:pPr>
                  <w:r>
                    <w:rPr>
                      <w:color w:val="auto"/>
                      <w:kern w:val="0"/>
                      <w:szCs w:val="21"/>
                      <w:highlight w:val="none"/>
                    </w:rPr>
                    <w:t>设置是</w:t>
                  </w:r>
                </w:p>
                <w:p>
                  <w:pPr>
                    <w:widowControl/>
                    <w:jc w:val="center"/>
                    <w:rPr>
                      <w:color w:val="auto"/>
                      <w:kern w:val="0"/>
                      <w:szCs w:val="21"/>
                      <w:highlight w:val="none"/>
                    </w:rPr>
                  </w:pPr>
                  <w:r>
                    <w:rPr>
                      <w:color w:val="auto"/>
                      <w:kern w:val="0"/>
                      <w:szCs w:val="21"/>
                      <w:highlight w:val="none"/>
                    </w:rPr>
                    <w:t>否符合</w:t>
                  </w:r>
                </w:p>
                <w:p>
                  <w:pPr>
                    <w:widowControl/>
                    <w:jc w:val="center"/>
                    <w:rPr>
                      <w:color w:val="auto"/>
                      <w:kern w:val="0"/>
                      <w:szCs w:val="21"/>
                      <w:highlight w:val="none"/>
                    </w:rPr>
                  </w:pPr>
                  <w:r>
                    <w:rPr>
                      <w:color w:val="auto"/>
                      <w:kern w:val="0"/>
                      <w:szCs w:val="21"/>
                      <w:highlight w:val="none"/>
                    </w:rPr>
                    <w:t>要求</w:t>
                  </w:r>
                </w:p>
              </w:tc>
              <w:tc>
                <w:tcPr>
                  <w:tcW w:w="399" w:type="pct"/>
                  <w:vMerge w:val="restart"/>
                  <w:vAlign w:val="center"/>
                </w:tcPr>
                <w:p>
                  <w:pPr>
                    <w:widowControl/>
                    <w:jc w:val="center"/>
                    <w:rPr>
                      <w:color w:val="auto"/>
                      <w:kern w:val="0"/>
                      <w:szCs w:val="21"/>
                      <w:highlight w:val="none"/>
                    </w:rPr>
                  </w:pPr>
                  <w:r>
                    <w:rPr>
                      <w:color w:val="auto"/>
                      <w:kern w:val="0"/>
                      <w:szCs w:val="21"/>
                      <w:highlight w:val="none"/>
                    </w:rPr>
                    <w:t>排放口类型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51" w:type="pct"/>
                  <w:vMerge w:val="continue"/>
                  <w:vAlign w:val="center"/>
                </w:tcPr>
                <w:p>
                  <w:pPr>
                    <w:widowControl/>
                    <w:jc w:val="center"/>
                    <w:rPr>
                      <w:color w:val="auto"/>
                      <w:kern w:val="0"/>
                      <w:szCs w:val="21"/>
                      <w:highlight w:val="none"/>
                    </w:rPr>
                  </w:pPr>
                </w:p>
              </w:tc>
              <w:tc>
                <w:tcPr>
                  <w:tcW w:w="657" w:type="pct"/>
                  <w:vMerge w:val="continue"/>
                  <w:vAlign w:val="center"/>
                </w:tcPr>
                <w:p>
                  <w:pPr>
                    <w:widowControl/>
                    <w:jc w:val="center"/>
                    <w:rPr>
                      <w:color w:val="auto"/>
                      <w:kern w:val="0"/>
                      <w:szCs w:val="21"/>
                      <w:highlight w:val="none"/>
                    </w:rPr>
                  </w:pPr>
                </w:p>
              </w:tc>
              <w:tc>
                <w:tcPr>
                  <w:tcW w:w="929" w:type="pct"/>
                  <w:vMerge w:val="continue"/>
                  <w:vAlign w:val="center"/>
                </w:tcPr>
                <w:p>
                  <w:pPr>
                    <w:widowControl/>
                    <w:jc w:val="center"/>
                    <w:rPr>
                      <w:color w:val="auto"/>
                      <w:kern w:val="0"/>
                      <w:szCs w:val="21"/>
                      <w:highlight w:val="none"/>
                    </w:rPr>
                  </w:pPr>
                </w:p>
              </w:tc>
              <w:tc>
                <w:tcPr>
                  <w:tcW w:w="392" w:type="pct"/>
                  <w:vMerge w:val="continue"/>
                  <w:vAlign w:val="center"/>
                </w:tcPr>
                <w:p>
                  <w:pPr>
                    <w:widowControl/>
                    <w:jc w:val="center"/>
                    <w:rPr>
                      <w:color w:val="auto"/>
                      <w:kern w:val="0"/>
                      <w:szCs w:val="21"/>
                      <w:highlight w:val="none"/>
                    </w:rPr>
                  </w:pPr>
                </w:p>
              </w:tc>
              <w:tc>
                <w:tcPr>
                  <w:tcW w:w="392" w:type="pct"/>
                  <w:vMerge w:val="continue"/>
                  <w:vAlign w:val="center"/>
                </w:tcPr>
                <w:p>
                  <w:pPr>
                    <w:widowControl/>
                    <w:jc w:val="center"/>
                    <w:rPr>
                      <w:color w:val="auto"/>
                      <w:kern w:val="0"/>
                      <w:szCs w:val="21"/>
                      <w:highlight w:val="none"/>
                    </w:rPr>
                  </w:pPr>
                </w:p>
              </w:tc>
              <w:tc>
                <w:tcPr>
                  <w:tcW w:w="268" w:type="pct"/>
                  <w:vAlign w:val="center"/>
                </w:tcPr>
                <w:p>
                  <w:pPr>
                    <w:widowControl/>
                    <w:jc w:val="center"/>
                    <w:rPr>
                      <w:color w:val="auto"/>
                      <w:kern w:val="0"/>
                      <w:szCs w:val="21"/>
                      <w:highlight w:val="none"/>
                    </w:rPr>
                  </w:pPr>
                  <w:r>
                    <w:rPr>
                      <w:color w:val="auto"/>
                      <w:kern w:val="0"/>
                      <w:szCs w:val="21"/>
                      <w:highlight w:val="none"/>
                    </w:rPr>
                    <w:t>编号</w:t>
                  </w:r>
                </w:p>
              </w:tc>
              <w:tc>
                <w:tcPr>
                  <w:tcW w:w="417" w:type="pct"/>
                  <w:vAlign w:val="center"/>
                </w:tcPr>
                <w:p>
                  <w:pPr>
                    <w:widowControl/>
                    <w:jc w:val="center"/>
                    <w:rPr>
                      <w:color w:val="auto"/>
                      <w:kern w:val="0"/>
                      <w:szCs w:val="21"/>
                      <w:highlight w:val="none"/>
                    </w:rPr>
                  </w:pPr>
                  <w:r>
                    <w:rPr>
                      <w:color w:val="auto"/>
                      <w:kern w:val="0"/>
                      <w:szCs w:val="21"/>
                      <w:highlight w:val="none"/>
                    </w:rPr>
                    <w:t>名称</w:t>
                  </w:r>
                </w:p>
              </w:tc>
              <w:tc>
                <w:tcPr>
                  <w:tcW w:w="405" w:type="pct"/>
                  <w:vAlign w:val="center"/>
                </w:tcPr>
                <w:p>
                  <w:pPr>
                    <w:widowControl/>
                    <w:jc w:val="center"/>
                    <w:rPr>
                      <w:color w:val="auto"/>
                      <w:kern w:val="0"/>
                      <w:szCs w:val="21"/>
                      <w:highlight w:val="none"/>
                    </w:rPr>
                  </w:pPr>
                  <w:r>
                    <w:rPr>
                      <w:color w:val="auto"/>
                      <w:kern w:val="0"/>
                      <w:szCs w:val="21"/>
                      <w:highlight w:val="none"/>
                    </w:rPr>
                    <w:t>工艺</w:t>
                  </w:r>
                </w:p>
              </w:tc>
              <w:tc>
                <w:tcPr>
                  <w:tcW w:w="332" w:type="pct"/>
                  <w:vMerge w:val="continue"/>
                  <w:vAlign w:val="center"/>
                </w:tcPr>
                <w:p>
                  <w:pPr>
                    <w:widowControl/>
                    <w:jc w:val="center"/>
                    <w:rPr>
                      <w:color w:val="auto"/>
                      <w:kern w:val="0"/>
                      <w:szCs w:val="21"/>
                      <w:highlight w:val="none"/>
                    </w:rPr>
                  </w:pPr>
                </w:p>
              </w:tc>
              <w:tc>
                <w:tcPr>
                  <w:tcW w:w="552" w:type="pct"/>
                  <w:vMerge w:val="continue"/>
                  <w:vAlign w:val="center"/>
                </w:tcPr>
                <w:p>
                  <w:pPr>
                    <w:widowControl/>
                    <w:jc w:val="center"/>
                    <w:rPr>
                      <w:color w:val="auto"/>
                      <w:kern w:val="0"/>
                      <w:szCs w:val="21"/>
                      <w:highlight w:val="none"/>
                    </w:rPr>
                  </w:pPr>
                </w:p>
              </w:tc>
              <w:tc>
                <w:tcPr>
                  <w:tcW w:w="399" w:type="pct"/>
                  <w:vMerge w:val="continue"/>
                  <w:vAlign w:val="center"/>
                </w:tcPr>
                <w:p>
                  <w:pPr>
                    <w:widowControl/>
                    <w:jc w:val="center"/>
                    <w:rPr>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trPr>
              <w:tc>
                <w:tcPr>
                  <w:tcW w:w="251" w:type="pct"/>
                  <w:vAlign w:val="center"/>
                </w:tcPr>
                <w:p>
                  <w:pPr>
                    <w:widowControl/>
                    <w:jc w:val="center"/>
                    <w:rPr>
                      <w:color w:val="auto"/>
                      <w:kern w:val="0"/>
                      <w:szCs w:val="21"/>
                      <w:highlight w:val="none"/>
                    </w:rPr>
                  </w:pPr>
                  <w:r>
                    <w:rPr>
                      <w:color w:val="auto"/>
                      <w:kern w:val="0"/>
                      <w:szCs w:val="21"/>
                      <w:highlight w:val="none"/>
                    </w:rPr>
                    <w:t>1</w:t>
                  </w:r>
                </w:p>
              </w:tc>
              <w:tc>
                <w:tcPr>
                  <w:tcW w:w="657" w:type="pct"/>
                  <w:vAlign w:val="center"/>
                </w:tcPr>
                <w:p>
                  <w:pPr>
                    <w:widowControl/>
                    <w:jc w:val="center"/>
                    <w:rPr>
                      <w:color w:val="auto"/>
                      <w:kern w:val="0"/>
                      <w:szCs w:val="21"/>
                      <w:highlight w:val="none"/>
                    </w:rPr>
                  </w:pPr>
                  <w:r>
                    <w:rPr>
                      <w:color w:val="auto"/>
                      <w:kern w:val="0"/>
                      <w:szCs w:val="21"/>
                      <w:highlight w:val="none"/>
                    </w:rPr>
                    <w:t>酸碱洗废水</w:t>
                  </w:r>
                </w:p>
              </w:tc>
              <w:tc>
                <w:tcPr>
                  <w:tcW w:w="929" w:type="pct"/>
                  <w:vAlign w:val="center"/>
                </w:tcPr>
                <w:p>
                  <w:pPr>
                    <w:widowControl/>
                    <w:jc w:val="center"/>
                    <w:rPr>
                      <w:color w:val="auto"/>
                      <w:kern w:val="0"/>
                      <w:szCs w:val="21"/>
                      <w:highlight w:val="none"/>
                    </w:rPr>
                  </w:pPr>
                  <w:r>
                    <w:rPr>
                      <w:color w:val="auto"/>
                      <w:kern w:val="0"/>
                      <w:szCs w:val="21"/>
                      <w:highlight w:val="none"/>
                    </w:rPr>
                    <w:t>pH、COD、SS、氨氮、总磷</w:t>
                  </w:r>
                </w:p>
              </w:tc>
              <w:tc>
                <w:tcPr>
                  <w:tcW w:w="392" w:type="pct"/>
                  <w:vMerge w:val="restart"/>
                  <w:vAlign w:val="center"/>
                </w:tcPr>
                <w:p>
                  <w:pPr>
                    <w:widowControl/>
                    <w:jc w:val="center"/>
                    <w:rPr>
                      <w:color w:val="auto"/>
                      <w:kern w:val="0"/>
                      <w:szCs w:val="21"/>
                      <w:highlight w:val="none"/>
                    </w:rPr>
                  </w:pPr>
                  <w:r>
                    <w:rPr>
                      <w:rFonts w:hint="eastAsia"/>
                      <w:color w:val="auto"/>
                      <w:kern w:val="0"/>
                      <w:szCs w:val="21"/>
                      <w:highlight w:val="none"/>
                    </w:rPr>
                    <w:t>江宁经济技术</w:t>
                  </w:r>
                  <w:r>
                    <w:rPr>
                      <w:color w:val="auto"/>
                      <w:kern w:val="0"/>
                      <w:szCs w:val="21"/>
                      <w:highlight w:val="none"/>
                    </w:rPr>
                    <w:t>开发区污水处理厂</w:t>
                  </w:r>
                </w:p>
              </w:tc>
              <w:tc>
                <w:tcPr>
                  <w:tcW w:w="392" w:type="pct"/>
                  <w:vMerge w:val="restart"/>
                  <w:vAlign w:val="center"/>
                </w:tcPr>
                <w:p>
                  <w:pPr>
                    <w:widowControl/>
                    <w:jc w:val="center"/>
                    <w:rPr>
                      <w:color w:val="auto"/>
                      <w:kern w:val="0"/>
                      <w:szCs w:val="21"/>
                      <w:highlight w:val="none"/>
                    </w:rPr>
                  </w:pPr>
                  <w:r>
                    <w:rPr>
                      <w:color w:val="auto"/>
                      <w:kern w:val="0"/>
                      <w:szCs w:val="21"/>
                      <w:highlight w:val="none"/>
                    </w:rPr>
                    <w:t>间歇</w:t>
                  </w:r>
                </w:p>
                <w:p>
                  <w:pPr>
                    <w:widowControl/>
                    <w:jc w:val="center"/>
                    <w:rPr>
                      <w:color w:val="auto"/>
                      <w:kern w:val="0"/>
                      <w:szCs w:val="21"/>
                      <w:highlight w:val="none"/>
                    </w:rPr>
                  </w:pPr>
                  <w:r>
                    <w:rPr>
                      <w:color w:val="auto"/>
                      <w:kern w:val="0"/>
                      <w:szCs w:val="21"/>
                      <w:highlight w:val="none"/>
                    </w:rPr>
                    <w:t>排放</w:t>
                  </w:r>
                </w:p>
              </w:tc>
              <w:tc>
                <w:tcPr>
                  <w:tcW w:w="268" w:type="pct"/>
                  <w:vMerge w:val="restart"/>
                  <w:vAlign w:val="center"/>
                </w:tcPr>
                <w:p>
                  <w:pPr>
                    <w:widowControl/>
                    <w:jc w:val="center"/>
                    <w:rPr>
                      <w:color w:val="auto"/>
                      <w:kern w:val="0"/>
                      <w:szCs w:val="21"/>
                      <w:highlight w:val="none"/>
                    </w:rPr>
                  </w:pPr>
                  <w:r>
                    <w:rPr>
                      <w:color w:val="auto"/>
                      <w:kern w:val="0"/>
                      <w:szCs w:val="21"/>
                      <w:highlight w:val="none"/>
                    </w:rPr>
                    <w:t>1#</w:t>
                  </w:r>
                </w:p>
              </w:tc>
              <w:tc>
                <w:tcPr>
                  <w:tcW w:w="417" w:type="pct"/>
                  <w:vMerge w:val="restart"/>
                  <w:vAlign w:val="center"/>
                </w:tcPr>
                <w:p>
                  <w:pPr>
                    <w:widowControl/>
                    <w:jc w:val="center"/>
                    <w:rPr>
                      <w:color w:val="auto"/>
                      <w:kern w:val="0"/>
                      <w:szCs w:val="21"/>
                      <w:highlight w:val="none"/>
                    </w:rPr>
                  </w:pPr>
                  <w:r>
                    <w:rPr>
                      <w:color w:val="auto"/>
                      <w:kern w:val="0"/>
                      <w:szCs w:val="21"/>
                      <w:highlight w:val="none"/>
                    </w:rPr>
                    <w:t>酸碱处理设施</w:t>
                  </w:r>
                </w:p>
              </w:tc>
              <w:tc>
                <w:tcPr>
                  <w:tcW w:w="405" w:type="pct"/>
                  <w:vMerge w:val="restart"/>
                  <w:vAlign w:val="center"/>
                </w:tcPr>
                <w:p>
                  <w:pPr>
                    <w:widowControl/>
                    <w:jc w:val="center"/>
                    <w:rPr>
                      <w:color w:val="auto"/>
                      <w:kern w:val="0"/>
                      <w:szCs w:val="21"/>
                      <w:highlight w:val="none"/>
                    </w:rPr>
                  </w:pPr>
                  <w:r>
                    <w:rPr>
                      <w:color w:val="auto"/>
                      <w:kern w:val="0"/>
                      <w:szCs w:val="21"/>
                      <w:highlight w:val="none"/>
                    </w:rPr>
                    <w:t>酸碱中和</w:t>
                  </w:r>
                </w:p>
              </w:tc>
              <w:tc>
                <w:tcPr>
                  <w:tcW w:w="332" w:type="pct"/>
                  <w:vMerge w:val="restart"/>
                  <w:vAlign w:val="center"/>
                </w:tcPr>
                <w:p>
                  <w:pPr>
                    <w:widowControl/>
                    <w:ind w:left="-105" w:leftChars="-50" w:right="-105" w:rightChars="-50"/>
                    <w:jc w:val="center"/>
                    <w:rPr>
                      <w:color w:val="auto"/>
                      <w:kern w:val="0"/>
                      <w:szCs w:val="21"/>
                      <w:highlight w:val="none"/>
                    </w:rPr>
                  </w:pPr>
                  <w:r>
                    <w:rPr>
                      <w:color w:val="auto"/>
                      <w:kern w:val="0"/>
                      <w:szCs w:val="21"/>
                      <w:highlight w:val="none"/>
                    </w:rPr>
                    <w:t>DW</w:t>
                  </w:r>
                </w:p>
                <w:p>
                  <w:pPr>
                    <w:widowControl/>
                    <w:ind w:left="-105" w:leftChars="-50" w:right="-105" w:rightChars="-50"/>
                    <w:jc w:val="center"/>
                    <w:rPr>
                      <w:color w:val="auto"/>
                      <w:kern w:val="0"/>
                      <w:szCs w:val="21"/>
                      <w:highlight w:val="none"/>
                    </w:rPr>
                  </w:pPr>
                  <w:r>
                    <w:rPr>
                      <w:color w:val="auto"/>
                      <w:kern w:val="0"/>
                      <w:szCs w:val="21"/>
                      <w:highlight w:val="none"/>
                    </w:rPr>
                    <w:t>001</w:t>
                  </w:r>
                </w:p>
              </w:tc>
              <w:tc>
                <w:tcPr>
                  <w:tcW w:w="552" w:type="pct"/>
                  <w:vMerge w:val="restart"/>
                  <w:vAlign w:val="center"/>
                </w:tcPr>
                <w:p>
                  <w:pPr>
                    <w:widowControl/>
                    <w:jc w:val="center"/>
                    <w:rPr>
                      <w:color w:val="auto"/>
                      <w:kern w:val="0"/>
                      <w:szCs w:val="21"/>
                      <w:highlight w:val="none"/>
                    </w:rPr>
                  </w:pPr>
                  <w:r>
                    <w:rPr>
                      <w:color w:val="auto"/>
                      <w:kern w:val="0"/>
                      <w:szCs w:val="21"/>
                      <w:highlight w:val="none"/>
                    </w:rPr>
                    <w:t>符合</w:t>
                  </w:r>
                </w:p>
                <w:p>
                  <w:pPr>
                    <w:widowControl/>
                    <w:jc w:val="center"/>
                    <w:rPr>
                      <w:color w:val="auto"/>
                      <w:kern w:val="0"/>
                      <w:szCs w:val="21"/>
                      <w:highlight w:val="none"/>
                    </w:rPr>
                  </w:pPr>
                  <w:r>
                    <w:rPr>
                      <w:color w:val="auto"/>
                      <w:kern w:val="0"/>
                      <w:szCs w:val="21"/>
                      <w:highlight w:val="none"/>
                    </w:rPr>
                    <w:t>要求</w:t>
                  </w:r>
                </w:p>
              </w:tc>
              <w:tc>
                <w:tcPr>
                  <w:tcW w:w="399" w:type="pct"/>
                  <w:vMerge w:val="restart"/>
                  <w:vAlign w:val="center"/>
                </w:tcPr>
                <w:p>
                  <w:pPr>
                    <w:widowControl/>
                    <w:jc w:val="center"/>
                    <w:rPr>
                      <w:color w:val="auto"/>
                      <w:kern w:val="0"/>
                      <w:szCs w:val="21"/>
                      <w:highlight w:val="none"/>
                    </w:rPr>
                  </w:pPr>
                  <w:r>
                    <w:rPr>
                      <w:color w:val="auto"/>
                      <w:kern w:val="0"/>
                      <w:szCs w:val="21"/>
                      <w:highlight w:val="none"/>
                    </w:rPr>
                    <w:t>企业</w:t>
                  </w:r>
                </w:p>
                <w:p>
                  <w:pPr>
                    <w:widowControl/>
                    <w:jc w:val="center"/>
                    <w:rPr>
                      <w:color w:val="auto"/>
                      <w:kern w:val="0"/>
                      <w:szCs w:val="21"/>
                      <w:highlight w:val="none"/>
                    </w:rPr>
                  </w:pPr>
                  <w:r>
                    <w:rPr>
                      <w:color w:val="auto"/>
                      <w:kern w:val="0"/>
                      <w:szCs w:val="21"/>
                      <w:highlight w:val="none"/>
                    </w:rPr>
                    <w:t>总排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trPr>
              <w:tc>
                <w:tcPr>
                  <w:tcW w:w="251" w:type="pct"/>
                  <w:vAlign w:val="center"/>
                </w:tcPr>
                <w:p>
                  <w:pPr>
                    <w:widowControl/>
                    <w:jc w:val="center"/>
                    <w:rPr>
                      <w:color w:val="auto"/>
                      <w:kern w:val="0"/>
                      <w:szCs w:val="21"/>
                      <w:highlight w:val="none"/>
                    </w:rPr>
                  </w:pPr>
                  <w:r>
                    <w:rPr>
                      <w:color w:val="auto"/>
                      <w:kern w:val="0"/>
                      <w:szCs w:val="21"/>
                      <w:highlight w:val="none"/>
                    </w:rPr>
                    <w:t>2</w:t>
                  </w:r>
                </w:p>
              </w:tc>
              <w:tc>
                <w:tcPr>
                  <w:tcW w:w="657" w:type="pct"/>
                  <w:vAlign w:val="center"/>
                </w:tcPr>
                <w:p>
                  <w:pPr>
                    <w:widowControl/>
                    <w:jc w:val="center"/>
                    <w:rPr>
                      <w:color w:val="auto"/>
                      <w:kern w:val="0"/>
                      <w:szCs w:val="21"/>
                      <w:highlight w:val="none"/>
                    </w:rPr>
                  </w:pPr>
                  <w:r>
                    <w:rPr>
                      <w:color w:val="auto"/>
                      <w:kern w:val="0"/>
                      <w:szCs w:val="21"/>
                      <w:highlight w:val="none"/>
                    </w:rPr>
                    <w:t>废气处理喷淋水</w:t>
                  </w:r>
                </w:p>
              </w:tc>
              <w:tc>
                <w:tcPr>
                  <w:tcW w:w="929" w:type="pct"/>
                  <w:vAlign w:val="center"/>
                </w:tcPr>
                <w:p>
                  <w:pPr>
                    <w:widowControl/>
                    <w:jc w:val="center"/>
                    <w:rPr>
                      <w:color w:val="auto"/>
                      <w:kern w:val="0"/>
                      <w:szCs w:val="21"/>
                      <w:highlight w:val="none"/>
                    </w:rPr>
                  </w:pPr>
                  <w:r>
                    <w:rPr>
                      <w:color w:val="auto"/>
                      <w:kern w:val="0"/>
                      <w:szCs w:val="21"/>
                      <w:highlight w:val="none"/>
                    </w:rPr>
                    <w:t>pH、COD、SS</w:t>
                  </w:r>
                </w:p>
              </w:tc>
              <w:tc>
                <w:tcPr>
                  <w:tcW w:w="392" w:type="pct"/>
                  <w:vMerge w:val="continue"/>
                  <w:vAlign w:val="center"/>
                </w:tcPr>
                <w:p>
                  <w:pPr>
                    <w:widowControl/>
                    <w:jc w:val="center"/>
                    <w:rPr>
                      <w:color w:val="auto"/>
                      <w:kern w:val="0"/>
                      <w:szCs w:val="21"/>
                      <w:highlight w:val="none"/>
                    </w:rPr>
                  </w:pPr>
                </w:p>
              </w:tc>
              <w:tc>
                <w:tcPr>
                  <w:tcW w:w="392" w:type="pct"/>
                  <w:vMerge w:val="continue"/>
                  <w:vAlign w:val="center"/>
                </w:tcPr>
                <w:p>
                  <w:pPr>
                    <w:widowControl/>
                    <w:jc w:val="center"/>
                    <w:rPr>
                      <w:color w:val="auto"/>
                      <w:kern w:val="0"/>
                      <w:szCs w:val="21"/>
                      <w:highlight w:val="none"/>
                    </w:rPr>
                  </w:pPr>
                </w:p>
              </w:tc>
              <w:tc>
                <w:tcPr>
                  <w:tcW w:w="268" w:type="pct"/>
                  <w:vMerge w:val="continue"/>
                  <w:vAlign w:val="center"/>
                </w:tcPr>
                <w:p>
                  <w:pPr>
                    <w:widowControl/>
                    <w:jc w:val="center"/>
                    <w:rPr>
                      <w:color w:val="auto"/>
                      <w:kern w:val="0"/>
                      <w:szCs w:val="21"/>
                      <w:highlight w:val="none"/>
                    </w:rPr>
                  </w:pPr>
                </w:p>
              </w:tc>
              <w:tc>
                <w:tcPr>
                  <w:tcW w:w="417" w:type="pct"/>
                  <w:vMerge w:val="continue"/>
                  <w:vAlign w:val="center"/>
                </w:tcPr>
                <w:p>
                  <w:pPr>
                    <w:widowControl/>
                    <w:jc w:val="center"/>
                    <w:rPr>
                      <w:color w:val="auto"/>
                      <w:kern w:val="0"/>
                      <w:szCs w:val="21"/>
                      <w:highlight w:val="none"/>
                    </w:rPr>
                  </w:pPr>
                </w:p>
              </w:tc>
              <w:tc>
                <w:tcPr>
                  <w:tcW w:w="405" w:type="pct"/>
                  <w:vMerge w:val="continue"/>
                  <w:vAlign w:val="center"/>
                </w:tcPr>
                <w:p>
                  <w:pPr>
                    <w:widowControl/>
                    <w:jc w:val="center"/>
                    <w:rPr>
                      <w:color w:val="auto"/>
                      <w:kern w:val="0"/>
                      <w:szCs w:val="21"/>
                      <w:highlight w:val="none"/>
                    </w:rPr>
                  </w:pPr>
                </w:p>
              </w:tc>
              <w:tc>
                <w:tcPr>
                  <w:tcW w:w="332" w:type="pct"/>
                  <w:vMerge w:val="continue"/>
                  <w:vAlign w:val="center"/>
                </w:tcPr>
                <w:p>
                  <w:pPr>
                    <w:widowControl/>
                    <w:jc w:val="center"/>
                    <w:rPr>
                      <w:color w:val="auto"/>
                      <w:kern w:val="0"/>
                      <w:szCs w:val="21"/>
                      <w:highlight w:val="none"/>
                    </w:rPr>
                  </w:pPr>
                </w:p>
              </w:tc>
              <w:tc>
                <w:tcPr>
                  <w:tcW w:w="552" w:type="pct"/>
                  <w:vMerge w:val="continue"/>
                  <w:vAlign w:val="center"/>
                </w:tcPr>
                <w:p>
                  <w:pPr>
                    <w:widowControl/>
                    <w:jc w:val="center"/>
                    <w:rPr>
                      <w:color w:val="auto"/>
                      <w:kern w:val="0"/>
                      <w:szCs w:val="21"/>
                      <w:highlight w:val="none"/>
                    </w:rPr>
                  </w:pPr>
                </w:p>
              </w:tc>
              <w:tc>
                <w:tcPr>
                  <w:tcW w:w="399" w:type="pct"/>
                  <w:vMerge w:val="continue"/>
                  <w:vAlign w:val="center"/>
                </w:tcPr>
                <w:p>
                  <w:pPr>
                    <w:widowControl/>
                    <w:jc w:val="center"/>
                    <w:rPr>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 w:hRule="atLeast"/>
              </w:trPr>
              <w:tc>
                <w:tcPr>
                  <w:tcW w:w="251" w:type="pct"/>
                  <w:vAlign w:val="center"/>
                </w:tcPr>
                <w:p>
                  <w:pPr>
                    <w:widowControl/>
                    <w:jc w:val="center"/>
                    <w:rPr>
                      <w:color w:val="auto"/>
                      <w:kern w:val="0"/>
                      <w:szCs w:val="21"/>
                      <w:highlight w:val="none"/>
                    </w:rPr>
                  </w:pPr>
                  <w:r>
                    <w:rPr>
                      <w:color w:val="auto"/>
                      <w:kern w:val="0"/>
                      <w:szCs w:val="21"/>
                      <w:highlight w:val="none"/>
                    </w:rPr>
                    <w:t>3</w:t>
                  </w:r>
                </w:p>
              </w:tc>
              <w:tc>
                <w:tcPr>
                  <w:tcW w:w="657" w:type="pct"/>
                  <w:vAlign w:val="center"/>
                </w:tcPr>
                <w:p>
                  <w:pPr>
                    <w:widowControl/>
                    <w:jc w:val="center"/>
                    <w:rPr>
                      <w:color w:val="auto"/>
                      <w:kern w:val="0"/>
                      <w:szCs w:val="21"/>
                      <w:highlight w:val="none"/>
                    </w:rPr>
                  </w:pPr>
                  <w:r>
                    <w:rPr>
                      <w:color w:val="auto"/>
                      <w:kern w:val="0"/>
                      <w:szCs w:val="21"/>
                      <w:highlight w:val="none"/>
                    </w:rPr>
                    <w:t>冲洗水</w:t>
                  </w:r>
                </w:p>
              </w:tc>
              <w:tc>
                <w:tcPr>
                  <w:tcW w:w="929" w:type="pct"/>
                  <w:vAlign w:val="center"/>
                </w:tcPr>
                <w:p>
                  <w:pPr>
                    <w:jc w:val="center"/>
                    <w:rPr>
                      <w:color w:val="auto"/>
                      <w:kern w:val="0"/>
                      <w:szCs w:val="21"/>
                      <w:highlight w:val="none"/>
                    </w:rPr>
                  </w:pPr>
                  <w:r>
                    <w:rPr>
                      <w:color w:val="auto"/>
                      <w:kern w:val="0"/>
                      <w:szCs w:val="21"/>
                      <w:highlight w:val="none"/>
                    </w:rPr>
                    <w:t>COD、SS</w:t>
                  </w:r>
                </w:p>
              </w:tc>
              <w:tc>
                <w:tcPr>
                  <w:tcW w:w="392" w:type="pct"/>
                  <w:vMerge w:val="continue"/>
                  <w:vAlign w:val="center"/>
                </w:tcPr>
                <w:p>
                  <w:pPr>
                    <w:widowControl/>
                    <w:jc w:val="center"/>
                    <w:rPr>
                      <w:color w:val="auto"/>
                      <w:kern w:val="0"/>
                      <w:szCs w:val="21"/>
                      <w:highlight w:val="none"/>
                    </w:rPr>
                  </w:pPr>
                </w:p>
              </w:tc>
              <w:tc>
                <w:tcPr>
                  <w:tcW w:w="392" w:type="pct"/>
                  <w:vMerge w:val="continue"/>
                  <w:vAlign w:val="center"/>
                </w:tcPr>
                <w:p>
                  <w:pPr>
                    <w:widowControl/>
                    <w:jc w:val="center"/>
                    <w:rPr>
                      <w:color w:val="auto"/>
                      <w:kern w:val="0"/>
                      <w:szCs w:val="21"/>
                      <w:highlight w:val="none"/>
                    </w:rPr>
                  </w:pPr>
                </w:p>
              </w:tc>
              <w:tc>
                <w:tcPr>
                  <w:tcW w:w="268" w:type="pct"/>
                  <w:vAlign w:val="center"/>
                </w:tcPr>
                <w:p>
                  <w:pPr>
                    <w:widowControl/>
                    <w:jc w:val="center"/>
                    <w:rPr>
                      <w:color w:val="auto"/>
                      <w:kern w:val="0"/>
                      <w:szCs w:val="21"/>
                      <w:highlight w:val="none"/>
                    </w:rPr>
                  </w:pPr>
                  <w:r>
                    <w:rPr>
                      <w:color w:val="auto"/>
                      <w:kern w:val="0"/>
                      <w:szCs w:val="21"/>
                      <w:highlight w:val="none"/>
                    </w:rPr>
                    <w:t>--</w:t>
                  </w:r>
                </w:p>
              </w:tc>
              <w:tc>
                <w:tcPr>
                  <w:tcW w:w="417" w:type="pct"/>
                  <w:vAlign w:val="center"/>
                </w:tcPr>
                <w:p>
                  <w:pPr>
                    <w:widowControl/>
                    <w:jc w:val="center"/>
                    <w:rPr>
                      <w:color w:val="auto"/>
                      <w:kern w:val="0"/>
                      <w:szCs w:val="21"/>
                      <w:highlight w:val="none"/>
                    </w:rPr>
                  </w:pPr>
                  <w:r>
                    <w:rPr>
                      <w:color w:val="auto"/>
                      <w:kern w:val="0"/>
                      <w:szCs w:val="21"/>
                      <w:highlight w:val="none"/>
                    </w:rPr>
                    <w:t>--</w:t>
                  </w:r>
                </w:p>
              </w:tc>
              <w:tc>
                <w:tcPr>
                  <w:tcW w:w="405" w:type="pct"/>
                  <w:vAlign w:val="center"/>
                </w:tcPr>
                <w:p>
                  <w:pPr>
                    <w:widowControl/>
                    <w:jc w:val="center"/>
                    <w:rPr>
                      <w:color w:val="auto"/>
                      <w:kern w:val="0"/>
                      <w:szCs w:val="21"/>
                      <w:highlight w:val="none"/>
                    </w:rPr>
                  </w:pPr>
                  <w:r>
                    <w:rPr>
                      <w:color w:val="auto"/>
                      <w:kern w:val="0"/>
                      <w:szCs w:val="21"/>
                      <w:highlight w:val="none"/>
                    </w:rPr>
                    <w:t>--</w:t>
                  </w:r>
                </w:p>
              </w:tc>
              <w:tc>
                <w:tcPr>
                  <w:tcW w:w="332" w:type="pct"/>
                  <w:vMerge w:val="continue"/>
                  <w:vAlign w:val="center"/>
                </w:tcPr>
                <w:p>
                  <w:pPr>
                    <w:widowControl/>
                    <w:jc w:val="center"/>
                    <w:rPr>
                      <w:color w:val="auto"/>
                      <w:kern w:val="0"/>
                      <w:szCs w:val="21"/>
                      <w:highlight w:val="none"/>
                    </w:rPr>
                  </w:pPr>
                </w:p>
              </w:tc>
              <w:tc>
                <w:tcPr>
                  <w:tcW w:w="552" w:type="pct"/>
                  <w:vMerge w:val="continue"/>
                  <w:vAlign w:val="center"/>
                </w:tcPr>
                <w:p>
                  <w:pPr>
                    <w:widowControl/>
                    <w:jc w:val="center"/>
                    <w:rPr>
                      <w:color w:val="auto"/>
                      <w:kern w:val="0"/>
                      <w:szCs w:val="21"/>
                      <w:highlight w:val="none"/>
                    </w:rPr>
                  </w:pPr>
                </w:p>
              </w:tc>
              <w:tc>
                <w:tcPr>
                  <w:tcW w:w="399" w:type="pct"/>
                  <w:vMerge w:val="continue"/>
                  <w:vAlign w:val="center"/>
                </w:tcPr>
                <w:p>
                  <w:pPr>
                    <w:widowControl/>
                    <w:jc w:val="center"/>
                    <w:rPr>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trPr>
              <w:tc>
                <w:tcPr>
                  <w:tcW w:w="251" w:type="pct"/>
                  <w:vAlign w:val="center"/>
                </w:tcPr>
                <w:p>
                  <w:pPr>
                    <w:jc w:val="center"/>
                    <w:rPr>
                      <w:color w:val="auto"/>
                      <w:kern w:val="0"/>
                      <w:szCs w:val="21"/>
                      <w:highlight w:val="none"/>
                    </w:rPr>
                  </w:pPr>
                  <w:r>
                    <w:rPr>
                      <w:color w:val="auto"/>
                      <w:kern w:val="0"/>
                      <w:szCs w:val="21"/>
                      <w:highlight w:val="none"/>
                    </w:rPr>
                    <w:t>4</w:t>
                  </w:r>
                </w:p>
              </w:tc>
              <w:tc>
                <w:tcPr>
                  <w:tcW w:w="657" w:type="pct"/>
                  <w:vAlign w:val="center"/>
                </w:tcPr>
                <w:p>
                  <w:pPr>
                    <w:jc w:val="center"/>
                    <w:rPr>
                      <w:color w:val="auto"/>
                      <w:kern w:val="0"/>
                      <w:szCs w:val="21"/>
                      <w:highlight w:val="none"/>
                    </w:rPr>
                  </w:pPr>
                  <w:r>
                    <w:rPr>
                      <w:color w:val="auto"/>
                      <w:kern w:val="0"/>
                      <w:szCs w:val="21"/>
                      <w:highlight w:val="none"/>
                    </w:rPr>
                    <w:t>循环水</w:t>
                  </w:r>
                </w:p>
                <w:p>
                  <w:pPr>
                    <w:jc w:val="center"/>
                    <w:rPr>
                      <w:color w:val="auto"/>
                      <w:kern w:val="0"/>
                      <w:szCs w:val="21"/>
                      <w:highlight w:val="none"/>
                    </w:rPr>
                  </w:pPr>
                  <w:r>
                    <w:rPr>
                      <w:color w:val="auto"/>
                      <w:kern w:val="0"/>
                      <w:szCs w:val="21"/>
                      <w:highlight w:val="none"/>
                    </w:rPr>
                    <w:t>排水</w:t>
                  </w:r>
                </w:p>
              </w:tc>
              <w:tc>
                <w:tcPr>
                  <w:tcW w:w="929" w:type="pct"/>
                  <w:vAlign w:val="center"/>
                </w:tcPr>
                <w:p>
                  <w:pPr>
                    <w:jc w:val="center"/>
                    <w:rPr>
                      <w:color w:val="auto"/>
                      <w:kern w:val="0"/>
                      <w:szCs w:val="21"/>
                      <w:highlight w:val="none"/>
                    </w:rPr>
                  </w:pPr>
                  <w:r>
                    <w:rPr>
                      <w:color w:val="auto"/>
                      <w:kern w:val="0"/>
                      <w:szCs w:val="21"/>
                      <w:highlight w:val="none"/>
                    </w:rPr>
                    <w:t>COD、SS</w:t>
                  </w:r>
                </w:p>
              </w:tc>
              <w:tc>
                <w:tcPr>
                  <w:tcW w:w="392" w:type="pct"/>
                  <w:vMerge w:val="continue"/>
                  <w:vAlign w:val="center"/>
                </w:tcPr>
                <w:p>
                  <w:pPr>
                    <w:jc w:val="center"/>
                    <w:rPr>
                      <w:color w:val="auto"/>
                      <w:kern w:val="0"/>
                      <w:szCs w:val="21"/>
                      <w:highlight w:val="none"/>
                    </w:rPr>
                  </w:pPr>
                </w:p>
              </w:tc>
              <w:tc>
                <w:tcPr>
                  <w:tcW w:w="392" w:type="pct"/>
                  <w:vMerge w:val="continue"/>
                  <w:vAlign w:val="center"/>
                </w:tcPr>
                <w:p>
                  <w:pPr>
                    <w:jc w:val="center"/>
                    <w:rPr>
                      <w:color w:val="auto"/>
                      <w:kern w:val="0"/>
                      <w:szCs w:val="21"/>
                      <w:highlight w:val="none"/>
                    </w:rPr>
                  </w:pPr>
                </w:p>
              </w:tc>
              <w:tc>
                <w:tcPr>
                  <w:tcW w:w="268" w:type="pct"/>
                  <w:vAlign w:val="center"/>
                </w:tcPr>
                <w:p>
                  <w:pPr>
                    <w:jc w:val="center"/>
                    <w:rPr>
                      <w:color w:val="auto"/>
                      <w:kern w:val="0"/>
                      <w:szCs w:val="21"/>
                      <w:highlight w:val="none"/>
                    </w:rPr>
                  </w:pPr>
                  <w:r>
                    <w:rPr>
                      <w:color w:val="auto"/>
                      <w:kern w:val="0"/>
                      <w:szCs w:val="21"/>
                      <w:highlight w:val="none"/>
                    </w:rPr>
                    <w:t>--</w:t>
                  </w:r>
                </w:p>
              </w:tc>
              <w:tc>
                <w:tcPr>
                  <w:tcW w:w="417" w:type="pct"/>
                  <w:vAlign w:val="center"/>
                </w:tcPr>
                <w:p>
                  <w:pPr>
                    <w:jc w:val="center"/>
                    <w:rPr>
                      <w:color w:val="auto"/>
                      <w:kern w:val="0"/>
                      <w:szCs w:val="21"/>
                      <w:highlight w:val="none"/>
                    </w:rPr>
                  </w:pPr>
                  <w:r>
                    <w:rPr>
                      <w:color w:val="auto"/>
                      <w:kern w:val="0"/>
                      <w:szCs w:val="21"/>
                      <w:highlight w:val="none"/>
                    </w:rPr>
                    <w:t>--</w:t>
                  </w:r>
                </w:p>
              </w:tc>
              <w:tc>
                <w:tcPr>
                  <w:tcW w:w="405" w:type="pct"/>
                  <w:vAlign w:val="center"/>
                </w:tcPr>
                <w:p>
                  <w:pPr>
                    <w:jc w:val="center"/>
                    <w:rPr>
                      <w:color w:val="auto"/>
                      <w:kern w:val="0"/>
                      <w:szCs w:val="21"/>
                      <w:highlight w:val="none"/>
                    </w:rPr>
                  </w:pPr>
                  <w:r>
                    <w:rPr>
                      <w:color w:val="auto"/>
                      <w:kern w:val="0"/>
                      <w:szCs w:val="21"/>
                      <w:highlight w:val="none"/>
                    </w:rPr>
                    <w:t>--</w:t>
                  </w:r>
                </w:p>
              </w:tc>
              <w:tc>
                <w:tcPr>
                  <w:tcW w:w="332" w:type="pct"/>
                  <w:vMerge w:val="continue"/>
                  <w:vAlign w:val="center"/>
                </w:tcPr>
                <w:p>
                  <w:pPr>
                    <w:jc w:val="center"/>
                    <w:rPr>
                      <w:color w:val="auto"/>
                      <w:kern w:val="0"/>
                      <w:szCs w:val="21"/>
                      <w:highlight w:val="none"/>
                    </w:rPr>
                  </w:pPr>
                </w:p>
              </w:tc>
              <w:tc>
                <w:tcPr>
                  <w:tcW w:w="552" w:type="pct"/>
                  <w:vMerge w:val="continue"/>
                  <w:vAlign w:val="center"/>
                </w:tcPr>
                <w:p>
                  <w:pPr>
                    <w:jc w:val="center"/>
                    <w:rPr>
                      <w:color w:val="auto"/>
                      <w:kern w:val="0"/>
                      <w:szCs w:val="21"/>
                      <w:highlight w:val="none"/>
                    </w:rPr>
                  </w:pPr>
                </w:p>
              </w:tc>
              <w:tc>
                <w:tcPr>
                  <w:tcW w:w="399" w:type="pct"/>
                  <w:vMerge w:val="continue"/>
                  <w:vAlign w:val="center"/>
                </w:tcPr>
                <w:p>
                  <w:pPr>
                    <w:jc w:val="center"/>
                    <w:rPr>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 w:hRule="atLeast"/>
              </w:trPr>
              <w:tc>
                <w:tcPr>
                  <w:tcW w:w="251" w:type="pct"/>
                  <w:vAlign w:val="center"/>
                </w:tcPr>
                <w:p>
                  <w:pPr>
                    <w:jc w:val="center"/>
                    <w:rPr>
                      <w:color w:val="auto"/>
                      <w:kern w:val="0"/>
                      <w:szCs w:val="21"/>
                      <w:highlight w:val="none"/>
                    </w:rPr>
                  </w:pPr>
                  <w:r>
                    <w:rPr>
                      <w:color w:val="auto"/>
                      <w:kern w:val="0"/>
                      <w:szCs w:val="21"/>
                      <w:highlight w:val="none"/>
                    </w:rPr>
                    <w:t>5</w:t>
                  </w:r>
                </w:p>
              </w:tc>
              <w:tc>
                <w:tcPr>
                  <w:tcW w:w="657" w:type="pct"/>
                  <w:vAlign w:val="center"/>
                </w:tcPr>
                <w:p>
                  <w:pPr>
                    <w:jc w:val="center"/>
                    <w:rPr>
                      <w:color w:val="auto"/>
                      <w:kern w:val="0"/>
                      <w:szCs w:val="21"/>
                      <w:highlight w:val="none"/>
                    </w:rPr>
                  </w:pPr>
                  <w:r>
                    <w:rPr>
                      <w:color w:val="auto"/>
                      <w:kern w:val="0"/>
                      <w:szCs w:val="21"/>
                      <w:highlight w:val="none"/>
                    </w:rPr>
                    <w:t>纯水制备浓水</w:t>
                  </w:r>
                </w:p>
              </w:tc>
              <w:tc>
                <w:tcPr>
                  <w:tcW w:w="929" w:type="pct"/>
                  <w:vAlign w:val="center"/>
                </w:tcPr>
                <w:p>
                  <w:pPr>
                    <w:jc w:val="center"/>
                    <w:rPr>
                      <w:color w:val="auto"/>
                      <w:kern w:val="0"/>
                      <w:szCs w:val="21"/>
                      <w:highlight w:val="none"/>
                    </w:rPr>
                  </w:pPr>
                  <w:r>
                    <w:rPr>
                      <w:color w:val="auto"/>
                      <w:kern w:val="0"/>
                      <w:szCs w:val="21"/>
                      <w:highlight w:val="none"/>
                    </w:rPr>
                    <w:t>COD</w:t>
                  </w:r>
                </w:p>
              </w:tc>
              <w:tc>
                <w:tcPr>
                  <w:tcW w:w="392" w:type="pct"/>
                  <w:vMerge w:val="continue"/>
                  <w:vAlign w:val="center"/>
                </w:tcPr>
                <w:p>
                  <w:pPr>
                    <w:jc w:val="center"/>
                    <w:rPr>
                      <w:color w:val="auto"/>
                      <w:kern w:val="0"/>
                      <w:szCs w:val="21"/>
                      <w:highlight w:val="none"/>
                    </w:rPr>
                  </w:pPr>
                </w:p>
              </w:tc>
              <w:tc>
                <w:tcPr>
                  <w:tcW w:w="392" w:type="pct"/>
                  <w:vMerge w:val="continue"/>
                  <w:vAlign w:val="center"/>
                </w:tcPr>
                <w:p>
                  <w:pPr>
                    <w:jc w:val="center"/>
                    <w:rPr>
                      <w:color w:val="auto"/>
                      <w:kern w:val="0"/>
                      <w:szCs w:val="21"/>
                      <w:highlight w:val="none"/>
                    </w:rPr>
                  </w:pPr>
                </w:p>
              </w:tc>
              <w:tc>
                <w:tcPr>
                  <w:tcW w:w="268" w:type="pct"/>
                  <w:vAlign w:val="center"/>
                </w:tcPr>
                <w:p>
                  <w:pPr>
                    <w:jc w:val="center"/>
                    <w:rPr>
                      <w:color w:val="auto"/>
                      <w:kern w:val="0"/>
                      <w:szCs w:val="21"/>
                      <w:highlight w:val="none"/>
                    </w:rPr>
                  </w:pPr>
                  <w:r>
                    <w:rPr>
                      <w:color w:val="auto"/>
                      <w:kern w:val="0"/>
                      <w:szCs w:val="21"/>
                      <w:highlight w:val="none"/>
                    </w:rPr>
                    <w:t>--</w:t>
                  </w:r>
                </w:p>
              </w:tc>
              <w:tc>
                <w:tcPr>
                  <w:tcW w:w="417" w:type="pct"/>
                  <w:vAlign w:val="center"/>
                </w:tcPr>
                <w:p>
                  <w:pPr>
                    <w:jc w:val="center"/>
                    <w:rPr>
                      <w:color w:val="auto"/>
                      <w:kern w:val="0"/>
                      <w:szCs w:val="21"/>
                      <w:highlight w:val="none"/>
                    </w:rPr>
                  </w:pPr>
                  <w:r>
                    <w:rPr>
                      <w:color w:val="auto"/>
                      <w:kern w:val="0"/>
                      <w:szCs w:val="21"/>
                      <w:highlight w:val="none"/>
                    </w:rPr>
                    <w:t>--</w:t>
                  </w:r>
                </w:p>
              </w:tc>
              <w:tc>
                <w:tcPr>
                  <w:tcW w:w="405" w:type="pct"/>
                  <w:vAlign w:val="center"/>
                </w:tcPr>
                <w:p>
                  <w:pPr>
                    <w:jc w:val="center"/>
                    <w:rPr>
                      <w:color w:val="auto"/>
                      <w:kern w:val="0"/>
                      <w:szCs w:val="21"/>
                      <w:highlight w:val="none"/>
                    </w:rPr>
                  </w:pPr>
                  <w:r>
                    <w:rPr>
                      <w:color w:val="auto"/>
                      <w:kern w:val="0"/>
                      <w:szCs w:val="21"/>
                      <w:highlight w:val="none"/>
                    </w:rPr>
                    <w:t>--</w:t>
                  </w:r>
                </w:p>
              </w:tc>
              <w:tc>
                <w:tcPr>
                  <w:tcW w:w="332" w:type="pct"/>
                  <w:vMerge w:val="continue"/>
                  <w:vAlign w:val="center"/>
                </w:tcPr>
                <w:p>
                  <w:pPr>
                    <w:jc w:val="center"/>
                    <w:rPr>
                      <w:color w:val="auto"/>
                      <w:kern w:val="0"/>
                      <w:szCs w:val="21"/>
                      <w:highlight w:val="none"/>
                    </w:rPr>
                  </w:pPr>
                </w:p>
              </w:tc>
              <w:tc>
                <w:tcPr>
                  <w:tcW w:w="552" w:type="pct"/>
                  <w:vMerge w:val="continue"/>
                  <w:vAlign w:val="center"/>
                </w:tcPr>
                <w:p>
                  <w:pPr>
                    <w:jc w:val="center"/>
                    <w:rPr>
                      <w:color w:val="auto"/>
                      <w:kern w:val="0"/>
                      <w:szCs w:val="21"/>
                      <w:highlight w:val="none"/>
                    </w:rPr>
                  </w:pPr>
                </w:p>
              </w:tc>
              <w:tc>
                <w:tcPr>
                  <w:tcW w:w="399" w:type="pct"/>
                  <w:vMerge w:val="continue"/>
                  <w:vAlign w:val="center"/>
                </w:tcPr>
                <w:p>
                  <w:pPr>
                    <w:jc w:val="center"/>
                    <w:rPr>
                      <w:color w:val="auto"/>
                      <w:kern w:val="0"/>
                      <w:szCs w:val="21"/>
                      <w:highlight w:val="none"/>
                    </w:rPr>
                  </w:pPr>
                </w:p>
              </w:tc>
            </w:tr>
          </w:tbl>
          <w:p>
            <w:pPr>
              <w:spacing w:beforeLines="50" w:line="360" w:lineRule="auto"/>
              <w:jc w:val="center"/>
              <w:rPr>
                <w:b/>
                <w:color w:val="auto"/>
                <w:sz w:val="24"/>
                <w:szCs w:val="22"/>
                <w:highlight w:val="none"/>
              </w:rPr>
            </w:pPr>
          </w:p>
          <w:p>
            <w:pPr>
              <w:spacing w:beforeLines="50" w:line="360" w:lineRule="auto"/>
              <w:jc w:val="center"/>
              <w:rPr>
                <w:b/>
                <w:color w:val="auto"/>
                <w:sz w:val="24"/>
                <w:szCs w:val="22"/>
                <w:highlight w:val="none"/>
              </w:rPr>
            </w:pPr>
          </w:p>
          <w:p>
            <w:pPr>
              <w:spacing w:beforeLines="50" w:line="360" w:lineRule="auto"/>
              <w:jc w:val="center"/>
              <w:rPr>
                <w:b/>
                <w:color w:val="auto"/>
                <w:sz w:val="24"/>
                <w:szCs w:val="22"/>
                <w:highlight w:val="none"/>
              </w:rPr>
            </w:pPr>
            <w:r>
              <w:rPr>
                <w:b/>
                <w:color w:val="auto"/>
                <w:sz w:val="24"/>
                <w:szCs w:val="22"/>
                <w:highlight w:val="none"/>
              </w:rPr>
              <w:t>表4-1</w:t>
            </w:r>
            <w:r>
              <w:rPr>
                <w:rFonts w:hint="eastAsia"/>
                <w:b/>
                <w:color w:val="auto"/>
                <w:sz w:val="24"/>
                <w:szCs w:val="22"/>
                <w:highlight w:val="none"/>
              </w:rPr>
              <w:t>5</w:t>
            </w:r>
            <w:r>
              <w:rPr>
                <w:b/>
                <w:color w:val="auto"/>
                <w:sz w:val="24"/>
                <w:szCs w:val="22"/>
                <w:highlight w:val="none"/>
              </w:rPr>
              <w:t xml:space="preserve">  废水污染物排放执行标准表</w:t>
            </w:r>
          </w:p>
          <w:tbl>
            <w:tblPr>
              <w:tblStyle w:val="3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09"/>
              <w:gridCol w:w="1303"/>
              <w:gridCol w:w="1498"/>
              <w:gridCol w:w="2160"/>
              <w:gridCol w:w="24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753" w:type="pct"/>
                  <w:vMerge w:val="restart"/>
                  <w:vAlign w:val="center"/>
                </w:tcPr>
                <w:p>
                  <w:pPr>
                    <w:jc w:val="center"/>
                    <w:rPr>
                      <w:b/>
                      <w:color w:val="auto"/>
                      <w:szCs w:val="21"/>
                      <w:highlight w:val="none"/>
                    </w:rPr>
                  </w:pPr>
                  <w:r>
                    <w:rPr>
                      <w:b/>
                      <w:color w:val="auto"/>
                      <w:szCs w:val="21"/>
                      <w:highlight w:val="none"/>
                    </w:rPr>
                    <w:t>序号</w:t>
                  </w:r>
                </w:p>
              </w:tc>
              <w:tc>
                <w:tcPr>
                  <w:tcW w:w="750" w:type="pct"/>
                  <w:vMerge w:val="restart"/>
                  <w:vAlign w:val="center"/>
                </w:tcPr>
                <w:p>
                  <w:pPr>
                    <w:jc w:val="center"/>
                    <w:rPr>
                      <w:b/>
                      <w:color w:val="auto"/>
                      <w:szCs w:val="21"/>
                      <w:highlight w:val="none"/>
                    </w:rPr>
                  </w:pPr>
                  <w:r>
                    <w:rPr>
                      <w:b/>
                      <w:color w:val="auto"/>
                      <w:szCs w:val="21"/>
                      <w:highlight w:val="none"/>
                    </w:rPr>
                    <w:t>排放口编号</w:t>
                  </w:r>
                </w:p>
              </w:tc>
              <w:tc>
                <w:tcPr>
                  <w:tcW w:w="862" w:type="pct"/>
                  <w:vMerge w:val="restart"/>
                  <w:vAlign w:val="center"/>
                </w:tcPr>
                <w:p>
                  <w:pPr>
                    <w:jc w:val="center"/>
                    <w:rPr>
                      <w:b/>
                      <w:color w:val="auto"/>
                      <w:szCs w:val="21"/>
                      <w:highlight w:val="none"/>
                    </w:rPr>
                  </w:pPr>
                  <w:r>
                    <w:rPr>
                      <w:b/>
                      <w:color w:val="auto"/>
                      <w:szCs w:val="21"/>
                      <w:highlight w:val="none"/>
                    </w:rPr>
                    <w:t>污染物种类</w:t>
                  </w:r>
                </w:p>
              </w:tc>
              <w:tc>
                <w:tcPr>
                  <w:tcW w:w="2636" w:type="pct"/>
                  <w:gridSpan w:val="2"/>
                  <w:vAlign w:val="center"/>
                </w:tcPr>
                <w:p>
                  <w:pPr>
                    <w:jc w:val="center"/>
                    <w:rPr>
                      <w:b/>
                      <w:color w:val="auto"/>
                      <w:szCs w:val="21"/>
                      <w:highlight w:val="none"/>
                    </w:rPr>
                  </w:pPr>
                  <w:r>
                    <w:rPr>
                      <w:b/>
                      <w:color w:val="auto"/>
                      <w:szCs w:val="21"/>
                      <w:highlight w:val="none"/>
                    </w:rPr>
                    <w:t>国家或地方污染物排放标准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3" w:type="pct"/>
                  <w:vMerge w:val="continue"/>
                  <w:vAlign w:val="center"/>
                </w:tcPr>
                <w:p>
                  <w:pPr>
                    <w:jc w:val="center"/>
                    <w:rPr>
                      <w:b/>
                      <w:color w:val="auto"/>
                      <w:szCs w:val="21"/>
                      <w:highlight w:val="none"/>
                    </w:rPr>
                  </w:pPr>
                </w:p>
              </w:tc>
              <w:tc>
                <w:tcPr>
                  <w:tcW w:w="750" w:type="pct"/>
                  <w:vMerge w:val="continue"/>
                  <w:vAlign w:val="center"/>
                </w:tcPr>
                <w:p>
                  <w:pPr>
                    <w:jc w:val="center"/>
                    <w:rPr>
                      <w:b/>
                      <w:color w:val="auto"/>
                      <w:szCs w:val="21"/>
                      <w:highlight w:val="none"/>
                    </w:rPr>
                  </w:pPr>
                </w:p>
              </w:tc>
              <w:tc>
                <w:tcPr>
                  <w:tcW w:w="862" w:type="pct"/>
                  <w:vMerge w:val="continue"/>
                  <w:vAlign w:val="center"/>
                </w:tcPr>
                <w:p>
                  <w:pPr>
                    <w:jc w:val="center"/>
                    <w:rPr>
                      <w:b/>
                      <w:color w:val="auto"/>
                      <w:szCs w:val="21"/>
                      <w:highlight w:val="none"/>
                    </w:rPr>
                  </w:pPr>
                </w:p>
              </w:tc>
              <w:tc>
                <w:tcPr>
                  <w:tcW w:w="1243" w:type="pct"/>
                  <w:vAlign w:val="center"/>
                </w:tcPr>
                <w:p>
                  <w:pPr>
                    <w:jc w:val="center"/>
                    <w:rPr>
                      <w:b/>
                      <w:color w:val="auto"/>
                      <w:szCs w:val="21"/>
                      <w:highlight w:val="none"/>
                    </w:rPr>
                  </w:pPr>
                  <w:r>
                    <w:rPr>
                      <w:b/>
                      <w:color w:val="auto"/>
                      <w:szCs w:val="21"/>
                      <w:highlight w:val="none"/>
                    </w:rPr>
                    <w:t>名称</w:t>
                  </w:r>
                </w:p>
              </w:tc>
              <w:tc>
                <w:tcPr>
                  <w:tcW w:w="1393" w:type="pct"/>
                  <w:vAlign w:val="center"/>
                </w:tcPr>
                <w:p>
                  <w:pPr>
                    <w:jc w:val="center"/>
                    <w:rPr>
                      <w:b/>
                      <w:color w:val="auto"/>
                      <w:szCs w:val="21"/>
                      <w:highlight w:val="none"/>
                    </w:rPr>
                  </w:pPr>
                  <w:r>
                    <w:rPr>
                      <w:b/>
                      <w:color w:val="auto"/>
                      <w:szCs w:val="21"/>
                      <w:highlight w:val="none"/>
                    </w:rPr>
                    <w:t>浓度限值mg/L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753" w:type="pct"/>
                  <w:vMerge w:val="restart"/>
                  <w:vAlign w:val="center"/>
                </w:tcPr>
                <w:p>
                  <w:pPr>
                    <w:jc w:val="center"/>
                    <w:rPr>
                      <w:color w:val="auto"/>
                      <w:szCs w:val="21"/>
                      <w:highlight w:val="none"/>
                    </w:rPr>
                  </w:pPr>
                  <w:r>
                    <w:rPr>
                      <w:color w:val="auto"/>
                      <w:szCs w:val="21"/>
                      <w:highlight w:val="none"/>
                    </w:rPr>
                    <w:t>1</w:t>
                  </w:r>
                </w:p>
              </w:tc>
              <w:tc>
                <w:tcPr>
                  <w:tcW w:w="750" w:type="pct"/>
                  <w:vMerge w:val="restart"/>
                  <w:vAlign w:val="center"/>
                </w:tcPr>
                <w:p>
                  <w:pPr>
                    <w:jc w:val="center"/>
                    <w:rPr>
                      <w:color w:val="auto"/>
                      <w:szCs w:val="21"/>
                      <w:highlight w:val="none"/>
                    </w:rPr>
                  </w:pPr>
                  <w:r>
                    <w:rPr>
                      <w:color w:val="auto"/>
                      <w:szCs w:val="21"/>
                      <w:highlight w:val="none"/>
                    </w:rPr>
                    <w:t>DW001</w:t>
                  </w:r>
                </w:p>
              </w:tc>
              <w:tc>
                <w:tcPr>
                  <w:tcW w:w="862" w:type="pct"/>
                  <w:vAlign w:val="center"/>
                </w:tcPr>
                <w:p>
                  <w:pPr>
                    <w:widowControl/>
                    <w:jc w:val="center"/>
                    <w:rPr>
                      <w:color w:val="auto"/>
                      <w:kern w:val="0"/>
                      <w:sz w:val="24"/>
                      <w:highlight w:val="none"/>
                    </w:rPr>
                  </w:pPr>
                  <w:r>
                    <w:rPr>
                      <w:color w:val="auto"/>
                      <w:kern w:val="0"/>
                      <w:sz w:val="22"/>
                      <w:szCs w:val="22"/>
                      <w:highlight w:val="none"/>
                    </w:rPr>
                    <w:t>pH</w:t>
                  </w:r>
                </w:p>
              </w:tc>
              <w:tc>
                <w:tcPr>
                  <w:tcW w:w="1243" w:type="pct"/>
                  <w:vMerge w:val="restart"/>
                  <w:vAlign w:val="center"/>
                </w:tcPr>
                <w:p>
                  <w:pPr>
                    <w:jc w:val="center"/>
                    <w:rPr>
                      <w:color w:val="auto"/>
                      <w:szCs w:val="21"/>
                      <w:highlight w:val="none"/>
                    </w:rPr>
                  </w:pPr>
                  <w:r>
                    <w:rPr>
                      <w:color w:val="auto"/>
                      <w:szCs w:val="21"/>
                      <w:highlight w:val="none"/>
                    </w:rPr>
                    <w:t>江宁经济技术</w:t>
                  </w:r>
                  <w:r>
                    <w:rPr>
                      <w:color w:val="auto"/>
                      <w:kern w:val="0"/>
                      <w:szCs w:val="21"/>
                      <w:highlight w:val="none"/>
                    </w:rPr>
                    <w:t>开发区污水处理厂</w:t>
                  </w:r>
                </w:p>
              </w:tc>
              <w:tc>
                <w:tcPr>
                  <w:tcW w:w="1393" w:type="pct"/>
                  <w:vAlign w:val="center"/>
                </w:tcPr>
                <w:p>
                  <w:pPr>
                    <w:widowControl/>
                    <w:jc w:val="center"/>
                    <w:rPr>
                      <w:color w:val="auto"/>
                      <w:kern w:val="0"/>
                      <w:sz w:val="24"/>
                      <w:highlight w:val="none"/>
                    </w:rPr>
                  </w:pPr>
                  <w:r>
                    <w:rPr>
                      <w:color w:val="auto"/>
                      <w:kern w:val="0"/>
                      <w:sz w:val="22"/>
                      <w:szCs w:val="22"/>
                      <w:highlight w:val="none"/>
                    </w:rPr>
                    <w:t>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3" w:type="pct"/>
                  <w:vMerge w:val="continue"/>
                  <w:vAlign w:val="center"/>
                </w:tcPr>
                <w:p>
                  <w:pPr>
                    <w:jc w:val="center"/>
                    <w:rPr>
                      <w:color w:val="auto"/>
                      <w:szCs w:val="21"/>
                      <w:highlight w:val="none"/>
                    </w:rPr>
                  </w:pPr>
                </w:p>
              </w:tc>
              <w:tc>
                <w:tcPr>
                  <w:tcW w:w="750" w:type="pct"/>
                  <w:vMerge w:val="continue"/>
                  <w:vAlign w:val="center"/>
                </w:tcPr>
                <w:p>
                  <w:pPr>
                    <w:jc w:val="center"/>
                    <w:rPr>
                      <w:color w:val="auto"/>
                      <w:szCs w:val="21"/>
                      <w:highlight w:val="none"/>
                    </w:rPr>
                  </w:pPr>
                </w:p>
              </w:tc>
              <w:tc>
                <w:tcPr>
                  <w:tcW w:w="862" w:type="pct"/>
                  <w:vAlign w:val="center"/>
                </w:tcPr>
                <w:p>
                  <w:pPr>
                    <w:widowControl/>
                    <w:jc w:val="center"/>
                    <w:rPr>
                      <w:color w:val="auto"/>
                      <w:kern w:val="0"/>
                      <w:sz w:val="24"/>
                      <w:highlight w:val="none"/>
                    </w:rPr>
                  </w:pPr>
                  <w:r>
                    <w:rPr>
                      <w:color w:val="auto"/>
                      <w:kern w:val="0"/>
                      <w:sz w:val="22"/>
                      <w:szCs w:val="22"/>
                      <w:highlight w:val="none"/>
                    </w:rPr>
                    <w:t>COD</w:t>
                  </w:r>
                </w:p>
              </w:tc>
              <w:tc>
                <w:tcPr>
                  <w:tcW w:w="1243" w:type="pct"/>
                  <w:vMerge w:val="continue"/>
                  <w:vAlign w:val="center"/>
                </w:tcPr>
                <w:p>
                  <w:pPr>
                    <w:jc w:val="center"/>
                    <w:rPr>
                      <w:color w:val="auto"/>
                      <w:szCs w:val="21"/>
                      <w:highlight w:val="none"/>
                    </w:rPr>
                  </w:pPr>
                </w:p>
              </w:tc>
              <w:tc>
                <w:tcPr>
                  <w:tcW w:w="1393" w:type="pct"/>
                  <w:vAlign w:val="center"/>
                </w:tcPr>
                <w:p>
                  <w:pPr>
                    <w:widowControl/>
                    <w:jc w:val="center"/>
                    <w:rPr>
                      <w:color w:val="auto"/>
                      <w:kern w:val="0"/>
                      <w:sz w:val="24"/>
                      <w:highlight w:val="none"/>
                    </w:rPr>
                  </w:pPr>
                  <w:r>
                    <w:rPr>
                      <w:color w:val="auto"/>
                      <w:kern w:val="0"/>
                      <w:sz w:val="22"/>
                      <w:szCs w:val="22"/>
                      <w:highlight w:val="none"/>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0" w:hRule="atLeast"/>
                <w:jc w:val="center"/>
              </w:trPr>
              <w:tc>
                <w:tcPr>
                  <w:tcW w:w="753" w:type="pct"/>
                  <w:vMerge w:val="continue"/>
                  <w:vAlign w:val="center"/>
                </w:tcPr>
                <w:p>
                  <w:pPr>
                    <w:jc w:val="center"/>
                    <w:rPr>
                      <w:color w:val="auto"/>
                      <w:szCs w:val="21"/>
                      <w:highlight w:val="none"/>
                    </w:rPr>
                  </w:pPr>
                </w:p>
              </w:tc>
              <w:tc>
                <w:tcPr>
                  <w:tcW w:w="750" w:type="pct"/>
                  <w:vMerge w:val="continue"/>
                  <w:vAlign w:val="center"/>
                </w:tcPr>
                <w:p>
                  <w:pPr>
                    <w:jc w:val="center"/>
                    <w:rPr>
                      <w:color w:val="auto"/>
                      <w:szCs w:val="21"/>
                      <w:highlight w:val="none"/>
                    </w:rPr>
                  </w:pPr>
                </w:p>
              </w:tc>
              <w:tc>
                <w:tcPr>
                  <w:tcW w:w="862" w:type="pct"/>
                  <w:vAlign w:val="center"/>
                </w:tcPr>
                <w:p>
                  <w:pPr>
                    <w:widowControl/>
                    <w:jc w:val="center"/>
                    <w:rPr>
                      <w:color w:val="auto"/>
                      <w:kern w:val="0"/>
                      <w:sz w:val="24"/>
                      <w:highlight w:val="none"/>
                    </w:rPr>
                  </w:pPr>
                  <w:r>
                    <w:rPr>
                      <w:color w:val="auto"/>
                      <w:kern w:val="0"/>
                      <w:sz w:val="22"/>
                      <w:szCs w:val="22"/>
                      <w:highlight w:val="none"/>
                    </w:rPr>
                    <w:t>SS</w:t>
                  </w:r>
                </w:p>
              </w:tc>
              <w:tc>
                <w:tcPr>
                  <w:tcW w:w="1243" w:type="pct"/>
                  <w:vMerge w:val="continue"/>
                  <w:vAlign w:val="center"/>
                </w:tcPr>
                <w:p>
                  <w:pPr>
                    <w:jc w:val="center"/>
                    <w:rPr>
                      <w:color w:val="auto"/>
                      <w:szCs w:val="21"/>
                      <w:highlight w:val="none"/>
                    </w:rPr>
                  </w:pPr>
                </w:p>
              </w:tc>
              <w:tc>
                <w:tcPr>
                  <w:tcW w:w="1393" w:type="pct"/>
                  <w:vAlign w:val="center"/>
                </w:tcPr>
                <w:p>
                  <w:pPr>
                    <w:widowControl/>
                    <w:jc w:val="center"/>
                    <w:rPr>
                      <w:color w:val="auto"/>
                      <w:kern w:val="0"/>
                      <w:sz w:val="24"/>
                      <w:highlight w:val="none"/>
                    </w:rPr>
                  </w:pPr>
                  <w:r>
                    <w:rPr>
                      <w:color w:val="auto"/>
                      <w:kern w:val="0"/>
                      <w:sz w:val="22"/>
                      <w:szCs w:val="22"/>
                      <w:highlight w:val="none"/>
                    </w:rPr>
                    <w:t>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3" w:hRule="atLeast"/>
                <w:jc w:val="center"/>
              </w:trPr>
              <w:tc>
                <w:tcPr>
                  <w:tcW w:w="753" w:type="pct"/>
                  <w:vMerge w:val="continue"/>
                  <w:vAlign w:val="center"/>
                </w:tcPr>
                <w:p>
                  <w:pPr>
                    <w:jc w:val="center"/>
                    <w:rPr>
                      <w:color w:val="auto"/>
                      <w:szCs w:val="21"/>
                      <w:highlight w:val="none"/>
                    </w:rPr>
                  </w:pPr>
                </w:p>
              </w:tc>
              <w:tc>
                <w:tcPr>
                  <w:tcW w:w="750" w:type="pct"/>
                  <w:vMerge w:val="continue"/>
                  <w:vAlign w:val="center"/>
                </w:tcPr>
                <w:p>
                  <w:pPr>
                    <w:jc w:val="center"/>
                    <w:rPr>
                      <w:color w:val="auto"/>
                      <w:szCs w:val="21"/>
                      <w:highlight w:val="none"/>
                    </w:rPr>
                  </w:pPr>
                </w:p>
              </w:tc>
              <w:tc>
                <w:tcPr>
                  <w:tcW w:w="862" w:type="pct"/>
                  <w:vAlign w:val="center"/>
                </w:tcPr>
                <w:p>
                  <w:pPr>
                    <w:jc w:val="center"/>
                    <w:rPr>
                      <w:color w:val="auto"/>
                      <w:kern w:val="0"/>
                      <w:sz w:val="22"/>
                      <w:szCs w:val="22"/>
                      <w:highlight w:val="none"/>
                    </w:rPr>
                  </w:pPr>
                  <w:r>
                    <w:rPr>
                      <w:color w:val="auto"/>
                      <w:kern w:val="0"/>
                      <w:sz w:val="22"/>
                      <w:szCs w:val="22"/>
                      <w:highlight w:val="none"/>
                    </w:rPr>
                    <w:t>氨氮</w:t>
                  </w:r>
                </w:p>
              </w:tc>
              <w:tc>
                <w:tcPr>
                  <w:tcW w:w="1243" w:type="pct"/>
                  <w:vMerge w:val="continue"/>
                  <w:vAlign w:val="center"/>
                </w:tcPr>
                <w:p>
                  <w:pPr>
                    <w:jc w:val="center"/>
                    <w:rPr>
                      <w:color w:val="auto"/>
                      <w:szCs w:val="21"/>
                      <w:highlight w:val="none"/>
                    </w:rPr>
                  </w:pPr>
                </w:p>
              </w:tc>
              <w:tc>
                <w:tcPr>
                  <w:tcW w:w="1393" w:type="pct"/>
                  <w:vAlign w:val="center"/>
                </w:tcPr>
                <w:p>
                  <w:pPr>
                    <w:jc w:val="center"/>
                    <w:rPr>
                      <w:color w:val="auto"/>
                      <w:kern w:val="0"/>
                      <w:sz w:val="22"/>
                      <w:szCs w:val="22"/>
                      <w:highlight w:val="none"/>
                    </w:rPr>
                  </w:pPr>
                  <w:r>
                    <w:rPr>
                      <w:color w:val="auto"/>
                      <w:kern w:val="0"/>
                      <w:sz w:val="22"/>
                      <w:szCs w:val="22"/>
                      <w:highlight w:val="none"/>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44" w:hRule="atLeast"/>
                <w:jc w:val="center"/>
              </w:trPr>
              <w:tc>
                <w:tcPr>
                  <w:tcW w:w="753" w:type="pct"/>
                  <w:vMerge w:val="continue"/>
                  <w:vAlign w:val="center"/>
                </w:tcPr>
                <w:p>
                  <w:pPr>
                    <w:jc w:val="center"/>
                    <w:rPr>
                      <w:color w:val="auto"/>
                      <w:szCs w:val="21"/>
                      <w:highlight w:val="none"/>
                    </w:rPr>
                  </w:pPr>
                </w:p>
              </w:tc>
              <w:tc>
                <w:tcPr>
                  <w:tcW w:w="750" w:type="pct"/>
                  <w:vMerge w:val="continue"/>
                  <w:vAlign w:val="center"/>
                </w:tcPr>
                <w:p>
                  <w:pPr>
                    <w:jc w:val="center"/>
                    <w:rPr>
                      <w:color w:val="auto"/>
                      <w:szCs w:val="21"/>
                      <w:highlight w:val="none"/>
                    </w:rPr>
                  </w:pPr>
                </w:p>
              </w:tc>
              <w:tc>
                <w:tcPr>
                  <w:tcW w:w="862" w:type="pct"/>
                  <w:vAlign w:val="center"/>
                </w:tcPr>
                <w:p>
                  <w:pPr>
                    <w:jc w:val="center"/>
                    <w:rPr>
                      <w:color w:val="auto"/>
                      <w:kern w:val="0"/>
                      <w:sz w:val="22"/>
                      <w:szCs w:val="22"/>
                      <w:highlight w:val="none"/>
                    </w:rPr>
                  </w:pPr>
                  <w:r>
                    <w:rPr>
                      <w:color w:val="auto"/>
                      <w:kern w:val="0"/>
                      <w:sz w:val="22"/>
                      <w:szCs w:val="22"/>
                      <w:highlight w:val="none"/>
                    </w:rPr>
                    <w:t>总磷</w:t>
                  </w:r>
                </w:p>
              </w:tc>
              <w:tc>
                <w:tcPr>
                  <w:tcW w:w="1243" w:type="pct"/>
                  <w:vMerge w:val="continue"/>
                  <w:vAlign w:val="center"/>
                </w:tcPr>
                <w:p>
                  <w:pPr>
                    <w:jc w:val="center"/>
                    <w:rPr>
                      <w:color w:val="auto"/>
                      <w:szCs w:val="21"/>
                      <w:highlight w:val="none"/>
                    </w:rPr>
                  </w:pPr>
                </w:p>
              </w:tc>
              <w:tc>
                <w:tcPr>
                  <w:tcW w:w="1393" w:type="pct"/>
                  <w:vAlign w:val="center"/>
                </w:tcPr>
                <w:p>
                  <w:pPr>
                    <w:widowControl/>
                    <w:jc w:val="center"/>
                    <w:rPr>
                      <w:color w:val="auto"/>
                      <w:kern w:val="0"/>
                      <w:sz w:val="22"/>
                      <w:szCs w:val="22"/>
                      <w:highlight w:val="none"/>
                    </w:rPr>
                  </w:pPr>
                  <w:r>
                    <w:rPr>
                      <w:color w:val="auto"/>
                      <w:kern w:val="0"/>
                      <w:sz w:val="22"/>
                      <w:szCs w:val="22"/>
                      <w:highlight w:val="none"/>
                    </w:rPr>
                    <w:t>8</w:t>
                  </w:r>
                </w:p>
              </w:tc>
            </w:tr>
          </w:tbl>
          <w:p>
            <w:pPr>
              <w:widowControl/>
              <w:spacing w:beforeLines="50" w:line="360" w:lineRule="auto"/>
              <w:jc w:val="center"/>
              <w:rPr>
                <w:b/>
                <w:color w:val="auto"/>
                <w:kern w:val="0"/>
                <w:sz w:val="24"/>
                <w:highlight w:val="none"/>
              </w:rPr>
            </w:pPr>
            <w:r>
              <w:rPr>
                <w:b/>
                <w:color w:val="auto"/>
                <w:kern w:val="0"/>
                <w:sz w:val="24"/>
                <w:highlight w:val="none"/>
              </w:rPr>
              <w:t>表4-1</w:t>
            </w:r>
            <w:r>
              <w:rPr>
                <w:rFonts w:hint="eastAsia"/>
                <w:b/>
                <w:color w:val="auto"/>
                <w:kern w:val="0"/>
                <w:sz w:val="24"/>
                <w:highlight w:val="none"/>
              </w:rPr>
              <w:t>6</w:t>
            </w:r>
            <w:r>
              <w:rPr>
                <w:b/>
                <w:color w:val="auto"/>
                <w:kern w:val="0"/>
                <w:sz w:val="24"/>
                <w:highlight w:val="none"/>
              </w:rPr>
              <w:t xml:space="preserve">  废水间接排放口基本情况</w:t>
            </w:r>
          </w:p>
          <w:tbl>
            <w:tblPr>
              <w:tblStyle w:val="3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0"/>
              <w:gridCol w:w="898"/>
              <w:gridCol w:w="1231"/>
              <w:gridCol w:w="1135"/>
              <w:gridCol w:w="800"/>
              <w:gridCol w:w="435"/>
              <w:gridCol w:w="539"/>
              <w:gridCol w:w="669"/>
              <w:gridCol w:w="767"/>
              <w:gridCol w:w="864"/>
              <w:gridCol w:w="9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248" w:type="pct"/>
                  <w:vMerge w:val="restart"/>
                  <w:tcBorders>
                    <w:bottom w:val="single" w:color="auto" w:sz="4" w:space="0"/>
                  </w:tcBorders>
                  <w:vAlign w:val="center"/>
                </w:tcPr>
                <w:p>
                  <w:pPr>
                    <w:jc w:val="center"/>
                    <w:rPr>
                      <w:color w:val="auto"/>
                      <w:szCs w:val="21"/>
                      <w:highlight w:val="none"/>
                    </w:rPr>
                  </w:pPr>
                  <w:r>
                    <w:rPr>
                      <w:color w:val="auto"/>
                      <w:szCs w:val="21"/>
                      <w:highlight w:val="none"/>
                    </w:rPr>
                    <w:t>序号</w:t>
                  </w:r>
                </w:p>
              </w:tc>
              <w:tc>
                <w:tcPr>
                  <w:tcW w:w="517" w:type="pct"/>
                  <w:vMerge w:val="restart"/>
                  <w:tcBorders>
                    <w:bottom w:val="single" w:color="auto" w:sz="4" w:space="0"/>
                  </w:tcBorders>
                  <w:vAlign w:val="center"/>
                </w:tcPr>
                <w:p>
                  <w:pPr>
                    <w:jc w:val="center"/>
                    <w:rPr>
                      <w:color w:val="auto"/>
                      <w:szCs w:val="21"/>
                      <w:highlight w:val="none"/>
                    </w:rPr>
                  </w:pPr>
                  <w:r>
                    <w:rPr>
                      <w:color w:val="auto"/>
                      <w:szCs w:val="21"/>
                      <w:highlight w:val="none"/>
                    </w:rPr>
                    <w:t>排放口编号</w:t>
                  </w:r>
                </w:p>
              </w:tc>
              <w:tc>
                <w:tcPr>
                  <w:tcW w:w="1361" w:type="pct"/>
                  <w:gridSpan w:val="2"/>
                  <w:tcBorders>
                    <w:bottom w:val="single" w:color="auto" w:sz="4" w:space="0"/>
                  </w:tcBorders>
                  <w:vAlign w:val="center"/>
                </w:tcPr>
                <w:p>
                  <w:pPr>
                    <w:jc w:val="center"/>
                    <w:rPr>
                      <w:color w:val="auto"/>
                      <w:szCs w:val="21"/>
                      <w:highlight w:val="none"/>
                    </w:rPr>
                  </w:pPr>
                  <w:r>
                    <w:rPr>
                      <w:color w:val="auto"/>
                      <w:szCs w:val="21"/>
                      <w:highlight w:val="none"/>
                    </w:rPr>
                    <w:t>排放口地理坐标</w:t>
                  </w:r>
                </w:p>
              </w:tc>
              <w:tc>
                <w:tcPr>
                  <w:tcW w:w="460" w:type="pct"/>
                  <w:vMerge w:val="restart"/>
                  <w:tcBorders>
                    <w:bottom w:val="single" w:color="auto" w:sz="4" w:space="0"/>
                  </w:tcBorders>
                  <w:vAlign w:val="center"/>
                </w:tcPr>
                <w:p>
                  <w:pPr>
                    <w:jc w:val="center"/>
                    <w:rPr>
                      <w:color w:val="auto"/>
                      <w:szCs w:val="21"/>
                      <w:highlight w:val="none"/>
                    </w:rPr>
                  </w:pPr>
                  <w:r>
                    <w:rPr>
                      <w:color w:val="auto"/>
                      <w:szCs w:val="21"/>
                      <w:highlight w:val="none"/>
                    </w:rPr>
                    <w:t>废水排放量</w:t>
                  </w:r>
                </w:p>
                <w:p>
                  <w:pPr>
                    <w:jc w:val="center"/>
                    <w:rPr>
                      <w:color w:val="auto"/>
                      <w:szCs w:val="21"/>
                      <w:highlight w:val="none"/>
                    </w:rPr>
                  </w:pPr>
                  <w:r>
                    <w:rPr>
                      <w:color w:val="auto"/>
                      <w:szCs w:val="21"/>
                      <w:highlight w:val="none"/>
                    </w:rPr>
                    <w:t>万t/a</w:t>
                  </w:r>
                </w:p>
              </w:tc>
              <w:tc>
                <w:tcPr>
                  <w:tcW w:w="250" w:type="pct"/>
                  <w:vMerge w:val="restart"/>
                  <w:tcBorders>
                    <w:bottom w:val="single" w:color="auto" w:sz="4" w:space="0"/>
                  </w:tcBorders>
                  <w:vAlign w:val="center"/>
                </w:tcPr>
                <w:p>
                  <w:pPr>
                    <w:jc w:val="center"/>
                    <w:rPr>
                      <w:color w:val="auto"/>
                      <w:szCs w:val="21"/>
                      <w:highlight w:val="none"/>
                    </w:rPr>
                  </w:pPr>
                  <w:r>
                    <w:rPr>
                      <w:color w:val="auto"/>
                      <w:szCs w:val="21"/>
                      <w:highlight w:val="none"/>
                    </w:rPr>
                    <w:t>排放去向</w:t>
                  </w:r>
                </w:p>
              </w:tc>
              <w:tc>
                <w:tcPr>
                  <w:tcW w:w="310" w:type="pct"/>
                  <w:vMerge w:val="restart"/>
                  <w:tcBorders>
                    <w:bottom w:val="single" w:color="auto" w:sz="4" w:space="0"/>
                  </w:tcBorders>
                  <w:vAlign w:val="center"/>
                </w:tcPr>
                <w:p>
                  <w:pPr>
                    <w:jc w:val="center"/>
                    <w:rPr>
                      <w:color w:val="auto"/>
                      <w:szCs w:val="21"/>
                      <w:highlight w:val="none"/>
                    </w:rPr>
                  </w:pPr>
                  <w:r>
                    <w:rPr>
                      <w:color w:val="auto"/>
                      <w:szCs w:val="21"/>
                      <w:highlight w:val="none"/>
                    </w:rPr>
                    <w:t>排放规律</w:t>
                  </w:r>
                </w:p>
              </w:tc>
              <w:tc>
                <w:tcPr>
                  <w:tcW w:w="385" w:type="pct"/>
                  <w:vMerge w:val="restart"/>
                  <w:tcBorders>
                    <w:bottom w:val="single" w:color="auto" w:sz="4" w:space="0"/>
                  </w:tcBorders>
                  <w:vAlign w:val="center"/>
                </w:tcPr>
                <w:p>
                  <w:pPr>
                    <w:jc w:val="center"/>
                    <w:rPr>
                      <w:color w:val="auto"/>
                      <w:szCs w:val="21"/>
                      <w:highlight w:val="none"/>
                    </w:rPr>
                  </w:pPr>
                  <w:r>
                    <w:rPr>
                      <w:color w:val="auto"/>
                      <w:szCs w:val="21"/>
                      <w:highlight w:val="none"/>
                    </w:rPr>
                    <w:t>间歇</w:t>
                  </w:r>
                </w:p>
                <w:p>
                  <w:pPr>
                    <w:jc w:val="center"/>
                    <w:rPr>
                      <w:color w:val="auto"/>
                      <w:szCs w:val="21"/>
                      <w:highlight w:val="none"/>
                    </w:rPr>
                  </w:pPr>
                  <w:r>
                    <w:rPr>
                      <w:color w:val="auto"/>
                      <w:szCs w:val="21"/>
                      <w:highlight w:val="none"/>
                    </w:rPr>
                    <w:t>排放</w:t>
                  </w:r>
                </w:p>
                <w:p>
                  <w:pPr>
                    <w:jc w:val="center"/>
                    <w:rPr>
                      <w:color w:val="auto"/>
                      <w:szCs w:val="21"/>
                      <w:highlight w:val="none"/>
                    </w:rPr>
                  </w:pPr>
                  <w:r>
                    <w:rPr>
                      <w:color w:val="auto"/>
                      <w:szCs w:val="21"/>
                      <w:highlight w:val="none"/>
                    </w:rPr>
                    <w:t>时段</w:t>
                  </w:r>
                </w:p>
              </w:tc>
              <w:tc>
                <w:tcPr>
                  <w:tcW w:w="1468" w:type="pct"/>
                  <w:gridSpan w:val="3"/>
                  <w:tcBorders>
                    <w:bottom w:val="single" w:color="auto" w:sz="4" w:space="0"/>
                  </w:tcBorders>
                  <w:vAlign w:val="center"/>
                </w:tcPr>
                <w:p>
                  <w:pPr>
                    <w:jc w:val="center"/>
                    <w:rPr>
                      <w:color w:val="auto"/>
                      <w:szCs w:val="21"/>
                      <w:highlight w:val="none"/>
                    </w:rPr>
                  </w:pPr>
                  <w:r>
                    <w:rPr>
                      <w:color w:val="auto"/>
                      <w:szCs w:val="21"/>
                      <w:highlight w:val="none"/>
                    </w:rPr>
                    <w:t>受纳污水处理厂信息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48" w:type="pct"/>
                  <w:vMerge w:val="continue"/>
                  <w:vAlign w:val="center"/>
                </w:tcPr>
                <w:p>
                  <w:pPr>
                    <w:jc w:val="center"/>
                    <w:rPr>
                      <w:color w:val="auto"/>
                      <w:szCs w:val="21"/>
                      <w:highlight w:val="none"/>
                    </w:rPr>
                  </w:pPr>
                </w:p>
              </w:tc>
              <w:tc>
                <w:tcPr>
                  <w:tcW w:w="517" w:type="pct"/>
                  <w:vMerge w:val="continue"/>
                  <w:vAlign w:val="center"/>
                </w:tcPr>
                <w:p>
                  <w:pPr>
                    <w:jc w:val="center"/>
                    <w:rPr>
                      <w:color w:val="auto"/>
                      <w:szCs w:val="21"/>
                      <w:highlight w:val="none"/>
                    </w:rPr>
                  </w:pPr>
                </w:p>
              </w:tc>
              <w:tc>
                <w:tcPr>
                  <w:tcW w:w="708" w:type="pct"/>
                  <w:vAlign w:val="center"/>
                </w:tcPr>
                <w:p>
                  <w:pPr>
                    <w:jc w:val="center"/>
                    <w:rPr>
                      <w:color w:val="auto"/>
                      <w:szCs w:val="21"/>
                      <w:highlight w:val="none"/>
                    </w:rPr>
                  </w:pPr>
                  <w:r>
                    <w:rPr>
                      <w:color w:val="auto"/>
                      <w:szCs w:val="21"/>
                      <w:highlight w:val="none"/>
                    </w:rPr>
                    <w:t>经度</w:t>
                  </w:r>
                </w:p>
              </w:tc>
              <w:tc>
                <w:tcPr>
                  <w:tcW w:w="653" w:type="pct"/>
                  <w:vAlign w:val="center"/>
                </w:tcPr>
                <w:p>
                  <w:pPr>
                    <w:jc w:val="center"/>
                    <w:rPr>
                      <w:color w:val="auto"/>
                      <w:szCs w:val="21"/>
                      <w:highlight w:val="none"/>
                    </w:rPr>
                  </w:pPr>
                  <w:r>
                    <w:rPr>
                      <w:color w:val="auto"/>
                      <w:szCs w:val="21"/>
                      <w:highlight w:val="none"/>
                    </w:rPr>
                    <w:t>纬度</w:t>
                  </w:r>
                </w:p>
              </w:tc>
              <w:tc>
                <w:tcPr>
                  <w:tcW w:w="460" w:type="pct"/>
                  <w:vMerge w:val="continue"/>
                  <w:vAlign w:val="center"/>
                </w:tcPr>
                <w:p>
                  <w:pPr>
                    <w:jc w:val="center"/>
                    <w:rPr>
                      <w:color w:val="auto"/>
                      <w:szCs w:val="21"/>
                      <w:highlight w:val="none"/>
                    </w:rPr>
                  </w:pPr>
                </w:p>
              </w:tc>
              <w:tc>
                <w:tcPr>
                  <w:tcW w:w="250" w:type="pct"/>
                  <w:vMerge w:val="continue"/>
                  <w:vAlign w:val="center"/>
                </w:tcPr>
                <w:p>
                  <w:pPr>
                    <w:jc w:val="center"/>
                    <w:rPr>
                      <w:color w:val="auto"/>
                      <w:szCs w:val="21"/>
                      <w:highlight w:val="none"/>
                    </w:rPr>
                  </w:pPr>
                </w:p>
              </w:tc>
              <w:tc>
                <w:tcPr>
                  <w:tcW w:w="310" w:type="pct"/>
                  <w:vMerge w:val="continue"/>
                  <w:vAlign w:val="center"/>
                </w:tcPr>
                <w:p>
                  <w:pPr>
                    <w:jc w:val="center"/>
                    <w:rPr>
                      <w:color w:val="auto"/>
                      <w:szCs w:val="21"/>
                      <w:highlight w:val="none"/>
                    </w:rPr>
                  </w:pPr>
                </w:p>
              </w:tc>
              <w:tc>
                <w:tcPr>
                  <w:tcW w:w="385" w:type="pct"/>
                  <w:vMerge w:val="continue"/>
                  <w:vAlign w:val="center"/>
                </w:tcPr>
                <w:p>
                  <w:pPr>
                    <w:jc w:val="center"/>
                    <w:rPr>
                      <w:color w:val="auto"/>
                      <w:szCs w:val="21"/>
                      <w:highlight w:val="none"/>
                    </w:rPr>
                  </w:pPr>
                </w:p>
              </w:tc>
              <w:tc>
                <w:tcPr>
                  <w:tcW w:w="441" w:type="pct"/>
                  <w:vAlign w:val="center"/>
                </w:tcPr>
                <w:p>
                  <w:pPr>
                    <w:jc w:val="center"/>
                    <w:rPr>
                      <w:color w:val="auto"/>
                      <w:szCs w:val="21"/>
                      <w:highlight w:val="none"/>
                    </w:rPr>
                  </w:pPr>
                  <w:r>
                    <w:rPr>
                      <w:color w:val="auto"/>
                      <w:szCs w:val="21"/>
                      <w:highlight w:val="none"/>
                    </w:rPr>
                    <w:t>名称</w:t>
                  </w:r>
                </w:p>
              </w:tc>
              <w:tc>
                <w:tcPr>
                  <w:tcW w:w="497" w:type="pct"/>
                  <w:vAlign w:val="center"/>
                </w:tcPr>
                <w:p>
                  <w:pPr>
                    <w:jc w:val="center"/>
                    <w:rPr>
                      <w:color w:val="auto"/>
                      <w:szCs w:val="21"/>
                      <w:highlight w:val="none"/>
                    </w:rPr>
                  </w:pPr>
                  <w:r>
                    <w:rPr>
                      <w:color w:val="auto"/>
                      <w:szCs w:val="21"/>
                      <w:highlight w:val="none"/>
                    </w:rPr>
                    <w:t>污染物种类</w:t>
                  </w:r>
                </w:p>
              </w:tc>
              <w:tc>
                <w:tcPr>
                  <w:tcW w:w="530" w:type="pct"/>
                  <w:vAlign w:val="center"/>
                </w:tcPr>
                <w:p>
                  <w:pPr>
                    <w:jc w:val="center"/>
                    <w:rPr>
                      <w:color w:val="auto"/>
                      <w:szCs w:val="21"/>
                      <w:highlight w:val="none"/>
                    </w:rPr>
                  </w:pPr>
                  <w:r>
                    <w:rPr>
                      <w:color w:val="auto"/>
                      <w:szCs w:val="21"/>
                      <w:highlight w:val="none"/>
                    </w:rPr>
                    <w:t>排放标准浓度</w:t>
                  </w:r>
                </w:p>
                <w:p>
                  <w:pPr>
                    <w:jc w:val="center"/>
                    <w:rPr>
                      <w:color w:val="auto"/>
                      <w:szCs w:val="21"/>
                      <w:highlight w:val="none"/>
                    </w:rPr>
                  </w:pPr>
                  <w:r>
                    <w:rPr>
                      <w:color w:val="auto"/>
                      <w:szCs w:val="21"/>
                      <w:highlight w:val="none"/>
                    </w:rPr>
                    <w:t>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248" w:type="pct"/>
                  <w:vMerge w:val="restart"/>
                  <w:vAlign w:val="center"/>
                </w:tcPr>
                <w:p>
                  <w:pPr>
                    <w:jc w:val="center"/>
                    <w:rPr>
                      <w:color w:val="auto"/>
                      <w:szCs w:val="21"/>
                      <w:highlight w:val="none"/>
                    </w:rPr>
                  </w:pPr>
                  <w:r>
                    <w:rPr>
                      <w:color w:val="auto"/>
                      <w:szCs w:val="21"/>
                      <w:highlight w:val="none"/>
                    </w:rPr>
                    <w:t>1</w:t>
                  </w:r>
                </w:p>
              </w:tc>
              <w:tc>
                <w:tcPr>
                  <w:tcW w:w="517" w:type="pct"/>
                  <w:vMerge w:val="restart"/>
                  <w:vAlign w:val="center"/>
                </w:tcPr>
                <w:p>
                  <w:pPr>
                    <w:ind w:left="-105" w:leftChars="-50" w:right="-105" w:rightChars="-50"/>
                    <w:jc w:val="center"/>
                    <w:rPr>
                      <w:color w:val="auto"/>
                      <w:szCs w:val="21"/>
                      <w:highlight w:val="none"/>
                    </w:rPr>
                  </w:pPr>
                  <w:r>
                    <w:rPr>
                      <w:color w:val="auto"/>
                      <w:szCs w:val="21"/>
                      <w:highlight w:val="none"/>
                    </w:rPr>
                    <w:t>DW001</w:t>
                  </w:r>
                </w:p>
              </w:tc>
              <w:tc>
                <w:tcPr>
                  <w:tcW w:w="708" w:type="pct"/>
                  <w:vMerge w:val="restart"/>
                  <w:vAlign w:val="center"/>
                </w:tcPr>
                <w:p>
                  <w:pPr>
                    <w:ind w:left="-105" w:leftChars="-50" w:right="-105" w:rightChars="-50"/>
                    <w:jc w:val="center"/>
                    <w:rPr>
                      <w:color w:val="auto"/>
                      <w:szCs w:val="21"/>
                      <w:highlight w:val="none"/>
                    </w:rPr>
                  </w:pPr>
                  <w:r>
                    <w:rPr>
                      <w:color w:val="auto"/>
                      <w:szCs w:val="21"/>
                      <w:highlight w:val="none"/>
                    </w:rPr>
                    <w:t>118.783074</w:t>
                  </w:r>
                </w:p>
              </w:tc>
              <w:tc>
                <w:tcPr>
                  <w:tcW w:w="653" w:type="pct"/>
                  <w:vMerge w:val="restart"/>
                  <w:vAlign w:val="center"/>
                </w:tcPr>
                <w:p>
                  <w:pPr>
                    <w:ind w:left="-105" w:leftChars="-50" w:right="-105" w:rightChars="-50"/>
                    <w:jc w:val="center"/>
                    <w:rPr>
                      <w:color w:val="auto"/>
                      <w:szCs w:val="21"/>
                      <w:highlight w:val="none"/>
                    </w:rPr>
                  </w:pPr>
                  <w:r>
                    <w:rPr>
                      <w:color w:val="auto"/>
                      <w:szCs w:val="21"/>
                      <w:highlight w:val="none"/>
                    </w:rPr>
                    <w:t>31.900141</w:t>
                  </w:r>
                </w:p>
              </w:tc>
              <w:tc>
                <w:tcPr>
                  <w:tcW w:w="460" w:type="pct"/>
                  <w:vMerge w:val="restart"/>
                  <w:vAlign w:val="center"/>
                </w:tcPr>
                <w:p>
                  <w:pPr>
                    <w:jc w:val="center"/>
                    <w:rPr>
                      <w:color w:val="auto"/>
                      <w:szCs w:val="21"/>
                      <w:highlight w:val="none"/>
                    </w:rPr>
                  </w:pPr>
                  <w:r>
                    <w:rPr>
                      <w:color w:val="auto"/>
                      <w:szCs w:val="21"/>
                      <w:highlight w:val="none"/>
                    </w:rPr>
                    <w:t>0.12</w:t>
                  </w:r>
                </w:p>
              </w:tc>
              <w:tc>
                <w:tcPr>
                  <w:tcW w:w="250" w:type="pct"/>
                  <w:vMerge w:val="restart"/>
                  <w:vAlign w:val="center"/>
                </w:tcPr>
                <w:p>
                  <w:pPr>
                    <w:jc w:val="center"/>
                    <w:rPr>
                      <w:color w:val="auto"/>
                      <w:szCs w:val="21"/>
                      <w:highlight w:val="none"/>
                    </w:rPr>
                  </w:pPr>
                  <w:r>
                    <w:rPr>
                      <w:color w:val="auto"/>
                      <w:szCs w:val="21"/>
                      <w:highlight w:val="none"/>
                    </w:rPr>
                    <w:t>秦淮新</w:t>
                  </w:r>
                  <w:r>
                    <w:rPr>
                      <w:rFonts w:hint="eastAsia"/>
                      <w:color w:val="auto"/>
                      <w:szCs w:val="21"/>
                      <w:highlight w:val="none"/>
                    </w:rPr>
                    <w:t>河</w:t>
                  </w:r>
                </w:p>
              </w:tc>
              <w:tc>
                <w:tcPr>
                  <w:tcW w:w="310" w:type="pct"/>
                  <w:vMerge w:val="restart"/>
                  <w:vAlign w:val="center"/>
                </w:tcPr>
                <w:p>
                  <w:pPr>
                    <w:jc w:val="center"/>
                    <w:rPr>
                      <w:color w:val="auto"/>
                      <w:szCs w:val="21"/>
                      <w:highlight w:val="none"/>
                    </w:rPr>
                  </w:pPr>
                  <w:r>
                    <w:rPr>
                      <w:color w:val="auto"/>
                      <w:szCs w:val="21"/>
                      <w:highlight w:val="none"/>
                    </w:rPr>
                    <w:t>间歇</w:t>
                  </w:r>
                </w:p>
              </w:tc>
              <w:tc>
                <w:tcPr>
                  <w:tcW w:w="385" w:type="pct"/>
                  <w:vMerge w:val="restart"/>
                  <w:vAlign w:val="center"/>
                </w:tcPr>
                <w:p>
                  <w:pPr>
                    <w:jc w:val="center"/>
                    <w:rPr>
                      <w:color w:val="auto"/>
                      <w:szCs w:val="21"/>
                      <w:highlight w:val="none"/>
                    </w:rPr>
                  </w:pPr>
                  <w:r>
                    <w:rPr>
                      <w:color w:val="auto"/>
                      <w:szCs w:val="21"/>
                      <w:highlight w:val="none"/>
                    </w:rPr>
                    <w:t>工作时间</w:t>
                  </w:r>
                </w:p>
              </w:tc>
              <w:tc>
                <w:tcPr>
                  <w:tcW w:w="441" w:type="pct"/>
                  <w:vMerge w:val="restart"/>
                  <w:vAlign w:val="center"/>
                </w:tcPr>
                <w:p>
                  <w:pPr>
                    <w:jc w:val="center"/>
                    <w:rPr>
                      <w:color w:val="auto"/>
                      <w:szCs w:val="21"/>
                      <w:highlight w:val="none"/>
                    </w:rPr>
                  </w:pPr>
                  <w:r>
                    <w:rPr>
                      <w:color w:val="auto"/>
                      <w:szCs w:val="21"/>
                      <w:highlight w:val="none"/>
                    </w:rPr>
                    <w:t>江宁经济技术</w:t>
                  </w:r>
                  <w:r>
                    <w:rPr>
                      <w:color w:val="auto"/>
                      <w:kern w:val="0"/>
                      <w:szCs w:val="21"/>
                      <w:highlight w:val="none"/>
                    </w:rPr>
                    <w:t>开发区</w:t>
                  </w:r>
                  <w:r>
                    <w:rPr>
                      <w:color w:val="auto"/>
                      <w:szCs w:val="21"/>
                      <w:highlight w:val="none"/>
                    </w:rPr>
                    <w:t>污水处理厂</w:t>
                  </w:r>
                </w:p>
              </w:tc>
              <w:tc>
                <w:tcPr>
                  <w:tcW w:w="497" w:type="pct"/>
                  <w:vAlign w:val="center"/>
                </w:tcPr>
                <w:p>
                  <w:pPr>
                    <w:jc w:val="center"/>
                    <w:rPr>
                      <w:color w:val="auto"/>
                      <w:szCs w:val="21"/>
                      <w:highlight w:val="none"/>
                    </w:rPr>
                  </w:pPr>
                  <w:r>
                    <w:rPr>
                      <w:color w:val="auto"/>
                      <w:szCs w:val="21"/>
                      <w:highlight w:val="none"/>
                    </w:rPr>
                    <w:t>pH</w:t>
                  </w:r>
                </w:p>
              </w:tc>
              <w:tc>
                <w:tcPr>
                  <w:tcW w:w="530" w:type="pct"/>
                  <w:vAlign w:val="center"/>
                </w:tcPr>
                <w:p>
                  <w:pPr>
                    <w:jc w:val="center"/>
                    <w:rPr>
                      <w:color w:val="auto"/>
                      <w:szCs w:val="21"/>
                      <w:highlight w:val="none"/>
                    </w:rPr>
                  </w:pPr>
                  <w:r>
                    <w:rPr>
                      <w:color w:val="auto"/>
                      <w:szCs w:val="21"/>
                      <w:highlight w:val="none"/>
                    </w:rPr>
                    <w:t>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248" w:type="pct"/>
                  <w:vMerge w:val="continue"/>
                  <w:vAlign w:val="center"/>
                </w:tcPr>
                <w:p>
                  <w:pPr>
                    <w:jc w:val="center"/>
                    <w:rPr>
                      <w:color w:val="auto"/>
                      <w:szCs w:val="21"/>
                      <w:highlight w:val="none"/>
                    </w:rPr>
                  </w:pPr>
                </w:p>
              </w:tc>
              <w:tc>
                <w:tcPr>
                  <w:tcW w:w="517" w:type="pct"/>
                  <w:vMerge w:val="continue"/>
                  <w:vAlign w:val="center"/>
                </w:tcPr>
                <w:p>
                  <w:pPr>
                    <w:jc w:val="center"/>
                    <w:rPr>
                      <w:color w:val="auto"/>
                      <w:szCs w:val="21"/>
                      <w:highlight w:val="none"/>
                    </w:rPr>
                  </w:pPr>
                </w:p>
              </w:tc>
              <w:tc>
                <w:tcPr>
                  <w:tcW w:w="708" w:type="pct"/>
                  <w:vMerge w:val="continue"/>
                  <w:vAlign w:val="center"/>
                </w:tcPr>
                <w:p>
                  <w:pPr>
                    <w:jc w:val="center"/>
                    <w:rPr>
                      <w:color w:val="auto"/>
                      <w:szCs w:val="21"/>
                      <w:highlight w:val="none"/>
                    </w:rPr>
                  </w:pPr>
                </w:p>
              </w:tc>
              <w:tc>
                <w:tcPr>
                  <w:tcW w:w="653" w:type="pct"/>
                  <w:vMerge w:val="continue"/>
                  <w:vAlign w:val="center"/>
                </w:tcPr>
                <w:p>
                  <w:pPr>
                    <w:jc w:val="center"/>
                    <w:rPr>
                      <w:color w:val="auto"/>
                      <w:szCs w:val="21"/>
                      <w:highlight w:val="none"/>
                    </w:rPr>
                  </w:pPr>
                </w:p>
              </w:tc>
              <w:tc>
                <w:tcPr>
                  <w:tcW w:w="460" w:type="pct"/>
                  <w:vMerge w:val="continue"/>
                  <w:vAlign w:val="center"/>
                </w:tcPr>
                <w:p>
                  <w:pPr>
                    <w:jc w:val="center"/>
                    <w:rPr>
                      <w:color w:val="auto"/>
                      <w:szCs w:val="21"/>
                      <w:highlight w:val="none"/>
                    </w:rPr>
                  </w:pPr>
                </w:p>
              </w:tc>
              <w:tc>
                <w:tcPr>
                  <w:tcW w:w="250" w:type="pct"/>
                  <w:vMerge w:val="continue"/>
                  <w:vAlign w:val="center"/>
                </w:tcPr>
                <w:p>
                  <w:pPr>
                    <w:jc w:val="center"/>
                    <w:rPr>
                      <w:color w:val="auto"/>
                      <w:szCs w:val="21"/>
                      <w:highlight w:val="none"/>
                    </w:rPr>
                  </w:pPr>
                </w:p>
              </w:tc>
              <w:tc>
                <w:tcPr>
                  <w:tcW w:w="310" w:type="pct"/>
                  <w:vMerge w:val="continue"/>
                  <w:vAlign w:val="center"/>
                </w:tcPr>
                <w:p>
                  <w:pPr>
                    <w:jc w:val="center"/>
                    <w:rPr>
                      <w:color w:val="auto"/>
                      <w:szCs w:val="21"/>
                      <w:highlight w:val="none"/>
                    </w:rPr>
                  </w:pPr>
                </w:p>
              </w:tc>
              <w:tc>
                <w:tcPr>
                  <w:tcW w:w="385" w:type="pct"/>
                  <w:vMerge w:val="continue"/>
                  <w:vAlign w:val="center"/>
                </w:tcPr>
                <w:p>
                  <w:pPr>
                    <w:jc w:val="center"/>
                    <w:rPr>
                      <w:color w:val="auto"/>
                      <w:szCs w:val="21"/>
                      <w:highlight w:val="none"/>
                    </w:rPr>
                  </w:pPr>
                </w:p>
              </w:tc>
              <w:tc>
                <w:tcPr>
                  <w:tcW w:w="441" w:type="pct"/>
                  <w:vMerge w:val="continue"/>
                  <w:vAlign w:val="center"/>
                </w:tcPr>
                <w:p>
                  <w:pPr>
                    <w:jc w:val="center"/>
                    <w:rPr>
                      <w:color w:val="auto"/>
                      <w:szCs w:val="21"/>
                      <w:highlight w:val="none"/>
                    </w:rPr>
                  </w:pPr>
                </w:p>
              </w:tc>
              <w:tc>
                <w:tcPr>
                  <w:tcW w:w="497" w:type="pct"/>
                  <w:vAlign w:val="center"/>
                </w:tcPr>
                <w:p>
                  <w:pPr>
                    <w:jc w:val="center"/>
                    <w:rPr>
                      <w:color w:val="auto"/>
                      <w:szCs w:val="21"/>
                      <w:highlight w:val="none"/>
                    </w:rPr>
                  </w:pPr>
                  <w:r>
                    <w:rPr>
                      <w:color w:val="auto"/>
                      <w:szCs w:val="21"/>
                      <w:highlight w:val="none"/>
                    </w:rPr>
                    <w:t>COD</w:t>
                  </w:r>
                </w:p>
              </w:tc>
              <w:tc>
                <w:tcPr>
                  <w:tcW w:w="530" w:type="pct"/>
                  <w:vAlign w:val="center"/>
                </w:tcPr>
                <w:p>
                  <w:pPr>
                    <w:jc w:val="center"/>
                    <w:rPr>
                      <w:color w:val="auto"/>
                      <w:szCs w:val="21"/>
                      <w:highlight w:val="none"/>
                    </w:rPr>
                  </w:pPr>
                  <w:r>
                    <w:rPr>
                      <w:color w:val="auto"/>
                      <w:szCs w:val="21"/>
                      <w:highlight w:val="none"/>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6" w:hRule="atLeast"/>
              </w:trPr>
              <w:tc>
                <w:tcPr>
                  <w:tcW w:w="248" w:type="pct"/>
                  <w:vMerge w:val="continue"/>
                  <w:vAlign w:val="center"/>
                </w:tcPr>
                <w:p>
                  <w:pPr>
                    <w:jc w:val="center"/>
                    <w:rPr>
                      <w:color w:val="auto"/>
                      <w:szCs w:val="21"/>
                      <w:highlight w:val="none"/>
                    </w:rPr>
                  </w:pPr>
                </w:p>
              </w:tc>
              <w:tc>
                <w:tcPr>
                  <w:tcW w:w="517" w:type="pct"/>
                  <w:vMerge w:val="continue"/>
                  <w:vAlign w:val="center"/>
                </w:tcPr>
                <w:p>
                  <w:pPr>
                    <w:jc w:val="center"/>
                    <w:rPr>
                      <w:color w:val="auto"/>
                      <w:szCs w:val="21"/>
                      <w:highlight w:val="none"/>
                    </w:rPr>
                  </w:pPr>
                </w:p>
              </w:tc>
              <w:tc>
                <w:tcPr>
                  <w:tcW w:w="708" w:type="pct"/>
                  <w:vMerge w:val="continue"/>
                  <w:vAlign w:val="center"/>
                </w:tcPr>
                <w:p>
                  <w:pPr>
                    <w:jc w:val="center"/>
                    <w:rPr>
                      <w:color w:val="auto"/>
                      <w:szCs w:val="21"/>
                      <w:highlight w:val="none"/>
                    </w:rPr>
                  </w:pPr>
                </w:p>
              </w:tc>
              <w:tc>
                <w:tcPr>
                  <w:tcW w:w="653" w:type="pct"/>
                  <w:vMerge w:val="continue"/>
                  <w:vAlign w:val="center"/>
                </w:tcPr>
                <w:p>
                  <w:pPr>
                    <w:jc w:val="center"/>
                    <w:rPr>
                      <w:color w:val="auto"/>
                      <w:szCs w:val="21"/>
                      <w:highlight w:val="none"/>
                    </w:rPr>
                  </w:pPr>
                </w:p>
              </w:tc>
              <w:tc>
                <w:tcPr>
                  <w:tcW w:w="460" w:type="pct"/>
                  <w:vMerge w:val="continue"/>
                  <w:vAlign w:val="center"/>
                </w:tcPr>
                <w:p>
                  <w:pPr>
                    <w:jc w:val="center"/>
                    <w:rPr>
                      <w:color w:val="auto"/>
                      <w:szCs w:val="21"/>
                      <w:highlight w:val="none"/>
                    </w:rPr>
                  </w:pPr>
                </w:p>
              </w:tc>
              <w:tc>
                <w:tcPr>
                  <w:tcW w:w="250" w:type="pct"/>
                  <w:vMerge w:val="continue"/>
                  <w:vAlign w:val="center"/>
                </w:tcPr>
                <w:p>
                  <w:pPr>
                    <w:jc w:val="center"/>
                    <w:rPr>
                      <w:color w:val="auto"/>
                      <w:szCs w:val="21"/>
                      <w:highlight w:val="none"/>
                    </w:rPr>
                  </w:pPr>
                </w:p>
              </w:tc>
              <w:tc>
                <w:tcPr>
                  <w:tcW w:w="310" w:type="pct"/>
                  <w:vMerge w:val="continue"/>
                  <w:vAlign w:val="center"/>
                </w:tcPr>
                <w:p>
                  <w:pPr>
                    <w:jc w:val="center"/>
                    <w:rPr>
                      <w:color w:val="auto"/>
                      <w:szCs w:val="21"/>
                      <w:highlight w:val="none"/>
                    </w:rPr>
                  </w:pPr>
                </w:p>
              </w:tc>
              <w:tc>
                <w:tcPr>
                  <w:tcW w:w="385" w:type="pct"/>
                  <w:vMerge w:val="continue"/>
                  <w:vAlign w:val="center"/>
                </w:tcPr>
                <w:p>
                  <w:pPr>
                    <w:jc w:val="center"/>
                    <w:rPr>
                      <w:color w:val="auto"/>
                      <w:szCs w:val="21"/>
                      <w:highlight w:val="none"/>
                    </w:rPr>
                  </w:pPr>
                </w:p>
              </w:tc>
              <w:tc>
                <w:tcPr>
                  <w:tcW w:w="441" w:type="pct"/>
                  <w:vMerge w:val="continue"/>
                  <w:vAlign w:val="center"/>
                </w:tcPr>
                <w:p>
                  <w:pPr>
                    <w:jc w:val="center"/>
                    <w:rPr>
                      <w:color w:val="auto"/>
                      <w:szCs w:val="21"/>
                      <w:highlight w:val="none"/>
                    </w:rPr>
                  </w:pPr>
                </w:p>
              </w:tc>
              <w:tc>
                <w:tcPr>
                  <w:tcW w:w="497" w:type="pct"/>
                  <w:vAlign w:val="center"/>
                </w:tcPr>
                <w:p>
                  <w:pPr>
                    <w:jc w:val="center"/>
                    <w:rPr>
                      <w:color w:val="auto"/>
                      <w:szCs w:val="21"/>
                      <w:highlight w:val="none"/>
                    </w:rPr>
                  </w:pPr>
                  <w:r>
                    <w:rPr>
                      <w:color w:val="auto"/>
                      <w:szCs w:val="21"/>
                      <w:highlight w:val="none"/>
                    </w:rPr>
                    <w:t>SS</w:t>
                  </w:r>
                </w:p>
              </w:tc>
              <w:tc>
                <w:tcPr>
                  <w:tcW w:w="530" w:type="pct"/>
                  <w:vAlign w:val="center"/>
                </w:tcPr>
                <w:p>
                  <w:pPr>
                    <w:jc w:val="center"/>
                    <w:rPr>
                      <w:color w:val="auto"/>
                      <w:szCs w:val="21"/>
                      <w:highlight w:val="none"/>
                    </w:rPr>
                  </w:pPr>
                  <w:r>
                    <w:rPr>
                      <w:color w:val="auto"/>
                      <w:szCs w:val="21"/>
                      <w:highlight w:val="none"/>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56" w:hRule="atLeast"/>
              </w:trPr>
              <w:tc>
                <w:tcPr>
                  <w:tcW w:w="248" w:type="pct"/>
                  <w:vMerge w:val="continue"/>
                  <w:vAlign w:val="center"/>
                </w:tcPr>
                <w:p>
                  <w:pPr>
                    <w:jc w:val="center"/>
                    <w:rPr>
                      <w:color w:val="auto"/>
                      <w:szCs w:val="21"/>
                      <w:highlight w:val="none"/>
                    </w:rPr>
                  </w:pPr>
                </w:p>
              </w:tc>
              <w:tc>
                <w:tcPr>
                  <w:tcW w:w="517" w:type="pct"/>
                  <w:vMerge w:val="continue"/>
                  <w:vAlign w:val="center"/>
                </w:tcPr>
                <w:p>
                  <w:pPr>
                    <w:jc w:val="center"/>
                    <w:rPr>
                      <w:color w:val="auto"/>
                      <w:szCs w:val="21"/>
                      <w:highlight w:val="none"/>
                    </w:rPr>
                  </w:pPr>
                </w:p>
              </w:tc>
              <w:tc>
                <w:tcPr>
                  <w:tcW w:w="708" w:type="pct"/>
                  <w:vMerge w:val="continue"/>
                  <w:vAlign w:val="center"/>
                </w:tcPr>
                <w:p>
                  <w:pPr>
                    <w:jc w:val="center"/>
                    <w:rPr>
                      <w:color w:val="auto"/>
                      <w:szCs w:val="21"/>
                      <w:highlight w:val="none"/>
                    </w:rPr>
                  </w:pPr>
                </w:p>
              </w:tc>
              <w:tc>
                <w:tcPr>
                  <w:tcW w:w="653" w:type="pct"/>
                  <w:vMerge w:val="continue"/>
                  <w:vAlign w:val="center"/>
                </w:tcPr>
                <w:p>
                  <w:pPr>
                    <w:jc w:val="center"/>
                    <w:rPr>
                      <w:color w:val="auto"/>
                      <w:szCs w:val="21"/>
                      <w:highlight w:val="none"/>
                    </w:rPr>
                  </w:pPr>
                </w:p>
              </w:tc>
              <w:tc>
                <w:tcPr>
                  <w:tcW w:w="460" w:type="pct"/>
                  <w:vMerge w:val="continue"/>
                  <w:vAlign w:val="center"/>
                </w:tcPr>
                <w:p>
                  <w:pPr>
                    <w:jc w:val="center"/>
                    <w:rPr>
                      <w:color w:val="auto"/>
                      <w:szCs w:val="21"/>
                      <w:highlight w:val="none"/>
                    </w:rPr>
                  </w:pPr>
                </w:p>
              </w:tc>
              <w:tc>
                <w:tcPr>
                  <w:tcW w:w="250" w:type="pct"/>
                  <w:vMerge w:val="continue"/>
                  <w:vAlign w:val="center"/>
                </w:tcPr>
                <w:p>
                  <w:pPr>
                    <w:jc w:val="center"/>
                    <w:rPr>
                      <w:color w:val="auto"/>
                      <w:szCs w:val="21"/>
                      <w:highlight w:val="none"/>
                    </w:rPr>
                  </w:pPr>
                </w:p>
              </w:tc>
              <w:tc>
                <w:tcPr>
                  <w:tcW w:w="310" w:type="pct"/>
                  <w:vMerge w:val="continue"/>
                  <w:vAlign w:val="center"/>
                </w:tcPr>
                <w:p>
                  <w:pPr>
                    <w:jc w:val="center"/>
                    <w:rPr>
                      <w:color w:val="auto"/>
                      <w:szCs w:val="21"/>
                      <w:highlight w:val="none"/>
                    </w:rPr>
                  </w:pPr>
                </w:p>
              </w:tc>
              <w:tc>
                <w:tcPr>
                  <w:tcW w:w="385" w:type="pct"/>
                  <w:vMerge w:val="continue"/>
                  <w:vAlign w:val="center"/>
                </w:tcPr>
                <w:p>
                  <w:pPr>
                    <w:jc w:val="center"/>
                    <w:rPr>
                      <w:color w:val="auto"/>
                      <w:szCs w:val="21"/>
                      <w:highlight w:val="none"/>
                    </w:rPr>
                  </w:pPr>
                </w:p>
              </w:tc>
              <w:tc>
                <w:tcPr>
                  <w:tcW w:w="441" w:type="pct"/>
                  <w:vMerge w:val="continue"/>
                  <w:vAlign w:val="center"/>
                </w:tcPr>
                <w:p>
                  <w:pPr>
                    <w:jc w:val="center"/>
                    <w:rPr>
                      <w:color w:val="auto"/>
                      <w:szCs w:val="21"/>
                      <w:highlight w:val="none"/>
                    </w:rPr>
                  </w:pPr>
                </w:p>
              </w:tc>
              <w:tc>
                <w:tcPr>
                  <w:tcW w:w="497" w:type="pct"/>
                  <w:vAlign w:val="center"/>
                </w:tcPr>
                <w:p>
                  <w:pPr>
                    <w:jc w:val="center"/>
                    <w:rPr>
                      <w:color w:val="auto"/>
                      <w:szCs w:val="21"/>
                      <w:highlight w:val="none"/>
                    </w:rPr>
                  </w:pPr>
                  <w:r>
                    <w:rPr>
                      <w:color w:val="auto"/>
                      <w:szCs w:val="21"/>
                      <w:highlight w:val="none"/>
                    </w:rPr>
                    <w:t>氨氮</w:t>
                  </w:r>
                </w:p>
              </w:tc>
              <w:tc>
                <w:tcPr>
                  <w:tcW w:w="530" w:type="pct"/>
                  <w:vAlign w:val="center"/>
                </w:tcPr>
                <w:p>
                  <w:pPr>
                    <w:jc w:val="center"/>
                    <w:rPr>
                      <w:color w:val="auto"/>
                      <w:szCs w:val="21"/>
                      <w:highlight w:val="none"/>
                    </w:rPr>
                  </w:pPr>
                  <w:r>
                    <w:rPr>
                      <w:color w:val="auto"/>
                      <w:szCs w:val="21"/>
                      <w:highlight w:val="none"/>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56" w:hRule="atLeast"/>
              </w:trPr>
              <w:tc>
                <w:tcPr>
                  <w:tcW w:w="248" w:type="pct"/>
                  <w:vMerge w:val="continue"/>
                  <w:vAlign w:val="center"/>
                </w:tcPr>
                <w:p>
                  <w:pPr>
                    <w:jc w:val="center"/>
                    <w:rPr>
                      <w:color w:val="auto"/>
                      <w:szCs w:val="21"/>
                      <w:highlight w:val="none"/>
                    </w:rPr>
                  </w:pPr>
                </w:p>
              </w:tc>
              <w:tc>
                <w:tcPr>
                  <w:tcW w:w="517" w:type="pct"/>
                  <w:vMerge w:val="continue"/>
                  <w:vAlign w:val="center"/>
                </w:tcPr>
                <w:p>
                  <w:pPr>
                    <w:jc w:val="center"/>
                    <w:rPr>
                      <w:color w:val="auto"/>
                      <w:szCs w:val="21"/>
                      <w:highlight w:val="none"/>
                    </w:rPr>
                  </w:pPr>
                </w:p>
              </w:tc>
              <w:tc>
                <w:tcPr>
                  <w:tcW w:w="708" w:type="pct"/>
                  <w:vMerge w:val="continue"/>
                  <w:vAlign w:val="center"/>
                </w:tcPr>
                <w:p>
                  <w:pPr>
                    <w:jc w:val="center"/>
                    <w:rPr>
                      <w:color w:val="auto"/>
                      <w:szCs w:val="21"/>
                      <w:highlight w:val="none"/>
                    </w:rPr>
                  </w:pPr>
                </w:p>
              </w:tc>
              <w:tc>
                <w:tcPr>
                  <w:tcW w:w="653" w:type="pct"/>
                  <w:vMerge w:val="continue"/>
                  <w:vAlign w:val="center"/>
                </w:tcPr>
                <w:p>
                  <w:pPr>
                    <w:jc w:val="center"/>
                    <w:rPr>
                      <w:color w:val="auto"/>
                      <w:szCs w:val="21"/>
                      <w:highlight w:val="none"/>
                    </w:rPr>
                  </w:pPr>
                </w:p>
              </w:tc>
              <w:tc>
                <w:tcPr>
                  <w:tcW w:w="460" w:type="pct"/>
                  <w:vMerge w:val="continue"/>
                  <w:vAlign w:val="center"/>
                </w:tcPr>
                <w:p>
                  <w:pPr>
                    <w:jc w:val="center"/>
                    <w:rPr>
                      <w:color w:val="auto"/>
                      <w:szCs w:val="21"/>
                      <w:highlight w:val="none"/>
                    </w:rPr>
                  </w:pPr>
                </w:p>
              </w:tc>
              <w:tc>
                <w:tcPr>
                  <w:tcW w:w="250" w:type="pct"/>
                  <w:vMerge w:val="continue"/>
                  <w:vAlign w:val="center"/>
                </w:tcPr>
                <w:p>
                  <w:pPr>
                    <w:jc w:val="center"/>
                    <w:rPr>
                      <w:color w:val="auto"/>
                      <w:szCs w:val="21"/>
                      <w:highlight w:val="none"/>
                    </w:rPr>
                  </w:pPr>
                </w:p>
              </w:tc>
              <w:tc>
                <w:tcPr>
                  <w:tcW w:w="310" w:type="pct"/>
                  <w:vMerge w:val="continue"/>
                  <w:vAlign w:val="center"/>
                </w:tcPr>
                <w:p>
                  <w:pPr>
                    <w:jc w:val="center"/>
                    <w:rPr>
                      <w:color w:val="auto"/>
                      <w:szCs w:val="21"/>
                      <w:highlight w:val="none"/>
                    </w:rPr>
                  </w:pPr>
                </w:p>
              </w:tc>
              <w:tc>
                <w:tcPr>
                  <w:tcW w:w="385" w:type="pct"/>
                  <w:vMerge w:val="continue"/>
                  <w:vAlign w:val="center"/>
                </w:tcPr>
                <w:p>
                  <w:pPr>
                    <w:jc w:val="center"/>
                    <w:rPr>
                      <w:color w:val="auto"/>
                      <w:szCs w:val="21"/>
                      <w:highlight w:val="none"/>
                    </w:rPr>
                  </w:pPr>
                </w:p>
              </w:tc>
              <w:tc>
                <w:tcPr>
                  <w:tcW w:w="441" w:type="pct"/>
                  <w:vMerge w:val="continue"/>
                  <w:vAlign w:val="center"/>
                </w:tcPr>
                <w:p>
                  <w:pPr>
                    <w:jc w:val="center"/>
                    <w:rPr>
                      <w:color w:val="auto"/>
                      <w:szCs w:val="21"/>
                      <w:highlight w:val="none"/>
                    </w:rPr>
                  </w:pPr>
                </w:p>
              </w:tc>
              <w:tc>
                <w:tcPr>
                  <w:tcW w:w="497" w:type="pct"/>
                  <w:vAlign w:val="center"/>
                </w:tcPr>
                <w:p>
                  <w:pPr>
                    <w:jc w:val="center"/>
                    <w:rPr>
                      <w:color w:val="auto"/>
                      <w:szCs w:val="21"/>
                      <w:highlight w:val="none"/>
                    </w:rPr>
                  </w:pPr>
                  <w:r>
                    <w:rPr>
                      <w:color w:val="auto"/>
                      <w:kern w:val="0"/>
                      <w:sz w:val="22"/>
                      <w:szCs w:val="22"/>
                      <w:highlight w:val="none"/>
                    </w:rPr>
                    <w:t>总磷</w:t>
                  </w:r>
                </w:p>
              </w:tc>
              <w:tc>
                <w:tcPr>
                  <w:tcW w:w="530" w:type="pct"/>
                  <w:vAlign w:val="center"/>
                </w:tcPr>
                <w:p>
                  <w:pPr>
                    <w:jc w:val="center"/>
                    <w:rPr>
                      <w:color w:val="auto"/>
                      <w:szCs w:val="21"/>
                      <w:highlight w:val="none"/>
                    </w:rPr>
                  </w:pPr>
                  <w:r>
                    <w:rPr>
                      <w:color w:val="auto"/>
                      <w:szCs w:val="21"/>
                      <w:highlight w:val="none"/>
                    </w:rPr>
                    <w:t>05</w:t>
                  </w:r>
                </w:p>
              </w:tc>
            </w:tr>
          </w:tbl>
          <w:p>
            <w:pPr>
              <w:widowControl/>
              <w:spacing w:beforeLines="50" w:line="360" w:lineRule="auto"/>
              <w:ind w:firstLine="480" w:firstLineChars="200"/>
              <w:rPr>
                <w:color w:val="auto"/>
                <w:kern w:val="0"/>
                <w:sz w:val="24"/>
                <w:highlight w:val="none"/>
              </w:rPr>
            </w:pPr>
            <w:r>
              <w:rPr>
                <w:color w:val="auto"/>
                <w:kern w:val="0"/>
                <w:sz w:val="24"/>
                <w:highlight w:val="none"/>
              </w:rPr>
              <w:t>现有污水排放口需根据江苏省</w:t>
            </w:r>
            <w:r>
              <w:rPr>
                <w:rFonts w:hint="eastAsia"/>
                <w:color w:val="auto"/>
                <w:kern w:val="0"/>
                <w:sz w:val="24"/>
                <w:highlight w:val="none"/>
              </w:rPr>
              <w:t>生态环境</w:t>
            </w:r>
            <w:r>
              <w:rPr>
                <w:color w:val="auto"/>
                <w:kern w:val="0"/>
                <w:sz w:val="24"/>
                <w:highlight w:val="none"/>
              </w:rPr>
              <w:t>厅《江苏省排污口设置及规范化整治管理办法》有关排水体制的规定设置，同时应在排污口设置明显排口标志，对污水总排口设置采样点对水质进行定期监测</w:t>
            </w:r>
            <w:r>
              <w:rPr>
                <w:rFonts w:hint="eastAsia"/>
                <w:color w:val="auto"/>
                <w:kern w:val="0"/>
                <w:sz w:val="24"/>
                <w:highlight w:val="none"/>
              </w:rPr>
              <w:t>。</w:t>
            </w:r>
          </w:p>
          <w:p>
            <w:pPr>
              <w:spacing w:beforeLines="50" w:line="360" w:lineRule="auto"/>
              <w:rPr>
                <w:b/>
                <w:color w:val="auto"/>
                <w:sz w:val="24"/>
                <w:highlight w:val="none"/>
              </w:rPr>
            </w:pPr>
            <w:r>
              <w:rPr>
                <w:b/>
                <w:color w:val="auto"/>
                <w:sz w:val="24"/>
                <w:highlight w:val="none"/>
              </w:rPr>
              <w:t>（7）废水监测要求</w:t>
            </w:r>
          </w:p>
          <w:p>
            <w:pPr>
              <w:adjustRightInd w:val="0"/>
              <w:snapToGrid w:val="0"/>
              <w:spacing w:line="360" w:lineRule="auto"/>
              <w:ind w:firstLine="480" w:firstLineChars="200"/>
              <w:rPr>
                <w:bCs/>
                <w:color w:val="auto"/>
                <w:kern w:val="21"/>
                <w:sz w:val="24"/>
                <w:highlight w:val="none"/>
              </w:rPr>
            </w:pPr>
            <w:r>
              <w:rPr>
                <w:bCs/>
                <w:color w:val="auto"/>
                <w:kern w:val="21"/>
                <w:sz w:val="24"/>
                <w:highlight w:val="none"/>
              </w:rPr>
              <w:t>根据《排污单位自行监测技术指南 电子工业》（HJ 1253-2022）</w:t>
            </w:r>
            <w:r>
              <w:rPr>
                <w:rFonts w:hint="eastAsia"/>
                <w:bCs/>
                <w:color w:val="auto"/>
                <w:kern w:val="21"/>
                <w:sz w:val="24"/>
                <w:highlight w:val="none"/>
              </w:rPr>
              <w:t>表1废水排放监测点位、监测指标及最低监测频次，电子元件制造排污单位，非重点间接排污单位</w:t>
            </w:r>
            <w:r>
              <w:rPr>
                <w:bCs/>
                <w:color w:val="auto"/>
                <w:kern w:val="21"/>
                <w:sz w:val="24"/>
                <w:highlight w:val="none"/>
              </w:rPr>
              <w:t>，制定废水监测计划如下。</w:t>
            </w:r>
          </w:p>
          <w:p>
            <w:pPr>
              <w:adjustRightInd w:val="0"/>
              <w:snapToGrid w:val="0"/>
              <w:spacing w:line="360" w:lineRule="auto"/>
              <w:jc w:val="center"/>
              <w:rPr>
                <w:b/>
                <w:color w:val="auto"/>
                <w:kern w:val="21"/>
                <w:sz w:val="24"/>
                <w:highlight w:val="none"/>
              </w:rPr>
            </w:pPr>
            <w:r>
              <w:rPr>
                <w:b/>
                <w:color w:val="auto"/>
                <w:kern w:val="21"/>
                <w:sz w:val="24"/>
                <w:highlight w:val="none"/>
              </w:rPr>
              <w:t>表4-1</w:t>
            </w:r>
            <w:r>
              <w:rPr>
                <w:rFonts w:hint="eastAsia"/>
                <w:b/>
                <w:color w:val="auto"/>
                <w:kern w:val="21"/>
                <w:sz w:val="24"/>
                <w:highlight w:val="none"/>
              </w:rPr>
              <w:t>7</w:t>
            </w:r>
            <w:r>
              <w:rPr>
                <w:b/>
                <w:color w:val="auto"/>
                <w:kern w:val="21"/>
                <w:sz w:val="24"/>
                <w:highlight w:val="none"/>
              </w:rPr>
              <w:t xml:space="preserve">  废水自行监测情况表</w:t>
            </w:r>
          </w:p>
          <w:tbl>
            <w:tblPr>
              <w:tblStyle w:val="34"/>
              <w:tblW w:w="4998"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0" w:type="dxa"/>
                <w:bottom w:w="0" w:type="dxa"/>
                <w:right w:w="0" w:type="dxa"/>
              </w:tblCellMar>
            </w:tblPr>
            <w:tblGrid>
              <w:gridCol w:w="1904"/>
              <w:gridCol w:w="2857"/>
              <w:gridCol w:w="1914"/>
              <w:gridCol w:w="200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23" w:hRule="atLeast"/>
                <w:jc w:val="center"/>
              </w:trPr>
              <w:tc>
                <w:tcPr>
                  <w:tcW w:w="1096" w:type="pct"/>
                  <w:vAlign w:val="center"/>
                </w:tcPr>
                <w:p>
                  <w:pPr>
                    <w:widowControl/>
                    <w:snapToGrid w:val="0"/>
                    <w:jc w:val="center"/>
                    <w:rPr>
                      <w:color w:val="auto"/>
                      <w:kern w:val="0"/>
                      <w:szCs w:val="21"/>
                      <w:highlight w:val="none"/>
                    </w:rPr>
                  </w:pPr>
                  <w:r>
                    <w:rPr>
                      <w:color w:val="auto"/>
                      <w:kern w:val="0"/>
                      <w:szCs w:val="21"/>
                      <w:highlight w:val="none"/>
                    </w:rPr>
                    <w:t>监测点位</w:t>
                  </w:r>
                </w:p>
              </w:tc>
              <w:tc>
                <w:tcPr>
                  <w:tcW w:w="1645" w:type="pct"/>
                  <w:vAlign w:val="center"/>
                </w:tcPr>
                <w:p>
                  <w:pPr>
                    <w:widowControl/>
                    <w:snapToGrid w:val="0"/>
                    <w:jc w:val="center"/>
                    <w:rPr>
                      <w:color w:val="auto"/>
                      <w:kern w:val="0"/>
                      <w:szCs w:val="21"/>
                      <w:highlight w:val="none"/>
                    </w:rPr>
                  </w:pPr>
                  <w:r>
                    <w:rPr>
                      <w:color w:val="auto"/>
                      <w:kern w:val="0"/>
                      <w:szCs w:val="21"/>
                      <w:highlight w:val="none"/>
                    </w:rPr>
                    <w:t>监测指标</w:t>
                  </w:r>
                </w:p>
              </w:tc>
              <w:tc>
                <w:tcPr>
                  <w:tcW w:w="1102" w:type="pct"/>
                  <w:tcBorders>
                    <w:right w:val="single" w:color="auto" w:sz="4" w:space="0"/>
                  </w:tcBorders>
                  <w:vAlign w:val="center"/>
                </w:tcPr>
                <w:p>
                  <w:pPr>
                    <w:widowControl/>
                    <w:snapToGrid w:val="0"/>
                    <w:jc w:val="center"/>
                    <w:rPr>
                      <w:color w:val="auto"/>
                      <w:kern w:val="0"/>
                      <w:szCs w:val="21"/>
                      <w:highlight w:val="none"/>
                    </w:rPr>
                  </w:pPr>
                  <w:r>
                    <w:rPr>
                      <w:color w:val="auto"/>
                      <w:kern w:val="0"/>
                      <w:szCs w:val="21"/>
                      <w:highlight w:val="none"/>
                    </w:rPr>
                    <w:t>监测频次</w:t>
                  </w:r>
                </w:p>
              </w:tc>
              <w:tc>
                <w:tcPr>
                  <w:tcW w:w="1155" w:type="pct"/>
                  <w:tcBorders>
                    <w:left w:val="single" w:color="auto" w:sz="4" w:space="0"/>
                  </w:tcBorders>
                  <w:vAlign w:val="center"/>
                </w:tcPr>
                <w:p>
                  <w:pPr>
                    <w:widowControl/>
                    <w:snapToGrid w:val="0"/>
                    <w:jc w:val="center"/>
                    <w:rPr>
                      <w:color w:val="auto"/>
                      <w:kern w:val="0"/>
                      <w:szCs w:val="21"/>
                      <w:highlight w:val="none"/>
                    </w:rPr>
                  </w:pPr>
                  <w:r>
                    <w:rPr>
                      <w:color w:val="auto"/>
                      <w:kern w:val="0"/>
                      <w:szCs w:val="21"/>
                      <w:highlight w:val="none"/>
                    </w:rPr>
                    <w:t>标准（mg/m</w:t>
                  </w:r>
                  <w:r>
                    <w:rPr>
                      <w:color w:val="auto"/>
                      <w:kern w:val="0"/>
                      <w:szCs w:val="21"/>
                      <w:highlight w:val="none"/>
                      <w:vertAlign w:val="superscript"/>
                    </w:rPr>
                    <w:t>3</w:t>
                  </w:r>
                  <w:r>
                    <w:rPr>
                      <w:color w:val="auto"/>
                      <w:kern w:val="0"/>
                      <w:szCs w:val="21"/>
                      <w:highlight w:val="none"/>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23" w:hRule="atLeast"/>
                <w:jc w:val="center"/>
              </w:trPr>
              <w:tc>
                <w:tcPr>
                  <w:tcW w:w="1096" w:type="pct"/>
                  <w:vMerge w:val="restart"/>
                  <w:vAlign w:val="center"/>
                </w:tcPr>
                <w:p>
                  <w:pPr>
                    <w:widowControl/>
                    <w:snapToGrid w:val="0"/>
                    <w:jc w:val="center"/>
                    <w:rPr>
                      <w:color w:val="auto"/>
                      <w:kern w:val="0"/>
                      <w:szCs w:val="21"/>
                      <w:highlight w:val="none"/>
                    </w:rPr>
                  </w:pPr>
                  <w:r>
                    <w:rPr>
                      <w:color w:val="auto"/>
                      <w:szCs w:val="21"/>
                      <w:highlight w:val="none"/>
                    </w:rPr>
                    <w:t>DW001</w:t>
                  </w:r>
                </w:p>
              </w:tc>
              <w:tc>
                <w:tcPr>
                  <w:tcW w:w="1645" w:type="pct"/>
                  <w:tcBorders>
                    <w:bottom w:val="single" w:color="auto" w:sz="4" w:space="0"/>
                  </w:tcBorders>
                  <w:vAlign w:val="center"/>
                </w:tcPr>
                <w:p>
                  <w:pPr>
                    <w:jc w:val="center"/>
                    <w:rPr>
                      <w:color w:val="auto"/>
                      <w:szCs w:val="21"/>
                      <w:highlight w:val="none"/>
                    </w:rPr>
                  </w:pPr>
                  <w:r>
                    <w:rPr>
                      <w:color w:val="auto"/>
                      <w:szCs w:val="21"/>
                      <w:highlight w:val="none"/>
                    </w:rPr>
                    <w:t>pH</w:t>
                  </w:r>
                </w:p>
              </w:tc>
              <w:tc>
                <w:tcPr>
                  <w:tcW w:w="1102" w:type="pct"/>
                  <w:tcBorders>
                    <w:bottom w:val="single" w:color="auto" w:sz="4" w:space="0"/>
                    <w:right w:val="single" w:color="auto" w:sz="4" w:space="0"/>
                  </w:tcBorders>
                  <w:vAlign w:val="center"/>
                </w:tcPr>
                <w:p>
                  <w:pPr>
                    <w:widowControl/>
                    <w:snapToGrid w:val="0"/>
                    <w:jc w:val="center"/>
                    <w:rPr>
                      <w:color w:val="auto"/>
                      <w:kern w:val="0"/>
                      <w:szCs w:val="21"/>
                      <w:highlight w:val="none"/>
                    </w:rPr>
                  </w:pPr>
                  <w:r>
                    <w:rPr>
                      <w:color w:val="auto"/>
                      <w:kern w:val="0"/>
                      <w:szCs w:val="21"/>
                      <w:highlight w:val="none"/>
                    </w:rPr>
                    <w:t>1次/年</w:t>
                  </w:r>
                </w:p>
              </w:tc>
              <w:tc>
                <w:tcPr>
                  <w:tcW w:w="1155" w:type="pct"/>
                  <w:tcBorders>
                    <w:left w:val="single" w:color="auto" w:sz="4" w:space="0"/>
                    <w:bottom w:val="single" w:color="auto" w:sz="4" w:space="0"/>
                  </w:tcBorders>
                  <w:vAlign w:val="center"/>
                </w:tcPr>
                <w:p>
                  <w:pPr>
                    <w:widowControl/>
                    <w:snapToGrid w:val="0"/>
                    <w:jc w:val="center"/>
                    <w:rPr>
                      <w:color w:val="auto"/>
                      <w:kern w:val="0"/>
                      <w:szCs w:val="21"/>
                      <w:highlight w:val="none"/>
                    </w:rPr>
                  </w:pPr>
                  <w:r>
                    <w:rPr>
                      <w:color w:val="auto"/>
                      <w:kern w:val="0"/>
                      <w:szCs w:val="21"/>
                      <w:highlight w:val="none"/>
                    </w:rPr>
                    <w:t>6~9</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23" w:hRule="atLeast"/>
                <w:jc w:val="center"/>
              </w:trPr>
              <w:tc>
                <w:tcPr>
                  <w:tcW w:w="1096" w:type="pct"/>
                  <w:vMerge w:val="continue"/>
                  <w:vAlign w:val="center"/>
                </w:tcPr>
                <w:p>
                  <w:pPr>
                    <w:widowControl/>
                    <w:snapToGrid w:val="0"/>
                    <w:jc w:val="center"/>
                    <w:rPr>
                      <w:color w:val="auto"/>
                      <w:szCs w:val="21"/>
                      <w:highlight w:val="none"/>
                    </w:rPr>
                  </w:pPr>
                </w:p>
              </w:tc>
              <w:tc>
                <w:tcPr>
                  <w:tcW w:w="1645" w:type="pct"/>
                  <w:tcBorders>
                    <w:top w:val="single" w:color="auto" w:sz="4" w:space="0"/>
                    <w:bottom w:val="single" w:color="auto" w:sz="4" w:space="0"/>
                  </w:tcBorders>
                  <w:vAlign w:val="center"/>
                </w:tcPr>
                <w:p>
                  <w:pPr>
                    <w:jc w:val="center"/>
                    <w:rPr>
                      <w:color w:val="auto"/>
                      <w:szCs w:val="21"/>
                      <w:highlight w:val="none"/>
                    </w:rPr>
                  </w:pPr>
                  <w:r>
                    <w:rPr>
                      <w:color w:val="auto"/>
                      <w:szCs w:val="21"/>
                      <w:highlight w:val="none"/>
                    </w:rPr>
                    <w:t>COD</w:t>
                  </w:r>
                </w:p>
              </w:tc>
              <w:tc>
                <w:tcPr>
                  <w:tcW w:w="1102" w:type="pct"/>
                  <w:tcBorders>
                    <w:top w:val="single" w:color="auto" w:sz="4" w:space="0"/>
                    <w:bottom w:val="single" w:color="auto" w:sz="4" w:space="0"/>
                    <w:right w:val="single" w:color="auto" w:sz="4" w:space="0"/>
                  </w:tcBorders>
                  <w:vAlign w:val="center"/>
                </w:tcPr>
                <w:p>
                  <w:pPr>
                    <w:widowControl/>
                    <w:snapToGrid w:val="0"/>
                    <w:jc w:val="center"/>
                    <w:rPr>
                      <w:color w:val="auto"/>
                      <w:kern w:val="0"/>
                      <w:szCs w:val="21"/>
                      <w:highlight w:val="none"/>
                    </w:rPr>
                  </w:pPr>
                  <w:r>
                    <w:rPr>
                      <w:color w:val="auto"/>
                      <w:kern w:val="0"/>
                      <w:szCs w:val="21"/>
                      <w:highlight w:val="none"/>
                    </w:rPr>
                    <w:t>1次/年</w:t>
                  </w:r>
                </w:p>
              </w:tc>
              <w:tc>
                <w:tcPr>
                  <w:tcW w:w="1155" w:type="pct"/>
                  <w:tcBorders>
                    <w:top w:val="single" w:color="auto" w:sz="4" w:space="0"/>
                    <w:left w:val="single" w:color="auto" w:sz="4" w:space="0"/>
                    <w:bottom w:val="single" w:color="auto" w:sz="4" w:space="0"/>
                  </w:tcBorders>
                  <w:vAlign w:val="center"/>
                </w:tcPr>
                <w:p>
                  <w:pPr>
                    <w:widowControl/>
                    <w:snapToGrid w:val="0"/>
                    <w:jc w:val="center"/>
                    <w:rPr>
                      <w:color w:val="auto"/>
                      <w:kern w:val="0"/>
                      <w:szCs w:val="21"/>
                      <w:highlight w:val="none"/>
                    </w:rPr>
                  </w:pPr>
                  <w:r>
                    <w:rPr>
                      <w:color w:val="auto"/>
                      <w:kern w:val="0"/>
                      <w:szCs w:val="21"/>
                      <w:highlight w:val="none"/>
                    </w:rPr>
                    <w:t>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168" w:hRule="atLeast"/>
                <w:jc w:val="center"/>
              </w:trPr>
              <w:tc>
                <w:tcPr>
                  <w:tcW w:w="1096" w:type="pct"/>
                  <w:vMerge w:val="continue"/>
                  <w:vAlign w:val="center"/>
                </w:tcPr>
                <w:p>
                  <w:pPr>
                    <w:widowControl/>
                    <w:snapToGrid w:val="0"/>
                    <w:jc w:val="center"/>
                    <w:rPr>
                      <w:color w:val="auto"/>
                      <w:szCs w:val="21"/>
                      <w:highlight w:val="none"/>
                    </w:rPr>
                  </w:pPr>
                </w:p>
              </w:tc>
              <w:tc>
                <w:tcPr>
                  <w:tcW w:w="1645" w:type="pct"/>
                  <w:tcBorders>
                    <w:top w:val="single" w:color="auto" w:sz="4" w:space="0"/>
                    <w:bottom w:val="single" w:color="auto" w:sz="4" w:space="0"/>
                  </w:tcBorders>
                  <w:vAlign w:val="center"/>
                </w:tcPr>
                <w:p>
                  <w:pPr>
                    <w:jc w:val="center"/>
                    <w:rPr>
                      <w:color w:val="auto"/>
                      <w:szCs w:val="21"/>
                      <w:highlight w:val="none"/>
                    </w:rPr>
                  </w:pPr>
                  <w:r>
                    <w:rPr>
                      <w:color w:val="auto"/>
                      <w:szCs w:val="21"/>
                      <w:highlight w:val="none"/>
                    </w:rPr>
                    <w:t>SS</w:t>
                  </w:r>
                </w:p>
              </w:tc>
              <w:tc>
                <w:tcPr>
                  <w:tcW w:w="1102" w:type="pct"/>
                  <w:tcBorders>
                    <w:top w:val="single" w:color="auto" w:sz="4" w:space="0"/>
                    <w:bottom w:val="single" w:color="auto" w:sz="4" w:space="0"/>
                    <w:right w:val="single" w:color="auto" w:sz="4" w:space="0"/>
                  </w:tcBorders>
                  <w:vAlign w:val="center"/>
                </w:tcPr>
                <w:p>
                  <w:pPr>
                    <w:snapToGrid w:val="0"/>
                    <w:jc w:val="center"/>
                    <w:rPr>
                      <w:color w:val="auto"/>
                      <w:kern w:val="0"/>
                      <w:szCs w:val="21"/>
                      <w:highlight w:val="none"/>
                    </w:rPr>
                  </w:pPr>
                  <w:r>
                    <w:rPr>
                      <w:color w:val="auto"/>
                      <w:kern w:val="0"/>
                      <w:szCs w:val="21"/>
                      <w:highlight w:val="none"/>
                    </w:rPr>
                    <w:t>1次/年</w:t>
                  </w:r>
                </w:p>
              </w:tc>
              <w:tc>
                <w:tcPr>
                  <w:tcW w:w="1155" w:type="pct"/>
                  <w:tcBorders>
                    <w:top w:val="single" w:color="auto" w:sz="4" w:space="0"/>
                    <w:left w:val="single" w:color="auto" w:sz="4" w:space="0"/>
                    <w:bottom w:val="single" w:color="auto" w:sz="4" w:space="0"/>
                  </w:tcBorders>
                  <w:vAlign w:val="center"/>
                </w:tcPr>
                <w:p>
                  <w:pPr>
                    <w:snapToGrid w:val="0"/>
                    <w:jc w:val="center"/>
                    <w:rPr>
                      <w:color w:val="auto"/>
                      <w:kern w:val="0"/>
                      <w:szCs w:val="21"/>
                      <w:highlight w:val="none"/>
                    </w:rPr>
                  </w:pPr>
                  <w:r>
                    <w:rPr>
                      <w:color w:val="auto"/>
                      <w:kern w:val="0"/>
                      <w:szCs w:val="21"/>
                      <w:highlight w:val="none"/>
                    </w:rPr>
                    <w:t>400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88" w:hRule="atLeast"/>
                <w:jc w:val="center"/>
              </w:trPr>
              <w:tc>
                <w:tcPr>
                  <w:tcW w:w="1096" w:type="pct"/>
                  <w:vMerge w:val="continue"/>
                  <w:vAlign w:val="center"/>
                </w:tcPr>
                <w:p>
                  <w:pPr>
                    <w:widowControl/>
                    <w:snapToGrid w:val="0"/>
                    <w:jc w:val="center"/>
                    <w:rPr>
                      <w:color w:val="auto"/>
                      <w:szCs w:val="21"/>
                      <w:highlight w:val="none"/>
                    </w:rPr>
                  </w:pPr>
                </w:p>
              </w:tc>
              <w:tc>
                <w:tcPr>
                  <w:tcW w:w="1645" w:type="pct"/>
                  <w:tcBorders>
                    <w:top w:val="single" w:color="auto" w:sz="4" w:space="0"/>
                    <w:bottom w:val="single" w:color="auto" w:sz="4" w:space="0"/>
                  </w:tcBorders>
                  <w:vAlign w:val="center"/>
                </w:tcPr>
                <w:p>
                  <w:pPr>
                    <w:jc w:val="center"/>
                    <w:rPr>
                      <w:color w:val="auto"/>
                      <w:szCs w:val="21"/>
                      <w:highlight w:val="none"/>
                    </w:rPr>
                  </w:pPr>
                  <w:r>
                    <w:rPr>
                      <w:color w:val="auto"/>
                      <w:szCs w:val="21"/>
                      <w:highlight w:val="none"/>
                    </w:rPr>
                    <w:t>氨氮</w:t>
                  </w:r>
                </w:p>
              </w:tc>
              <w:tc>
                <w:tcPr>
                  <w:tcW w:w="1102" w:type="pct"/>
                  <w:tcBorders>
                    <w:top w:val="single" w:color="auto" w:sz="4" w:space="0"/>
                    <w:bottom w:val="single" w:color="auto" w:sz="4" w:space="0"/>
                    <w:right w:val="single" w:color="auto" w:sz="4" w:space="0"/>
                  </w:tcBorders>
                  <w:vAlign w:val="center"/>
                </w:tcPr>
                <w:p>
                  <w:pPr>
                    <w:snapToGrid w:val="0"/>
                    <w:jc w:val="center"/>
                    <w:rPr>
                      <w:color w:val="auto"/>
                      <w:kern w:val="0"/>
                      <w:szCs w:val="21"/>
                      <w:highlight w:val="none"/>
                    </w:rPr>
                  </w:pPr>
                  <w:r>
                    <w:rPr>
                      <w:color w:val="auto"/>
                      <w:kern w:val="0"/>
                      <w:szCs w:val="21"/>
                      <w:highlight w:val="none"/>
                    </w:rPr>
                    <w:t>1次/年</w:t>
                  </w:r>
                </w:p>
              </w:tc>
              <w:tc>
                <w:tcPr>
                  <w:tcW w:w="1155" w:type="pct"/>
                  <w:tcBorders>
                    <w:top w:val="single" w:color="auto" w:sz="4" w:space="0"/>
                    <w:left w:val="single" w:color="auto" w:sz="4" w:space="0"/>
                    <w:bottom w:val="single" w:color="auto" w:sz="4" w:space="0"/>
                  </w:tcBorders>
                  <w:vAlign w:val="center"/>
                </w:tcPr>
                <w:p>
                  <w:pPr>
                    <w:snapToGrid w:val="0"/>
                    <w:jc w:val="center"/>
                    <w:rPr>
                      <w:color w:val="auto"/>
                      <w:kern w:val="0"/>
                      <w:szCs w:val="21"/>
                      <w:highlight w:val="none"/>
                    </w:rPr>
                  </w:pPr>
                  <w:r>
                    <w:rPr>
                      <w:color w:val="auto"/>
                      <w:kern w:val="0"/>
                      <w:szCs w:val="21"/>
                      <w:highlight w:val="none"/>
                    </w:rPr>
                    <w:t>45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156" w:hRule="atLeast"/>
                <w:jc w:val="center"/>
              </w:trPr>
              <w:tc>
                <w:tcPr>
                  <w:tcW w:w="1096" w:type="pct"/>
                  <w:vMerge w:val="continue"/>
                  <w:tcBorders>
                    <w:bottom w:val="single" w:color="auto" w:sz="4" w:space="0"/>
                  </w:tcBorders>
                  <w:vAlign w:val="center"/>
                </w:tcPr>
                <w:p>
                  <w:pPr>
                    <w:widowControl/>
                    <w:snapToGrid w:val="0"/>
                    <w:jc w:val="center"/>
                    <w:rPr>
                      <w:color w:val="auto"/>
                      <w:szCs w:val="21"/>
                      <w:highlight w:val="none"/>
                    </w:rPr>
                  </w:pPr>
                </w:p>
              </w:tc>
              <w:tc>
                <w:tcPr>
                  <w:tcW w:w="1645" w:type="pct"/>
                  <w:tcBorders>
                    <w:top w:val="single" w:color="auto" w:sz="4" w:space="0"/>
                    <w:bottom w:val="single" w:color="auto" w:sz="4" w:space="0"/>
                  </w:tcBorders>
                  <w:vAlign w:val="center"/>
                </w:tcPr>
                <w:p>
                  <w:pPr>
                    <w:jc w:val="center"/>
                    <w:rPr>
                      <w:color w:val="auto"/>
                      <w:szCs w:val="21"/>
                      <w:highlight w:val="none"/>
                    </w:rPr>
                  </w:pPr>
                  <w:r>
                    <w:rPr>
                      <w:color w:val="auto"/>
                      <w:szCs w:val="21"/>
                      <w:highlight w:val="none"/>
                    </w:rPr>
                    <w:t>总磷</w:t>
                  </w:r>
                </w:p>
              </w:tc>
              <w:tc>
                <w:tcPr>
                  <w:tcW w:w="1102" w:type="pct"/>
                  <w:tcBorders>
                    <w:top w:val="single" w:color="auto" w:sz="4" w:space="0"/>
                    <w:bottom w:val="single" w:color="auto" w:sz="4" w:space="0"/>
                    <w:right w:val="single" w:color="auto" w:sz="4" w:space="0"/>
                  </w:tcBorders>
                  <w:vAlign w:val="center"/>
                </w:tcPr>
                <w:p>
                  <w:pPr>
                    <w:snapToGrid w:val="0"/>
                    <w:jc w:val="center"/>
                    <w:rPr>
                      <w:color w:val="auto"/>
                      <w:kern w:val="0"/>
                      <w:szCs w:val="21"/>
                      <w:highlight w:val="none"/>
                    </w:rPr>
                  </w:pPr>
                  <w:r>
                    <w:rPr>
                      <w:color w:val="auto"/>
                      <w:kern w:val="0"/>
                      <w:szCs w:val="21"/>
                      <w:highlight w:val="none"/>
                    </w:rPr>
                    <w:t>1次/年</w:t>
                  </w:r>
                </w:p>
              </w:tc>
              <w:tc>
                <w:tcPr>
                  <w:tcW w:w="1155" w:type="pct"/>
                  <w:tcBorders>
                    <w:top w:val="single" w:color="auto" w:sz="4" w:space="0"/>
                    <w:left w:val="single" w:color="auto" w:sz="4" w:space="0"/>
                    <w:bottom w:val="single" w:color="auto" w:sz="4" w:space="0"/>
                  </w:tcBorders>
                  <w:vAlign w:val="center"/>
                </w:tcPr>
                <w:p>
                  <w:pPr>
                    <w:snapToGrid w:val="0"/>
                    <w:jc w:val="center"/>
                    <w:rPr>
                      <w:color w:val="auto"/>
                      <w:kern w:val="0"/>
                      <w:szCs w:val="21"/>
                      <w:highlight w:val="none"/>
                    </w:rPr>
                  </w:pPr>
                  <w:r>
                    <w:rPr>
                      <w:color w:val="auto"/>
                      <w:kern w:val="0"/>
                      <w:szCs w:val="21"/>
                      <w:highlight w:val="none"/>
                    </w:rPr>
                    <w:t>8</w:t>
                  </w:r>
                </w:p>
              </w:tc>
            </w:tr>
          </w:tbl>
          <w:p>
            <w:pPr>
              <w:pStyle w:val="3"/>
              <w:numPr>
                <w:ilvl w:val="0"/>
                <w:numId w:val="12"/>
              </w:numPr>
              <w:spacing w:beforeLines="50" w:line="360" w:lineRule="auto"/>
              <w:jc w:val="left"/>
              <w:rPr>
                <w:b/>
                <w:bCs/>
                <w:color w:val="auto"/>
                <w:sz w:val="24"/>
                <w:szCs w:val="24"/>
                <w:highlight w:val="none"/>
              </w:rPr>
            </w:pPr>
            <w:r>
              <w:rPr>
                <w:b/>
                <w:bCs/>
                <w:color w:val="auto"/>
                <w:sz w:val="24"/>
                <w:szCs w:val="24"/>
                <w:highlight w:val="none"/>
              </w:rPr>
              <w:t>噪声</w:t>
            </w:r>
          </w:p>
          <w:p>
            <w:pPr>
              <w:spacing w:line="360" w:lineRule="auto"/>
              <w:ind w:firstLine="480" w:firstLineChars="200"/>
              <w:rPr>
                <w:bCs/>
                <w:color w:val="auto"/>
                <w:sz w:val="24"/>
                <w:highlight w:val="none"/>
              </w:rPr>
            </w:pPr>
            <w:r>
              <w:rPr>
                <w:bCs/>
                <w:color w:val="auto"/>
                <w:sz w:val="24"/>
                <w:highlight w:val="none"/>
              </w:rPr>
              <w:t>（1）噪声源</w:t>
            </w:r>
            <w:r>
              <w:rPr>
                <w:rFonts w:hint="eastAsia"/>
                <w:bCs/>
                <w:color w:val="auto"/>
                <w:sz w:val="24"/>
                <w:highlight w:val="none"/>
              </w:rPr>
              <w:t>调查</w:t>
            </w:r>
          </w:p>
          <w:p>
            <w:pPr>
              <w:spacing w:line="360" w:lineRule="auto"/>
              <w:ind w:firstLine="480" w:firstLineChars="200"/>
              <w:rPr>
                <w:bCs/>
                <w:color w:val="auto"/>
                <w:sz w:val="24"/>
                <w:highlight w:val="none"/>
              </w:rPr>
            </w:pPr>
            <w:r>
              <w:rPr>
                <w:bCs/>
                <w:color w:val="auto"/>
                <w:sz w:val="24"/>
                <w:highlight w:val="none"/>
              </w:rPr>
              <w:t>根据厂区平面布置图，噪声源情况见表4-</w:t>
            </w:r>
            <w:r>
              <w:rPr>
                <w:rFonts w:hint="eastAsia"/>
                <w:bCs/>
                <w:color w:val="auto"/>
                <w:sz w:val="24"/>
                <w:highlight w:val="none"/>
              </w:rPr>
              <w:t>18</w:t>
            </w:r>
            <w:r>
              <w:rPr>
                <w:bCs/>
                <w:color w:val="auto"/>
                <w:sz w:val="24"/>
                <w:highlight w:val="none"/>
              </w:rPr>
              <w:t>、表4-</w:t>
            </w:r>
            <w:r>
              <w:rPr>
                <w:rFonts w:hint="eastAsia"/>
                <w:bCs/>
                <w:color w:val="auto"/>
                <w:sz w:val="24"/>
                <w:highlight w:val="none"/>
              </w:rPr>
              <w:t>19</w:t>
            </w:r>
            <w:r>
              <w:rPr>
                <w:bCs/>
                <w:color w:val="auto"/>
                <w:sz w:val="24"/>
                <w:highlight w:val="none"/>
              </w:rPr>
              <w:t>。</w:t>
            </w:r>
          </w:p>
          <w:p>
            <w:pPr>
              <w:widowControl/>
              <w:spacing w:line="360" w:lineRule="auto"/>
              <w:jc w:val="center"/>
              <w:rPr>
                <w:b/>
                <w:color w:val="auto"/>
                <w:sz w:val="24"/>
                <w:highlight w:val="none"/>
              </w:rPr>
            </w:pPr>
            <w:r>
              <w:rPr>
                <w:b/>
                <w:color w:val="auto"/>
                <w:kern w:val="0"/>
                <w:sz w:val="24"/>
                <w:highlight w:val="none"/>
              </w:rPr>
              <w:t>表4-</w:t>
            </w:r>
            <w:r>
              <w:rPr>
                <w:rFonts w:hint="eastAsia"/>
                <w:b/>
                <w:color w:val="auto"/>
                <w:kern w:val="0"/>
                <w:sz w:val="24"/>
                <w:highlight w:val="none"/>
              </w:rPr>
              <w:t xml:space="preserve">18  </w:t>
            </w:r>
            <w:r>
              <w:rPr>
                <w:b/>
                <w:color w:val="auto"/>
                <w:kern w:val="0"/>
                <w:sz w:val="24"/>
                <w:highlight w:val="none"/>
              </w:rPr>
              <w:t>工业企业噪声源强调查清单（室内声源）</w:t>
            </w:r>
          </w:p>
          <w:tbl>
            <w:tblPr>
              <w:tblStyle w:val="3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25"/>
              <w:gridCol w:w="569"/>
              <w:gridCol w:w="1312"/>
              <w:gridCol w:w="536"/>
              <w:gridCol w:w="508"/>
              <w:gridCol w:w="812"/>
              <w:gridCol w:w="419"/>
              <w:gridCol w:w="271"/>
              <w:gridCol w:w="590"/>
              <w:gridCol w:w="527"/>
              <w:gridCol w:w="489"/>
              <w:gridCol w:w="790"/>
              <w:gridCol w:w="790"/>
              <w:gridCol w:w="5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302"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ind w:left="-105" w:leftChars="-50" w:right="-105" w:rightChars="-50"/>
                    <w:jc w:val="center"/>
                    <w:rPr>
                      <w:color w:val="auto"/>
                      <w:sz w:val="18"/>
                      <w:szCs w:val="18"/>
                      <w:highlight w:val="none"/>
                    </w:rPr>
                  </w:pPr>
                  <w:r>
                    <w:rPr>
                      <w:color w:val="auto"/>
                      <w:sz w:val="18"/>
                      <w:szCs w:val="18"/>
                      <w:highlight w:val="none"/>
                    </w:rPr>
                    <w:t>序号</w:t>
                  </w:r>
                </w:p>
              </w:tc>
              <w:tc>
                <w:tcPr>
                  <w:tcW w:w="327"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ind w:left="-105" w:leftChars="-50" w:right="-105" w:rightChars="-50"/>
                    <w:jc w:val="center"/>
                    <w:rPr>
                      <w:color w:val="auto"/>
                      <w:sz w:val="18"/>
                      <w:szCs w:val="18"/>
                      <w:highlight w:val="none"/>
                    </w:rPr>
                  </w:pPr>
                  <w:r>
                    <w:rPr>
                      <w:color w:val="auto"/>
                      <w:sz w:val="18"/>
                      <w:szCs w:val="18"/>
                      <w:highlight w:val="none"/>
                    </w:rPr>
                    <w:t>建筑物名称</w:t>
                  </w:r>
                </w:p>
              </w:tc>
              <w:tc>
                <w:tcPr>
                  <w:tcW w:w="754"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ind w:left="-105" w:leftChars="-50" w:right="-105" w:rightChars="-50"/>
                    <w:jc w:val="center"/>
                    <w:rPr>
                      <w:color w:val="auto"/>
                      <w:sz w:val="18"/>
                      <w:szCs w:val="18"/>
                      <w:highlight w:val="none"/>
                    </w:rPr>
                  </w:pPr>
                  <w:r>
                    <w:rPr>
                      <w:color w:val="auto"/>
                      <w:sz w:val="18"/>
                      <w:szCs w:val="18"/>
                      <w:highlight w:val="none"/>
                    </w:rPr>
                    <w:t>声源名称</w:t>
                  </w:r>
                </w:p>
              </w:tc>
              <w:tc>
                <w:tcPr>
                  <w:tcW w:w="308"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ind w:left="-105" w:leftChars="-50" w:right="-105" w:rightChars="-50"/>
                    <w:jc w:val="center"/>
                    <w:rPr>
                      <w:color w:val="auto"/>
                      <w:sz w:val="18"/>
                      <w:szCs w:val="18"/>
                      <w:highlight w:val="none"/>
                    </w:rPr>
                  </w:pPr>
                  <w:r>
                    <w:rPr>
                      <w:rFonts w:hint="eastAsia"/>
                      <w:color w:val="auto"/>
                      <w:sz w:val="18"/>
                      <w:szCs w:val="18"/>
                      <w:highlight w:val="none"/>
                    </w:rPr>
                    <w:t>数量</w:t>
                  </w:r>
                </w:p>
              </w:tc>
              <w:tc>
                <w:tcPr>
                  <w:tcW w:w="292" w:type="pct"/>
                  <w:vMerge w:val="restart"/>
                  <w:tcBorders>
                    <w:top w:val="single" w:color="auto" w:sz="4" w:space="0"/>
                    <w:left w:val="single" w:color="auto" w:sz="4" w:space="0"/>
                    <w:right w:val="single" w:color="auto" w:sz="4" w:space="0"/>
                  </w:tcBorders>
                  <w:shd w:val="clear" w:color="auto" w:fill="auto"/>
                  <w:vAlign w:val="center"/>
                </w:tcPr>
                <w:p>
                  <w:pPr>
                    <w:ind w:left="-105" w:leftChars="-50" w:right="-105" w:rightChars="-50"/>
                    <w:jc w:val="center"/>
                    <w:rPr>
                      <w:color w:val="auto"/>
                      <w:sz w:val="18"/>
                      <w:szCs w:val="18"/>
                      <w:highlight w:val="none"/>
                    </w:rPr>
                  </w:pPr>
                  <w:r>
                    <w:rPr>
                      <w:color w:val="auto"/>
                      <w:sz w:val="18"/>
                      <w:szCs w:val="18"/>
                      <w:highlight w:val="none"/>
                    </w:rPr>
                    <w:t>等效</w:t>
                  </w:r>
                </w:p>
                <w:p>
                  <w:pPr>
                    <w:ind w:left="-105" w:leftChars="-50" w:right="-105" w:rightChars="-50"/>
                    <w:jc w:val="center"/>
                    <w:rPr>
                      <w:color w:val="auto"/>
                      <w:sz w:val="18"/>
                      <w:szCs w:val="18"/>
                      <w:highlight w:val="none"/>
                    </w:rPr>
                  </w:pPr>
                  <w:r>
                    <w:rPr>
                      <w:color w:val="auto"/>
                      <w:sz w:val="18"/>
                      <w:szCs w:val="18"/>
                      <w:highlight w:val="none"/>
                    </w:rPr>
                    <w:t>声级</w:t>
                  </w:r>
                </w:p>
                <w:p>
                  <w:pPr>
                    <w:ind w:left="-105" w:leftChars="-50" w:right="-105" w:rightChars="-50"/>
                    <w:jc w:val="center"/>
                    <w:rPr>
                      <w:color w:val="auto"/>
                      <w:sz w:val="18"/>
                      <w:szCs w:val="18"/>
                      <w:highlight w:val="none"/>
                    </w:rPr>
                  </w:pPr>
                  <w:r>
                    <w:rPr>
                      <w:color w:val="auto"/>
                      <w:sz w:val="18"/>
                      <w:szCs w:val="18"/>
                      <w:highlight w:val="none"/>
                    </w:rPr>
                    <w:t>dB(A)</w:t>
                  </w:r>
                </w:p>
              </w:tc>
              <w:tc>
                <w:tcPr>
                  <w:tcW w:w="467"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ind w:left="-105" w:leftChars="-50" w:right="-105" w:rightChars="-50"/>
                    <w:jc w:val="center"/>
                    <w:rPr>
                      <w:color w:val="auto"/>
                      <w:sz w:val="18"/>
                      <w:szCs w:val="18"/>
                      <w:highlight w:val="none"/>
                    </w:rPr>
                  </w:pPr>
                  <w:r>
                    <w:rPr>
                      <w:color w:val="auto"/>
                      <w:sz w:val="18"/>
                      <w:szCs w:val="18"/>
                      <w:highlight w:val="none"/>
                    </w:rPr>
                    <w:t>声源控制措施</w:t>
                  </w:r>
                </w:p>
              </w:tc>
              <w:tc>
                <w:tcPr>
                  <w:tcW w:w="736" w:type="pct"/>
                  <w:gridSpan w:val="3"/>
                  <w:vMerge w:val="restart"/>
                  <w:tcBorders>
                    <w:top w:val="single" w:color="auto" w:sz="4" w:space="0"/>
                    <w:left w:val="single" w:color="auto" w:sz="4" w:space="0"/>
                    <w:bottom w:val="single" w:color="auto" w:sz="4" w:space="0"/>
                    <w:right w:val="single" w:color="auto" w:sz="4" w:space="0"/>
                  </w:tcBorders>
                  <w:shd w:val="clear" w:color="auto" w:fill="auto"/>
                  <w:vAlign w:val="center"/>
                </w:tcPr>
                <w:p>
                  <w:pPr>
                    <w:ind w:left="-105" w:leftChars="-50" w:right="-105" w:rightChars="-50"/>
                    <w:jc w:val="center"/>
                    <w:rPr>
                      <w:color w:val="auto"/>
                      <w:sz w:val="18"/>
                      <w:szCs w:val="18"/>
                      <w:highlight w:val="none"/>
                    </w:rPr>
                  </w:pPr>
                  <w:r>
                    <w:rPr>
                      <w:color w:val="auto"/>
                      <w:sz w:val="18"/>
                      <w:szCs w:val="18"/>
                      <w:highlight w:val="none"/>
                    </w:rPr>
                    <w:t>空间相对位置m</w:t>
                  </w:r>
                </w:p>
              </w:tc>
              <w:tc>
                <w:tcPr>
                  <w:tcW w:w="30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ind w:left="-105" w:leftChars="-50" w:right="-105" w:rightChars="-50"/>
                    <w:jc w:val="center"/>
                    <w:rPr>
                      <w:color w:val="auto"/>
                      <w:sz w:val="18"/>
                      <w:szCs w:val="18"/>
                      <w:highlight w:val="none"/>
                    </w:rPr>
                  </w:pPr>
                  <w:r>
                    <w:rPr>
                      <w:color w:val="auto"/>
                      <w:sz w:val="18"/>
                      <w:szCs w:val="18"/>
                      <w:highlight w:val="none"/>
                    </w:rPr>
                    <w:t>距室内边</w:t>
                  </w:r>
                </w:p>
                <w:p>
                  <w:pPr>
                    <w:ind w:left="-105" w:leftChars="-50" w:right="-105" w:rightChars="-50"/>
                    <w:jc w:val="center"/>
                    <w:rPr>
                      <w:color w:val="auto"/>
                      <w:sz w:val="18"/>
                      <w:szCs w:val="18"/>
                      <w:highlight w:val="none"/>
                    </w:rPr>
                  </w:pPr>
                  <w:r>
                    <w:rPr>
                      <w:color w:val="auto"/>
                      <w:sz w:val="18"/>
                      <w:szCs w:val="18"/>
                      <w:highlight w:val="none"/>
                    </w:rPr>
                    <w:t>界距离m</w:t>
                  </w:r>
                </w:p>
              </w:tc>
              <w:tc>
                <w:tcPr>
                  <w:tcW w:w="281"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ind w:left="-105" w:leftChars="-50" w:right="-105" w:rightChars="-50"/>
                    <w:jc w:val="center"/>
                    <w:rPr>
                      <w:color w:val="auto"/>
                      <w:sz w:val="18"/>
                      <w:szCs w:val="18"/>
                      <w:highlight w:val="none"/>
                    </w:rPr>
                  </w:pPr>
                  <w:r>
                    <w:rPr>
                      <w:color w:val="auto"/>
                      <w:sz w:val="18"/>
                      <w:szCs w:val="18"/>
                      <w:highlight w:val="none"/>
                    </w:rPr>
                    <w:t>运行时段</w:t>
                  </w:r>
                </w:p>
              </w:tc>
              <w:tc>
                <w:tcPr>
                  <w:tcW w:w="454"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ind w:left="-105" w:leftChars="-50" w:right="-105" w:rightChars="-50"/>
                    <w:jc w:val="center"/>
                    <w:rPr>
                      <w:color w:val="auto"/>
                      <w:sz w:val="18"/>
                      <w:szCs w:val="18"/>
                      <w:highlight w:val="none"/>
                    </w:rPr>
                  </w:pPr>
                  <w:r>
                    <w:rPr>
                      <w:color w:val="auto"/>
                      <w:sz w:val="18"/>
                      <w:szCs w:val="18"/>
                      <w:highlight w:val="none"/>
                    </w:rPr>
                    <w:t>建筑物</w:t>
                  </w:r>
                </w:p>
                <w:p>
                  <w:pPr>
                    <w:ind w:left="-105" w:leftChars="-50" w:right="-105" w:rightChars="-50"/>
                    <w:jc w:val="center"/>
                    <w:rPr>
                      <w:color w:val="auto"/>
                      <w:sz w:val="18"/>
                      <w:szCs w:val="18"/>
                      <w:highlight w:val="none"/>
                    </w:rPr>
                  </w:pPr>
                  <w:r>
                    <w:rPr>
                      <w:color w:val="auto"/>
                      <w:sz w:val="18"/>
                      <w:szCs w:val="18"/>
                      <w:highlight w:val="none"/>
                    </w:rPr>
                    <w:t>插入损</w:t>
                  </w:r>
                </w:p>
                <w:p>
                  <w:pPr>
                    <w:ind w:left="-105" w:leftChars="-50" w:right="-105" w:rightChars="-50"/>
                    <w:jc w:val="center"/>
                    <w:rPr>
                      <w:color w:val="auto"/>
                      <w:sz w:val="18"/>
                      <w:szCs w:val="18"/>
                      <w:highlight w:val="none"/>
                    </w:rPr>
                  </w:pPr>
                  <w:r>
                    <w:rPr>
                      <w:color w:val="auto"/>
                      <w:sz w:val="18"/>
                      <w:szCs w:val="18"/>
                      <w:highlight w:val="none"/>
                    </w:rPr>
                    <w:t>失</w:t>
                  </w:r>
                </w:p>
                <w:p>
                  <w:pPr>
                    <w:ind w:left="-105" w:leftChars="-50" w:right="-105" w:rightChars="-50"/>
                    <w:jc w:val="center"/>
                    <w:rPr>
                      <w:color w:val="auto"/>
                      <w:sz w:val="18"/>
                      <w:szCs w:val="18"/>
                      <w:highlight w:val="none"/>
                    </w:rPr>
                  </w:pPr>
                  <w:r>
                    <w:rPr>
                      <w:color w:val="auto"/>
                      <w:sz w:val="18"/>
                      <w:szCs w:val="18"/>
                      <w:highlight w:val="none"/>
                    </w:rPr>
                    <w:t>dB(A)</w:t>
                  </w:r>
                </w:p>
              </w:tc>
              <w:tc>
                <w:tcPr>
                  <w:tcW w:w="771"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ind w:left="-105" w:leftChars="-50" w:right="-105" w:rightChars="-50"/>
                    <w:jc w:val="center"/>
                    <w:rPr>
                      <w:color w:val="auto"/>
                      <w:sz w:val="18"/>
                      <w:szCs w:val="18"/>
                      <w:highlight w:val="none"/>
                    </w:rPr>
                  </w:pPr>
                  <w:r>
                    <w:rPr>
                      <w:color w:val="auto"/>
                      <w:sz w:val="18"/>
                      <w:szCs w:val="18"/>
                      <w:highlight w:val="none"/>
                    </w:rPr>
                    <w:t>建筑物外噪声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302"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auto"/>
                      <w:szCs w:val="22"/>
                      <w:highlight w:val="none"/>
                    </w:rPr>
                  </w:pPr>
                </w:p>
              </w:tc>
              <w:tc>
                <w:tcPr>
                  <w:tcW w:w="327"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auto"/>
                      <w:szCs w:val="22"/>
                      <w:highlight w:val="none"/>
                    </w:rPr>
                  </w:pPr>
                </w:p>
              </w:tc>
              <w:tc>
                <w:tcPr>
                  <w:tcW w:w="754"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auto"/>
                      <w:szCs w:val="22"/>
                      <w:highlight w:val="none"/>
                    </w:rPr>
                  </w:pPr>
                </w:p>
              </w:tc>
              <w:tc>
                <w:tcPr>
                  <w:tcW w:w="308"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auto"/>
                      <w:szCs w:val="22"/>
                      <w:highlight w:val="none"/>
                    </w:rPr>
                  </w:pPr>
                </w:p>
              </w:tc>
              <w:tc>
                <w:tcPr>
                  <w:tcW w:w="292" w:type="pct"/>
                  <w:vMerge w:val="continue"/>
                  <w:tcBorders>
                    <w:left w:val="single" w:color="auto" w:sz="4" w:space="0"/>
                    <w:right w:val="single" w:color="auto" w:sz="4" w:space="0"/>
                  </w:tcBorders>
                  <w:shd w:val="clear" w:color="auto" w:fill="auto"/>
                  <w:vAlign w:val="center"/>
                </w:tcPr>
                <w:p>
                  <w:pPr>
                    <w:ind w:left="-105" w:leftChars="-50" w:right="-105" w:rightChars="-50"/>
                    <w:jc w:val="center"/>
                    <w:rPr>
                      <w:color w:val="auto"/>
                      <w:sz w:val="18"/>
                      <w:szCs w:val="18"/>
                      <w:highlight w:val="none"/>
                    </w:rPr>
                  </w:pPr>
                </w:p>
              </w:tc>
              <w:tc>
                <w:tcPr>
                  <w:tcW w:w="467"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auto"/>
                      <w:szCs w:val="22"/>
                      <w:highlight w:val="none"/>
                    </w:rPr>
                  </w:pPr>
                </w:p>
              </w:tc>
              <w:tc>
                <w:tcPr>
                  <w:tcW w:w="736" w:type="pct"/>
                  <w:gridSpan w:val="3"/>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auto"/>
                      <w:szCs w:val="22"/>
                      <w:highlight w:val="none"/>
                    </w:rPr>
                  </w:pPr>
                </w:p>
              </w:tc>
              <w:tc>
                <w:tcPr>
                  <w:tcW w:w="303"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auto"/>
                      <w:szCs w:val="22"/>
                      <w:highlight w:val="none"/>
                    </w:rPr>
                  </w:pPr>
                </w:p>
              </w:tc>
              <w:tc>
                <w:tcPr>
                  <w:tcW w:w="281"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auto"/>
                      <w:szCs w:val="22"/>
                      <w:highlight w:val="none"/>
                    </w:rPr>
                  </w:pPr>
                </w:p>
              </w:tc>
              <w:tc>
                <w:tcPr>
                  <w:tcW w:w="454"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auto"/>
                      <w:szCs w:val="22"/>
                      <w:highlight w:val="none"/>
                    </w:rPr>
                  </w:pPr>
                </w:p>
              </w:tc>
              <w:tc>
                <w:tcPr>
                  <w:tcW w:w="454"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ind w:left="-105" w:leftChars="-50" w:right="-105" w:rightChars="-50"/>
                    <w:jc w:val="center"/>
                    <w:rPr>
                      <w:color w:val="auto"/>
                      <w:sz w:val="18"/>
                      <w:szCs w:val="18"/>
                      <w:highlight w:val="none"/>
                    </w:rPr>
                  </w:pPr>
                  <w:r>
                    <w:rPr>
                      <w:color w:val="auto"/>
                      <w:sz w:val="18"/>
                      <w:szCs w:val="18"/>
                      <w:highlight w:val="none"/>
                    </w:rPr>
                    <w:t>声压级</w:t>
                  </w:r>
                </w:p>
                <w:p>
                  <w:pPr>
                    <w:ind w:left="-105" w:leftChars="-50" w:right="-105" w:rightChars="-50"/>
                    <w:jc w:val="center"/>
                    <w:rPr>
                      <w:color w:val="auto"/>
                      <w:sz w:val="18"/>
                      <w:szCs w:val="18"/>
                      <w:highlight w:val="none"/>
                    </w:rPr>
                  </w:pPr>
                  <w:r>
                    <w:rPr>
                      <w:color w:val="auto"/>
                      <w:sz w:val="18"/>
                      <w:szCs w:val="18"/>
                      <w:highlight w:val="none"/>
                    </w:rPr>
                    <w:t>dB(A)</w:t>
                  </w:r>
                </w:p>
              </w:tc>
              <w:tc>
                <w:tcPr>
                  <w:tcW w:w="316"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ind w:left="-105" w:leftChars="-50" w:right="-105" w:rightChars="-50"/>
                    <w:jc w:val="center"/>
                    <w:rPr>
                      <w:color w:val="auto"/>
                      <w:sz w:val="18"/>
                      <w:szCs w:val="18"/>
                      <w:highlight w:val="none"/>
                    </w:rPr>
                  </w:pPr>
                  <w:r>
                    <w:rPr>
                      <w:color w:val="auto"/>
                      <w:sz w:val="18"/>
                      <w:szCs w:val="18"/>
                      <w:highlight w:val="none"/>
                    </w:rPr>
                    <w:t>建筑物外距离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02"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auto"/>
                      <w:szCs w:val="22"/>
                      <w:highlight w:val="none"/>
                    </w:rPr>
                  </w:pPr>
                </w:p>
              </w:tc>
              <w:tc>
                <w:tcPr>
                  <w:tcW w:w="327"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auto"/>
                      <w:szCs w:val="22"/>
                      <w:highlight w:val="none"/>
                    </w:rPr>
                  </w:pPr>
                </w:p>
              </w:tc>
              <w:tc>
                <w:tcPr>
                  <w:tcW w:w="754"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auto"/>
                      <w:szCs w:val="22"/>
                      <w:highlight w:val="none"/>
                    </w:rPr>
                  </w:pPr>
                </w:p>
              </w:tc>
              <w:tc>
                <w:tcPr>
                  <w:tcW w:w="308"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auto"/>
                      <w:szCs w:val="22"/>
                      <w:highlight w:val="none"/>
                    </w:rPr>
                  </w:pPr>
                </w:p>
              </w:tc>
              <w:tc>
                <w:tcPr>
                  <w:tcW w:w="292" w:type="pct"/>
                  <w:vMerge w:val="continue"/>
                  <w:tcBorders>
                    <w:left w:val="single" w:color="auto" w:sz="4" w:space="0"/>
                    <w:bottom w:val="single" w:color="auto" w:sz="4" w:space="0"/>
                    <w:right w:val="single" w:color="auto" w:sz="4" w:space="0"/>
                  </w:tcBorders>
                  <w:shd w:val="clear" w:color="auto" w:fill="auto"/>
                  <w:vAlign w:val="center"/>
                </w:tcPr>
                <w:p>
                  <w:pPr>
                    <w:jc w:val="center"/>
                    <w:rPr>
                      <w:color w:val="auto"/>
                      <w:szCs w:val="22"/>
                      <w:highlight w:val="none"/>
                    </w:rPr>
                  </w:pPr>
                </w:p>
              </w:tc>
              <w:tc>
                <w:tcPr>
                  <w:tcW w:w="467"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auto"/>
                      <w:szCs w:val="22"/>
                      <w:highlight w:val="none"/>
                    </w:rPr>
                  </w:pPr>
                </w:p>
              </w:tc>
              <w:tc>
                <w:tcPr>
                  <w:tcW w:w="241" w:type="pct"/>
                  <w:tcBorders>
                    <w:top w:val="single" w:color="auto" w:sz="4" w:space="0"/>
                    <w:left w:val="single" w:color="auto" w:sz="4" w:space="0"/>
                    <w:bottom w:val="single" w:color="auto" w:sz="4" w:space="0"/>
                    <w:right w:val="single" w:color="auto" w:sz="4" w:space="0"/>
                  </w:tcBorders>
                  <w:shd w:val="clear" w:color="auto" w:fill="auto"/>
                  <w:vAlign w:val="center"/>
                </w:tcPr>
                <w:p>
                  <w:pPr>
                    <w:ind w:left="-105" w:leftChars="-50" w:right="-105" w:rightChars="-50"/>
                    <w:jc w:val="center"/>
                    <w:rPr>
                      <w:color w:val="auto"/>
                      <w:sz w:val="18"/>
                      <w:szCs w:val="18"/>
                      <w:highlight w:val="none"/>
                    </w:rPr>
                  </w:pPr>
                  <w:r>
                    <w:rPr>
                      <w:color w:val="auto"/>
                      <w:sz w:val="18"/>
                      <w:szCs w:val="18"/>
                      <w:highlight w:val="none"/>
                    </w:rPr>
                    <w:t>X</w:t>
                  </w:r>
                </w:p>
              </w:tc>
              <w:tc>
                <w:tcPr>
                  <w:tcW w:w="156" w:type="pct"/>
                  <w:tcBorders>
                    <w:top w:val="single" w:color="auto" w:sz="4" w:space="0"/>
                    <w:left w:val="single" w:color="auto" w:sz="4" w:space="0"/>
                    <w:bottom w:val="single" w:color="auto" w:sz="4" w:space="0"/>
                    <w:right w:val="single" w:color="auto" w:sz="4" w:space="0"/>
                  </w:tcBorders>
                  <w:shd w:val="clear" w:color="auto" w:fill="auto"/>
                  <w:vAlign w:val="center"/>
                </w:tcPr>
                <w:p>
                  <w:pPr>
                    <w:ind w:left="-105" w:leftChars="-50" w:right="-105" w:rightChars="-50"/>
                    <w:jc w:val="center"/>
                    <w:rPr>
                      <w:color w:val="auto"/>
                      <w:sz w:val="18"/>
                      <w:szCs w:val="18"/>
                      <w:highlight w:val="none"/>
                    </w:rPr>
                  </w:pPr>
                  <w:r>
                    <w:rPr>
                      <w:color w:val="auto"/>
                      <w:sz w:val="18"/>
                      <w:szCs w:val="18"/>
                      <w:highlight w:val="none"/>
                    </w:rPr>
                    <w:t>Y</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ind w:left="-105" w:leftChars="-50" w:right="-105" w:rightChars="-50"/>
                    <w:jc w:val="center"/>
                    <w:rPr>
                      <w:color w:val="auto"/>
                      <w:sz w:val="18"/>
                      <w:szCs w:val="18"/>
                      <w:highlight w:val="none"/>
                    </w:rPr>
                  </w:pPr>
                  <w:r>
                    <w:rPr>
                      <w:color w:val="auto"/>
                      <w:sz w:val="18"/>
                      <w:szCs w:val="18"/>
                      <w:highlight w:val="none"/>
                    </w:rPr>
                    <w:t>Z</w:t>
                  </w:r>
                </w:p>
              </w:tc>
              <w:tc>
                <w:tcPr>
                  <w:tcW w:w="303"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auto"/>
                      <w:szCs w:val="22"/>
                      <w:highlight w:val="none"/>
                    </w:rPr>
                  </w:pPr>
                </w:p>
              </w:tc>
              <w:tc>
                <w:tcPr>
                  <w:tcW w:w="281"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auto"/>
                      <w:szCs w:val="22"/>
                      <w:highlight w:val="none"/>
                    </w:rPr>
                  </w:pPr>
                </w:p>
              </w:tc>
              <w:tc>
                <w:tcPr>
                  <w:tcW w:w="454"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auto"/>
                      <w:szCs w:val="22"/>
                      <w:highlight w:val="none"/>
                    </w:rPr>
                  </w:pPr>
                </w:p>
              </w:tc>
              <w:tc>
                <w:tcPr>
                  <w:tcW w:w="454"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auto"/>
                      <w:szCs w:val="22"/>
                      <w:highlight w:val="none"/>
                    </w:rPr>
                  </w:pPr>
                </w:p>
              </w:tc>
              <w:tc>
                <w:tcPr>
                  <w:tcW w:w="316"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auto"/>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 w:hRule="atLeast"/>
              </w:trPr>
              <w:tc>
                <w:tcPr>
                  <w:tcW w:w="302" w:type="pct"/>
                  <w:vMerge w:val="restart"/>
                  <w:tcBorders>
                    <w:top w:val="single" w:color="auto" w:sz="4" w:space="0"/>
                    <w:left w:val="single" w:color="auto" w:sz="4" w:space="0"/>
                    <w:right w:val="single" w:color="auto" w:sz="4" w:space="0"/>
                  </w:tcBorders>
                  <w:shd w:val="clear" w:color="auto" w:fill="auto"/>
                  <w:vAlign w:val="center"/>
                </w:tcPr>
                <w:p>
                  <w:pPr>
                    <w:ind w:left="-105" w:leftChars="-50" w:right="-105" w:rightChars="-50"/>
                    <w:jc w:val="center"/>
                    <w:rPr>
                      <w:color w:val="auto"/>
                      <w:sz w:val="18"/>
                      <w:szCs w:val="18"/>
                      <w:highlight w:val="none"/>
                    </w:rPr>
                  </w:pPr>
                  <w:r>
                    <w:rPr>
                      <w:color w:val="auto"/>
                      <w:sz w:val="18"/>
                      <w:szCs w:val="18"/>
                      <w:highlight w:val="none"/>
                    </w:rPr>
                    <w:t>1</w:t>
                  </w:r>
                </w:p>
              </w:tc>
              <w:tc>
                <w:tcPr>
                  <w:tcW w:w="327" w:type="pct"/>
                  <w:vMerge w:val="restart"/>
                  <w:tcBorders>
                    <w:top w:val="single" w:color="auto" w:sz="4" w:space="0"/>
                    <w:left w:val="single" w:color="auto" w:sz="4" w:space="0"/>
                    <w:right w:val="single" w:color="auto" w:sz="4" w:space="0"/>
                  </w:tcBorders>
                  <w:shd w:val="clear" w:color="auto" w:fill="auto"/>
                  <w:vAlign w:val="center"/>
                </w:tcPr>
                <w:p>
                  <w:pPr>
                    <w:ind w:left="-105" w:leftChars="-50" w:right="-105" w:rightChars="-50"/>
                    <w:jc w:val="center"/>
                    <w:rPr>
                      <w:color w:val="auto"/>
                      <w:sz w:val="18"/>
                      <w:szCs w:val="18"/>
                      <w:highlight w:val="none"/>
                    </w:rPr>
                  </w:pPr>
                  <w:r>
                    <w:rPr>
                      <w:rFonts w:hint="eastAsia"/>
                      <w:color w:val="auto"/>
                      <w:sz w:val="18"/>
                      <w:szCs w:val="18"/>
                      <w:highlight w:val="none"/>
                    </w:rPr>
                    <w:t>8号厂房</w:t>
                  </w:r>
                </w:p>
              </w:tc>
              <w:tc>
                <w:tcPr>
                  <w:tcW w:w="754"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auto"/>
                      <w:sz w:val="18"/>
                      <w:szCs w:val="18"/>
                      <w:highlight w:val="none"/>
                    </w:rPr>
                  </w:pPr>
                  <w:r>
                    <w:rPr>
                      <w:bCs/>
                      <w:color w:val="auto"/>
                      <w:sz w:val="18"/>
                      <w:szCs w:val="18"/>
                      <w:highlight w:val="none"/>
                    </w:rPr>
                    <w:t>超声波清洗机</w:t>
                  </w:r>
                </w:p>
              </w:tc>
              <w:tc>
                <w:tcPr>
                  <w:tcW w:w="308" w:type="pct"/>
                  <w:tcBorders>
                    <w:top w:val="single" w:color="auto" w:sz="4" w:space="0"/>
                    <w:left w:val="single" w:color="auto" w:sz="4" w:space="0"/>
                    <w:bottom w:val="single" w:color="auto" w:sz="4" w:space="0"/>
                    <w:right w:val="single" w:color="auto" w:sz="4" w:space="0"/>
                  </w:tcBorders>
                  <w:shd w:val="clear" w:color="auto" w:fill="auto"/>
                  <w:vAlign w:val="center"/>
                </w:tcPr>
                <w:p>
                  <w:pPr>
                    <w:ind w:left="-105" w:leftChars="-50" w:right="-105" w:rightChars="-50"/>
                    <w:jc w:val="center"/>
                    <w:rPr>
                      <w:color w:val="auto"/>
                      <w:sz w:val="18"/>
                      <w:szCs w:val="18"/>
                      <w:highlight w:val="none"/>
                    </w:rPr>
                  </w:pPr>
                  <w:r>
                    <w:rPr>
                      <w:rFonts w:hint="eastAsia"/>
                      <w:color w:val="auto"/>
                      <w:sz w:val="18"/>
                      <w:szCs w:val="18"/>
                      <w:highlight w:val="none"/>
                    </w:rPr>
                    <w:t>1</w:t>
                  </w:r>
                </w:p>
              </w:tc>
              <w:tc>
                <w:tcPr>
                  <w:tcW w:w="292" w:type="pct"/>
                  <w:tcBorders>
                    <w:top w:val="single" w:color="auto" w:sz="4" w:space="0"/>
                    <w:left w:val="single" w:color="auto" w:sz="4" w:space="0"/>
                    <w:bottom w:val="single" w:color="auto" w:sz="4" w:space="0"/>
                    <w:right w:val="single" w:color="auto" w:sz="4" w:space="0"/>
                  </w:tcBorders>
                  <w:shd w:val="clear" w:color="auto" w:fill="auto"/>
                  <w:vAlign w:val="center"/>
                </w:tcPr>
                <w:p>
                  <w:pPr>
                    <w:ind w:left="-105" w:leftChars="-50" w:right="-105" w:rightChars="-50"/>
                    <w:jc w:val="center"/>
                    <w:rPr>
                      <w:color w:val="auto"/>
                      <w:sz w:val="18"/>
                      <w:szCs w:val="18"/>
                      <w:highlight w:val="none"/>
                    </w:rPr>
                  </w:pPr>
                  <w:r>
                    <w:rPr>
                      <w:rFonts w:hint="eastAsia"/>
                      <w:color w:val="auto"/>
                      <w:sz w:val="18"/>
                      <w:szCs w:val="18"/>
                      <w:highlight w:val="none"/>
                    </w:rPr>
                    <w:t>80</w:t>
                  </w:r>
                </w:p>
              </w:tc>
              <w:tc>
                <w:tcPr>
                  <w:tcW w:w="467" w:type="pct"/>
                  <w:vMerge w:val="restart"/>
                  <w:tcBorders>
                    <w:top w:val="single" w:color="auto" w:sz="4" w:space="0"/>
                    <w:left w:val="single" w:color="auto" w:sz="4" w:space="0"/>
                    <w:right w:val="single" w:color="auto" w:sz="4" w:space="0"/>
                  </w:tcBorders>
                  <w:shd w:val="clear" w:color="auto" w:fill="auto"/>
                  <w:vAlign w:val="center"/>
                </w:tcPr>
                <w:p>
                  <w:pPr>
                    <w:ind w:left="-105" w:leftChars="-50" w:right="-105" w:rightChars="-50"/>
                    <w:jc w:val="center"/>
                    <w:rPr>
                      <w:color w:val="auto"/>
                      <w:sz w:val="18"/>
                      <w:szCs w:val="18"/>
                      <w:highlight w:val="none"/>
                    </w:rPr>
                  </w:pPr>
                  <w:r>
                    <w:rPr>
                      <w:rFonts w:hint="eastAsia"/>
                      <w:color w:val="auto"/>
                      <w:sz w:val="18"/>
                      <w:szCs w:val="18"/>
                      <w:highlight w:val="none"/>
                    </w:rPr>
                    <w:t>合理布局、减振、隔声、距离衰减。</w:t>
                  </w:r>
                </w:p>
              </w:tc>
              <w:tc>
                <w:tcPr>
                  <w:tcW w:w="241" w:type="pct"/>
                  <w:vMerge w:val="restart"/>
                  <w:tcBorders>
                    <w:top w:val="single" w:color="auto" w:sz="4" w:space="0"/>
                    <w:left w:val="single" w:color="auto" w:sz="4" w:space="0"/>
                    <w:right w:val="single" w:color="auto" w:sz="4" w:space="0"/>
                  </w:tcBorders>
                  <w:shd w:val="clear" w:color="auto" w:fill="auto"/>
                  <w:vAlign w:val="center"/>
                </w:tcPr>
                <w:p>
                  <w:pPr>
                    <w:ind w:left="-105" w:leftChars="-50" w:right="-105" w:rightChars="-50"/>
                    <w:jc w:val="center"/>
                    <w:rPr>
                      <w:color w:val="auto"/>
                      <w:sz w:val="18"/>
                      <w:szCs w:val="18"/>
                      <w:highlight w:val="none"/>
                    </w:rPr>
                  </w:pPr>
                  <w:r>
                    <w:rPr>
                      <w:rFonts w:hint="eastAsia"/>
                      <w:color w:val="auto"/>
                      <w:sz w:val="18"/>
                      <w:szCs w:val="18"/>
                      <w:highlight w:val="none"/>
                    </w:rPr>
                    <w:t>150</w:t>
                  </w:r>
                </w:p>
              </w:tc>
              <w:tc>
                <w:tcPr>
                  <w:tcW w:w="156" w:type="pct"/>
                  <w:vMerge w:val="restart"/>
                  <w:tcBorders>
                    <w:top w:val="single" w:color="auto" w:sz="4" w:space="0"/>
                    <w:left w:val="single" w:color="auto" w:sz="4" w:space="0"/>
                    <w:right w:val="single" w:color="auto" w:sz="4" w:space="0"/>
                  </w:tcBorders>
                  <w:shd w:val="clear" w:color="auto" w:fill="auto"/>
                  <w:vAlign w:val="center"/>
                </w:tcPr>
                <w:p>
                  <w:pPr>
                    <w:ind w:left="-105" w:leftChars="-50" w:right="-105" w:rightChars="-50"/>
                    <w:jc w:val="center"/>
                    <w:rPr>
                      <w:color w:val="auto"/>
                      <w:sz w:val="18"/>
                      <w:szCs w:val="18"/>
                      <w:highlight w:val="none"/>
                    </w:rPr>
                  </w:pPr>
                  <w:r>
                    <w:rPr>
                      <w:rFonts w:hint="eastAsia"/>
                      <w:color w:val="auto"/>
                      <w:sz w:val="18"/>
                      <w:szCs w:val="18"/>
                      <w:highlight w:val="none"/>
                    </w:rPr>
                    <w:t>15</w:t>
                  </w:r>
                </w:p>
              </w:tc>
              <w:tc>
                <w:tcPr>
                  <w:tcW w:w="338" w:type="pct"/>
                  <w:vMerge w:val="restart"/>
                  <w:tcBorders>
                    <w:top w:val="single" w:color="auto" w:sz="4" w:space="0"/>
                    <w:left w:val="single" w:color="auto" w:sz="4" w:space="0"/>
                    <w:right w:val="single" w:color="auto" w:sz="4" w:space="0"/>
                  </w:tcBorders>
                  <w:shd w:val="clear" w:color="auto" w:fill="auto"/>
                  <w:vAlign w:val="center"/>
                </w:tcPr>
                <w:p>
                  <w:pPr>
                    <w:ind w:left="-105" w:leftChars="-50" w:right="-105" w:rightChars="-50"/>
                    <w:jc w:val="center"/>
                    <w:rPr>
                      <w:color w:val="auto"/>
                      <w:sz w:val="18"/>
                      <w:szCs w:val="18"/>
                      <w:highlight w:val="none"/>
                    </w:rPr>
                  </w:pPr>
                  <w:r>
                    <w:rPr>
                      <w:color w:val="auto"/>
                      <w:sz w:val="18"/>
                      <w:szCs w:val="18"/>
                      <w:highlight w:val="none"/>
                    </w:rPr>
                    <w:t>1.5</w:t>
                  </w:r>
                </w:p>
              </w:tc>
              <w:tc>
                <w:tcPr>
                  <w:tcW w:w="303" w:type="pct"/>
                  <w:vMerge w:val="restart"/>
                  <w:tcBorders>
                    <w:top w:val="single" w:color="auto" w:sz="4" w:space="0"/>
                    <w:left w:val="single" w:color="auto" w:sz="4" w:space="0"/>
                    <w:right w:val="single" w:color="auto" w:sz="4" w:space="0"/>
                  </w:tcBorders>
                  <w:shd w:val="clear" w:color="auto" w:fill="auto"/>
                  <w:vAlign w:val="center"/>
                </w:tcPr>
                <w:p>
                  <w:pPr>
                    <w:ind w:left="-105" w:leftChars="-50" w:right="-105" w:rightChars="-50"/>
                    <w:jc w:val="center"/>
                    <w:rPr>
                      <w:color w:val="auto"/>
                      <w:sz w:val="18"/>
                      <w:szCs w:val="18"/>
                      <w:highlight w:val="none"/>
                    </w:rPr>
                  </w:pPr>
                  <w:r>
                    <w:rPr>
                      <w:rFonts w:hint="eastAsia"/>
                      <w:color w:val="auto"/>
                      <w:sz w:val="18"/>
                      <w:szCs w:val="18"/>
                      <w:highlight w:val="none"/>
                    </w:rPr>
                    <w:t>5</w:t>
                  </w:r>
                </w:p>
              </w:tc>
              <w:tc>
                <w:tcPr>
                  <w:tcW w:w="281" w:type="pct"/>
                  <w:vMerge w:val="restart"/>
                  <w:tcBorders>
                    <w:top w:val="single" w:color="auto" w:sz="4" w:space="0"/>
                    <w:left w:val="single" w:color="auto" w:sz="4" w:space="0"/>
                    <w:right w:val="single" w:color="auto" w:sz="4" w:space="0"/>
                  </w:tcBorders>
                  <w:shd w:val="clear" w:color="auto" w:fill="auto"/>
                  <w:vAlign w:val="center"/>
                </w:tcPr>
                <w:p>
                  <w:pPr>
                    <w:ind w:left="-105" w:leftChars="-50" w:right="-105" w:rightChars="-50"/>
                    <w:jc w:val="center"/>
                    <w:rPr>
                      <w:color w:val="auto"/>
                      <w:sz w:val="18"/>
                      <w:szCs w:val="18"/>
                      <w:highlight w:val="none"/>
                    </w:rPr>
                  </w:pPr>
                  <w:r>
                    <w:rPr>
                      <w:rFonts w:hint="eastAsia"/>
                      <w:color w:val="auto"/>
                      <w:sz w:val="18"/>
                      <w:szCs w:val="18"/>
                      <w:highlight w:val="none"/>
                    </w:rPr>
                    <w:t>白</w:t>
                  </w:r>
                  <w:r>
                    <w:rPr>
                      <w:color w:val="auto"/>
                      <w:sz w:val="18"/>
                      <w:szCs w:val="18"/>
                      <w:highlight w:val="none"/>
                    </w:rPr>
                    <w:t>天</w:t>
                  </w:r>
                </w:p>
              </w:tc>
              <w:tc>
                <w:tcPr>
                  <w:tcW w:w="454" w:type="pct"/>
                  <w:vMerge w:val="restart"/>
                  <w:tcBorders>
                    <w:top w:val="single" w:color="auto" w:sz="4" w:space="0"/>
                    <w:left w:val="single" w:color="auto" w:sz="4" w:space="0"/>
                    <w:right w:val="single" w:color="auto" w:sz="4" w:space="0"/>
                  </w:tcBorders>
                  <w:shd w:val="clear" w:color="auto" w:fill="auto"/>
                  <w:vAlign w:val="center"/>
                </w:tcPr>
                <w:p>
                  <w:pPr>
                    <w:ind w:left="-105" w:leftChars="-50" w:right="-105" w:rightChars="-50"/>
                    <w:jc w:val="center"/>
                    <w:rPr>
                      <w:color w:val="auto"/>
                      <w:sz w:val="18"/>
                      <w:szCs w:val="18"/>
                      <w:highlight w:val="none"/>
                    </w:rPr>
                  </w:pPr>
                  <w:r>
                    <w:rPr>
                      <w:rFonts w:hint="eastAsia"/>
                      <w:color w:val="auto"/>
                      <w:sz w:val="18"/>
                      <w:szCs w:val="18"/>
                      <w:highlight w:val="none"/>
                    </w:rPr>
                    <w:t>20</w:t>
                  </w:r>
                </w:p>
              </w:tc>
              <w:tc>
                <w:tcPr>
                  <w:tcW w:w="454" w:type="pct"/>
                  <w:vMerge w:val="restart"/>
                  <w:tcBorders>
                    <w:top w:val="single" w:color="auto" w:sz="4" w:space="0"/>
                    <w:left w:val="single" w:color="auto" w:sz="4" w:space="0"/>
                    <w:right w:val="single" w:color="auto" w:sz="4" w:space="0"/>
                  </w:tcBorders>
                  <w:shd w:val="clear" w:color="auto" w:fill="auto"/>
                  <w:vAlign w:val="center"/>
                </w:tcPr>
                <w:p>
                  <w:pPr>
                    <w:ind w:left="-105" w:leftChars="-50" w:right="-105" w:rightChars="-50"/>
                    <w:jc w:val="center"/>
                    <w:rPr>
                      <w:color w:val="auto"/>
                      <w:sz w:val="18"/>
                      <w:szCs w:val="18"/>
                      <w:highlight w:val="none"/>
                    </w:rPr>
                  </w:pPr>
                  <w:r>
                    <w:rPr>
                      <w:rFonts w:hint="eastAsia"/>
                      <w:color w:val="auto"/>
                      <w:sz w:val="18"/>
                      <w:szCs w:val="18"/>
                      <w:highlight w:val="none"/>
                    </w:rPr>
                    <w:t>60</w:t>
                  </w:r>
                </w:p>
              </w:tc>
              <w:tc>
                <w:tcPr>
                  <w:tcW w:w="316" w:type="pct"/>
                  <w:vMerge w:val="restart"/>
                  <w:tcBorders>
                    <w:top w:val="single" w:color="auto" w:sz="4" w:space="0"/>
                    <w:left w:val="single" w:color="auto" w:sz="4" w:space="0"/>
                    <w:right w:val="single" w:color="auto" w:sz="4" w:space="0"/>
                  </w:tcBorders>
                  <w:shd w:val="clear" w:color="auto" w:fill="auto"/>
                  <w:vAlign w:val="center"/>
                </w:tcPr>
                <w:p>
                  <w:pPr>
                    <w:ind w:left="-105" w:leftChars="-50" w:right="-105" w:rightChars="-50"/>
                    <w:jc w:val="center"/>
                    <w:rPr>
                      <w:color w:val="auto"/>
                      <w:sz w:val="18"/>
                      <w:szCs w:val="18"/>
                      <w:highlight w:val="none"/>
                    </w:rPr>
                  </w:pPr>
                  <w:r>
                    <w:rPr>
                      <w:rFonts w:hint="eastAsia"/>
                      <w:color w:val="auto"/>
                      <w:sz w:val="18"/>
                      <w:szCs w:val="18"/>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1" w:hRule="atLeast"/>
              </w:trPr>
              <w:tc>
                <w:tcPr>
                  <w:tcW w:w="302" w:type="pct"/>
                  <w:vMerge w:val="continue"/>
                  <w:tcBorders>
                    <w:left w:val="single" w:color="auto" w:sz="4" w:space="0"/>
                    <w:bottom w:val="single" w:color="auto" w:sz="4" w:space="0"/>
                    <w:right w:val="single" w:color="auto" w:sz="4" w:space="0"/>
                  </w:tcBorders>
                  <w:shd w:val="clear" w:color="auto" w:fill="auto"/>
                  <w:vAlign w:val="center"/>
                </w:tcPr>
                <w:p>
                  <w:pPr>
                    <w:ind w:left="-105" w:leftChars="-50" w:right="-105" w:rightChars="-50"/>
                    <w:jc w:val="center"/>
                    <w:rPr>
                      <w:color w:val="auto"/>
                      <w:sz w:val="18"/>
                      <w:szCs w:val="18"/>
                      <w:highlight w:val="none"/>
                    </w:rPr>
                  </w:pPr>
                </w:p>
              </w:tc>
              <w:tc>
                <w:tcPr>
                  <w:tcW w:w="327" w:type="pct"/>
                  <w:vMerge w:val="continue"/>
                  <w:tcBorders>
                    <w:left w:val="single" w:color="auto" w:sz="4" w:space="0"/>
                    <w:right w:val="single" w:color="auto" w:sz="4" w:space="0"/>
                  </w:tcBorders>
                  <w:shd w:val="clear" w:color="auto" w:fill="auto"/>
                  <w:vAlign w:val="center"/>
                </w:tcPr>
                <w:p>
                  <w:pPr>
                    <w:ind w:left="-105" w:leftChars="-50" w:right="-105" w:rightChars="-50"/>
                    <w:jc w:val="center"/>
                    <w:rPr>
                      <w:color w:val="auto"/>
                      <w:sz w:val="18"/>
                      <w:szCs w:val="18"/>
                      <w:highlight w:val="none"/>
                    </w:rPr>
                  </w:pPr>
                </w:p>
              </w:tc>
              <w:tc>
                <w:tcPr>
                  <w:tcW w:w="754"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auto"/>
                      <w:sz w:val="18"/>
                      <w:szCs w:val="18"/>
                      <w:highlight w:val="none"/>
                    </w:rPr>
                  </w:pPr>
                  <w:r>
                    <w:rPr>
                      <w:bCs/>
                      <w:color w:val="auto"/>
                      <w:sz w:val="18"/>
                      <w:szCs w:val="18"/>
                      <w:highlight w:val="none"/>
                    </w:rPr>
                    <w:t>等离子清洗机</w:t>
                  </w:r>
                </w:p>
              </w:tc>
              <w:tc>
                <w:tcPr>
                  <w:tcW w:w="308" w:type="pct"/>
                  <w:tcBorders>
                    <w:top w:val="single" w:color="auto" w:sz="4" w:space="0"/>
                    <w:left w:val="single" w:color="auto" w:sz="4" w:space="0"/>
                    <w:bottom w:val="single" w:color="auto" w:sz="4" w:space="0"/>
                    <w:right w:val="single" w:color="auto" w:sz="4" w:space="0"/>
                  </w:tcBorders>
                  <w:shd w:val="clear" w:color="auto" w:fill="auto"/>
                  <w:vAlign w:val="center"/>
                </w:tcPr>
                <w:p>
                  <w:pPr>
                    <w:ind w:left="-105" w:leftChars="-50" w:right="-105" w:rightChars="-50"/>
                    <w:jc w:val="center"/>
                    <w:rPr>
                      <w:color w:val="auto"/>
                      <w:sz w:val="18"/>
                      <w:szCs w:val="18"/>
                      <w:highlight w:val="none"/>
                    </w:rPr>
                  </w:pPr>
                  <w:r>
                    <w:rPr>
                      <w:rFonts w:hint="eastAsia"/>
                      <w:color w:val="auto"/>
                      <w:sz w:val="18"/>
                      <w:szCs w:val="18"/>
                      <w:highlight w:val="none"/>
                    </w:rPr>
                    <w:t>1</w:t>
                  </w:r>
                </w:p>
              </w:tc>
              <w:tc>
                <w:tcPr>
                  <w:tcW w:w="292" w:type="pct"/>
                  <w:tcBorders>
                    <w:top w:val="single" w:color="auto" w:sz="4" w:space="0"/>
                    <w:left w:val="single" w:color="auto" w:sz="4" w:space="0"/>
                    <w:bottom w:val="single" w:color="auto" w:sz="4" w:space="0"/>
                    <w:right w:val="single" w:color="auto" w:sz="4" w:space="0"/>
                  </w:tcBorders>
                  <w:shd w:val="clear" w:color="auto" w:fill="auto"/>
                  <w:vAlign w:val="center"/>
                </w:tcPr>
                <w:p>
                  <w:pPr>
                    <w:ind w:left="-105" w:leftChars="-50" w:right="-105" w:rightChars="-50"/>
                    <w:jc w:val="center"/>
                    <w:rPr>
                      <w:color w:val="auto"/>
                      <w:sz w:val="18"/>
                      <w:szCs w:val="18"/>
                      <w:highlight w:val="none"/>
                    </w:rPr>
                  </w:pPr>
                  <w:r>
                    <w:rPr>
                      <w:rFonts w:hint="eastAsia"/>
                      <w:color w:val="auto"/>
                      <w:sz w:val="18"/>
                      <w:szCs w:val="18"/>
                      <w:highlight w:val="none"/>
                    </w:rPr>
                    <w:t>80</w:t>
                  </w:r>
                </w:p>
              </w:tc>
              <w:tc>
                <w:tcPr>
                  <w:tcW w:w="467" w:type="pct"/>
                  <w:vMerge w:val="continue"/>
                  <w:tcBorders>
                    <w:left w:val="single" w:color="auto" w:sz="4" w:space="0"/>
                    <w:right w:val="single" w:color="auto" w:sz="4" w:space="0"/>
                  </w:tcBorders>
                  <w:shd w:val="clear" w:color="auto" w:fill="auto"/>
                  <w:vAlign w:val="center"/>
                </w:tcPr>
                <w:p>
                  <w:pPr>
                    <w:ind w:left="-105" w:leftChars="-50" w:right="-105" w:rightChars="-50"/>
                    <w:jc w:val="center"/>
                    <w:rPr>
                      <w:color w:val="auto"/>
                      <w:sz w:val="18"/>
                      <w:szCs w:val="18"/>
                      <w:highlight w:val="none"/>
                    </w:rPr>
                  </w:pPr>
                </w:p>
              </w:tc>
              <w:tc>
                <w:tcPr>
                  <w:tcW w:w="241" w:type="pct"/>
                  <w:vMerge w:val="continue"/>
                  <w:tcBorders>
                    <w:left w:val="single" w:color="auto" w:sz="4" w:space="0"/>
                    <w:bottom w:val="single" w:color="auto" w:sz="4" w:space="0"/>
                    <w:right w:val="single" w:color="auto" w:sz="4" w:space="0"/>
                  </w:tcBorders>
                  <w:shd w:val="clear" w:color="auto" w:fill="auto"/>
                  <w:vAlign w:val="center"/>
                </w:tcPr>
                <w:p>
                  <w:pPr>
                    <w:ind w:left="-105" w:leftChars="-50" w:right="-105" w:rightChars="-50"/>
                    <w:jc w:val="center"/>
                    <w:rPr>
                      <w:color w:val="auto"/>
                      <w:sz w:val="18"/>
                      <w:szCs w:val="18"/>
                      <w:highlight w:val="none"/>
                    </w:rPr>
                  </w:pPr>
                </w:p>
              </w:tc>
              <w:tc>
                <w:tcPr>
                  <w:tcW w:w="156" w:type="pct"/>
                  <w:vMerge w:val="continue"/>
                  <w:tcBorders>
                    <w:left w:val="single" w:color="auto" w:sz="4" w:space="0"/>
                    <w:bottom w:val="single" w:color="auto" w:sz="4" w:space="0"/>
                    <w:right w:val="single" w:color="auto" w:sz="4" w:space="0"/>
                  </w:tcBorders>
                  <w:shd w:val="clear" w:color="auto" w:fill="auto"/>
                  <w:vAlign w:val="center"/>
                </w:tcPr>
                <w:p>
                  <w:pPr>
                    <w:ind w:left="-105" w:leftChars="-50" w:right="-105" w:rightChars="-50"/>
                    <w:jc w:val="center"/>
                    <w:rPr>
                      <w:color w:val="auto"/>
                      <w:sz w:val="18"/>
                      <w:szCs w:val="18"/>
                      <w:highlight w:val="none"/>
                    </w:rPr>
                  </w:pPr>
                </w:p>
              </w:tc>
              <w:tc>
                <w:tcPr>
                  <w:tcW w:w="338" w:type="pct"/>
                  <w:vMerge w:val="continue"/>
                  <w:tcBorders>
                    <w:left w:val="single" w:color="auto" w:sz="4" w:space="0"/>
                    <w:bottom w:val="single" w:color="auto" w:sz="4" w:space="0"/>
                    <w:right w:val="single" w:color="auto" w:sz="4" w:space="0"/>
                  </w:tcBorders>
                  <w:shd w:val="clear" w:color="auto" w:fill="auto"/>
                  <w:vAlign w:val="center"/>
                </w:tcPr>
                <w:p>
                  <w:pPr>
                    <w:ind w:left="-105" w:leftChars="-50" w:right="-105" w:rightChars="-50"/>
                    <w:jc w:val="center"/>
                    <w:rPr>
                      <w:color w:val="auto"/>
                      <w:sz w:val="18"/>
                      <w:szCs w:val="18"/>
                      <w:highlight w:val="none"/>
                    </w:rPr>
                  </w:pPr>
                </w:p>
              </w:tc>
              <w:tc>
                <w:tcPr>
                  <w:tcW w:w="303" w:type="pct"/>
                  <w:vMerge w:val="continue"/>
                  <w:tcBorders>
                    <w:left w:val="single" w:color="auto" w:sz="4" w:space="0"/>
                    <w:bottom w:val="single" w:color="auto" w:sz="4" w:space="0"/>
                    <w:right w:val="single" w:color="auto" w:sz="4" w:space="0"/>
                  </w:tcBorders>
                  <w:shd w:val="clear" w:color="auto" w:fill="auto"/>
                  <w:vAlign w:val="center"/>
                </w:tcPr>
                <w:p>
                  <w:pPr>
                    <w:ind w:left="-105" w:leftChars="-50" w:right="-105" w:rightChars="-50"/>
                    <w:jc w:val="center"/>
                    <w:rPr>
                      <w:color w:val="auto"/>
                      <w:sz w:val="18"/>
                      <w:szCs w:val="18"/>
                      <w:highlight w:val="none"/>
                    </w:rPr>
                  </w:pPr>
                </w:p>
              </w:tc>
              <w:tc>
                <w:tcPr>
                  <w:tcW w:w="281" w:type="pct"/>
                  <w:vMerge w:val="continue"/>
                  <w:tcBorders>
                    <w:left w:val="single" w:color="auto" w:sz="4" w:space="0"/>
                    <w:bottom w:val="single" w:color="auto" w:sz="4" w:space="0"/>
                    <w:right w:val="single" w:color="auto" w:sz="4" w:space="0"/>
                  </w:tcBorders>
                  <w:shd w:val="clear" w:color="auto" w:fill="auto"/>
                  <w:vAlign w:val="center"/>
                </w:tcPr>
                <w:p>
                  <w:pPr>
                    <w:ind w:left="-105" w:leftChars="-50" w:right="-105" w:rightChars="-50"/>
                    <w:jc w:val="center"/>
                    <w:rPr>
                      <w:color w:val="auto"/>
                      <w:sz w:val="18"/>
                      <w:szCs w:val="18"/>
                      <w:highlight w:val="none"/>
                    </w:rPr>
                  </w:pPr>
                </w:p>
              </w:tc>
              <w:tc>
                <w:tcPr>
                  <w:tcW w:w="454" w:type="pct"/>
                  <w:vMerge w:val="continue"/>
                  <w:tcBorders>
                    <w:left w:val="single" w:color="auto" w:sz="4" w:space="0"/>
                    <w:bottom w:val="single" w:color="auto" w:sz="4" w:space="0"/>
                    <w:right w:val="single" w:color="auto" w:sz="4" w:space="0"/>
                  </w:tcBorders>
                  <w:shd w:val="clear" w:color="auto" w:fill="auto"/>
                  <w:vAlign w:val="center"/>
                </w:tcPr>
                <w:p>
                  <w:pPr>
                    <w:ind w:left="-105" w:leftChars="-50" w:right="-105" w:rightChars="-50"/>
                    <w:jc w:val="center"/>
                    <w:rPr>
                      <w:color w:val="auto"/>
                      <w:sz w:val="18"/>
                      <w:szCs w:val="18"/>
                      <w:highlight w:val="none"/>
                    </w:rPr>
                  </w:pPr>
                </w:p>
              </w:tc>
              <w:tc>
                <w:tcPr>
                  <w:tcW w:w="454" w:type="pct"/>
                  <w:vMerge w:val="continue"/>
                  <w:tcBorders>
                    <w:left w:val="single" w:color="auto" w:sz="4" w:space="0"/>
                    <w:bottom w:val="single" w:color="auto" w:sz="4" w:space="0"/>
                    <w:right w:val="single" w:color="auto" w:sz="4" w:space="0"/>
                  </w:tcBorders>
                  <w:shd w:val="clear" w:color="auto" w:fill="auto"/>
                  <w:vAlign w:val="center"/>
                </w:tcPr>
                <w:p>
                  <w:pPr>
                    <w:ind w:left="-105" w:leftChars="-50" w:right="-105" w:rightChars="-50"/>
                    <w:jc w:val="center"/>
                    <w:rPr>
                      <w:color w:val="auto"/>
                      <w:sz w:val="18"/>
                      <w:szCs w:val="18"/>
                      <w:highlight w:val="none"/>
                    </w:rPr>
                  </w:pPr>
                </w:p>
              </w:tc>
              <w:tc>
                <w:tcPr>
                  <w:tcW w:w="316" w:type="pct"/>
                  <w:vMerge w:val="continue"/>
                  <w:tcBorders>
                    <w:left w:val="single" w:color="auto" w:sz="4" w:space="0"/>
                    <w:bottom w:val="single" w:color="auto" w:sz="4" w:space="0"/>
                    <w:right w:val="single" w:color="auto" w:sz="4" w:space="0"/>
                  </w:tcBorders>
                  <w:shd w:val="clear" w:color="auto" w:fill="auto"/>
                  <w:vAlign w:val="center"/>
                </w:tcPr>
                <w:p>
                  <w:pPr>
                    <w:ind w:left="-105" w:leftChars="-50" w:right="-105" w:rightChars="-50"/>
                    <w:jc w:val="center"/>
                    <w:rPr>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 w:hRule="atLeast"/>
              </w:trPr>
              <w:tc>
                <w:tcPr>
                  <w:tcW w:w="302" w:type="pct"/>
                  <w:vMerge w:val="continue"/>
                  <w:tcBorders>
                    <w:left w:val="single" w:color="auto" w:sz="4" w:space="0"/>
                    <w:bottom w:val="single" w:color="auto" w:sz="4" w:space="0"/>
                    <w:right w:val="single" w:color="auto" w:sz="4" w:space="0"/>
                  </w:tcBorders>
                  <w:shd w:val="clear" w:color="auto" w:fill="auto"/>
                  <w:vAlign w:val="center"/>
                </w:tcPr>
                <w:p>
                  <w:pPr>
                    <w:ind w:left="-105" w:leftChars="-50" w:right="-105" w:rightChars="-50"/>
                    <w:jc w:val="center"/>
                    <w:rPr>
                      <w:color w:val="auto"/>
                      <w:sz w:val="18"/>
                      <w:szCs w:val="18"/>
                      <w:highlight w:val="none"/>
                    </w:rPr>
                  </w:pPr>
                </w:p>
              </w:tc>
              <w:tc>
                <w:tcPr>
                  <w:tcW w:w="327" w:type="pct"/>
                  <w:vMerge w:val="continue"/>
                  <w:tcBorders>
                    <w:left w:val="single" w:color="auto" w:sz="4" w:space="0"/>
                    <w:right w:val="single" w:color="auto" w:sz="4" w:space="0"/>
                  </w:tcBorders>
                  <w:shd w:val="clear" w:color="auto" w:fill="auto"/>
                  <w:vAlign w:val="center"/>
                </w:tcPr>
                <w:p>
                  <w:pPr>
                    <w:ind w:left="-105" w:leftChars="-50" w:right="-105" w:rightChars="-50"/>
                    <w:jc w:val="center"/>
                    <w:rPr>
                      <w:color w:val="auto"/>
                      <w:sz w:val="18"/>
                      <w:szCs w:val="18"/>
                      <w:highlight w:val="none"/>
                    </w:rPr>
                  </w:pPr>
                </w:p>
              </w:tc>
              <w:tc>
                <w:tcPr>
                  <w:tcW w:w="754"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auto"/>
                      <w:sz w:val="18"/>
                      <w:szCs w:val="18"/>
                      <w:highlight w:val="none"/>
                    </w:rPr>
                  </w:pPr>
                  <w:r>
                    <w:rPr>
                      <w:bCs/>
                      <w:color w:val="auto"/>
                      <w:sz w:val="18"/>
                      <w:szCs w:val="18"/>
                      <w:highlight w:val="none"/>
                    </w:rPr>
                    <w:t>光窗自动清洗机</w:t>
                  </w:r>
                </w:p>
              </w:tc>
              <w:tc>
                <w:tcPr>
                  <w:tcW w:w="308" w:type="pct"/>
                  <w:tcBorders>
                    <w:top w:val="single" w:color="auto" w:sz="4" w:space="0"/>
                    <w:left w:val="single" w:color="auto" w:sz="4" w:space="0"/>
                    <w:bottom w:val="single" w:color="auto" w:sz="4" w:space="0"/>
                    <w:right w:val="single" w:color="auto" w:sz="4" w:space="0"/>
                  </w:tcBorders>
                  <w:shd w:val="clear" w:color="auto" w:fill="auto"/>
                  <w:vAlign w:val="center"/>
                </w:tcPr>
                <w:p>
                  <w:pPr>
                    <w:ind w:left="-105" w:leftChars="-50" w:right="-105" w:rightChars="-50"/>
                    <w:jc w:val="center"/>
                    <w:rPr>
                      <w:color w:val="auto"/>
                      <w:sz w:val="18"/>
                      <w:szCs w:val="18"/>
                      <w:highlight w:val="none"/>
                    </w:rPr>
                  </w:pPr>
                  <w:r>
                    <w:rPr>
                      <w:rFonts w:hint="eastAsia"/>
                      <w:color w:val="auto"/>
                      <w:sz w:val="18"/>
                      <w:szCs w:val="18"/>
                      <w:highlight w:val="none"/>
                    </w:rPr>
                    <w:t>1</w:t>
                  </w:r>
                </w:p>
              </w:tc>
              <w:tc>
                <w:tcPr>
                  <w:tcW w:w="292" w:type="pct"/>
                  <w:tcBorders>
                    <w:top w:val="single" w:color="auto" w:sz="4" w:space="0"/>
                    <w:left w:val="single" w:color="auto" w:sz="4" w:space="0"/>
                    <w:bottom w:val="single" w:color="auto" w:sz="4" w:space="0"/>
                    <w:right w:val="single" w:color="auto" w:sz="4" w:space="0"/>
                  </w:tcBorders>
                  <w:shd w:val="clear" w:color="auto" w:fill="auto"/>
                  <w:vAlign w:val="center"/>
                </w:tcPr>
                <w:p>
                  <w:pPr>
                    <w:ind w:left="-105" w:leftChars="-50" w:right="-105" w:rightChars="-50"/>
                    <w:jc w:val="center"/>
                    <w:rPr>
                      <w:color w:val="auto"/>
                      <w:sz w:val="18"/>
                      <w:szCs w:val="18"/>
                      <w:highlight w:val="none"/>
                    </w:rPr>
                  </w:pPr>
                  <w:r>
                    <w:rPr>
                      <w:rFonts w:hint="eastAsia"/>
                      <w:color w:val="auto"/>
                      <w:sz w:val="18"/>
                      <w:szCs w:val="18"/>
                      <w:highlight w:val="none"/>
                    </w:rPr>
                    <w:t>80</w:t>
                  </w:r>
                </w:p>
              </w:tc>
              <w:tc>
                <w:tcPr>
                  <w:tcW w:w="467" w:type="pct"/>
                  <w:vMerge w:val="continue"/>
                  <w:tcBorders>
                    <w:left w:val="single" w:color="auto" w:sz="4" w:space="0"/>
                    <w:right w:val="single" w:color="auto" w:sz="4" w:space="0"/>
                  </w:tcBorders>
                  <w:shd w:val="clear" w:color="auto" w:fill="auto"/>
                  <w:vAlign w:val="center"/>
                </w:tcPr>
                <w:p>
                  <w:pPr>
                    <w:ind w:left="-105" w:leftChars="-50" w:right="-105" w:rightChars="-50"/>
                    <w:jc w:val="center"/>
                    <w:rPr>
                      <w:color w:val="auto"/>
                      <w:sz w:val="18"/>
                      <w:szCs w:val="18"/>
                      <w:highlight w:val="none"/>
                    </w:rPr>
                  </w:pPr>
                </w:p>
              </w:tc>
              <w:tc>
                <w:tcPr>
                  <w:tcW w:w="241" w:type="pct"/>
                  <w:vMerge w:val="continue"/>
                  <w:tcBorders>
                    <w:left w:val="single" w:color="auto" w:sz="4" w:space="0"/>
                    <w:bottom w:val="single" w:color="auto" w:sz="4" w:space="0"/>
                    <w:right w:val="single" w:color="auto" w:sz="4" w:space="0"/>
                  </w:tcBorders>
                  <w:shd w:val="clear" w:color="auto" w:fill="auto"/>
                  <w:vAlign w:val="center"/>
                </w:tcPr>
                <w:p>
                  <w:pPr>
                    <w:ind w:left="-105" w:leftChars="-50" w:right="-105" w:rightChars="-50"/>
                    <w:jc w:val="center"/>
                    <w:rPr>
                      <w:color w:val="auto"/>
                      <w:sz w:val="18"/>
                      <w:szCs w:val="18"/>
                      <w:highlight w:val="none"/>
                    </w:rPr>
                  </w:pPr>
                </w:p>
              </w:tc>
              <w:tc>
                <w:tcPr>
                  <w:tcW w:w="156" w:type="pct"/>
                  <w:vMerge w:val="continue"/>
                  <w:tcBorders>
                    <w:left w:val="single" w:color="auto" w:sz="4" w:space="0"/>
                    <w:bottom w:val="single" w:color="auto" w:sz="4" w:space="0"/>
                    <w:right w:val="single" w:color="auto" w:sz="4" w:space="0"/>
                  </w:tcBorders>
                  <w:shd w:val="clear" w:color="auto" w:fill="auto"/>
                  <w:vAlign w:val="center"/>
                </w:tcPr>
                <w:p>
                  <w:pPr>
                    <w:ind w:left="-105" w:leftChars="-50" w:right="-105" w:rightChars="-50"/>
                    <w:jc w:val="center"/>
                    <w:rPr>
                      <w:color w:val="auto"/>
                      <w:sz w:val="18"/>
                      <w:szCs w:val="18"/>
                      <w:highlight w:val="none"/>
                    </w:rPr>
                  </w:pPr>
                </w:p>
              </w:tc>
              <w:tc>
                <w:tcPr>
                  <w:tcW w:w="338" w:type="pct"/>
                  <w:vMerge w:val="continue"/>
                  <w:tcBorders>
                    <w:left w:val="single" w:color="auto" w:sz="4" w:space="0"/>
                    <w:bottom w:val="single" w:color="auto" w:sz="4" w:space="0"/>
                    <w:right w:val="single" w:color="auto" w:sz="4" w:space="0"/>
                  </w:tcBorders>
                  <w:shd w:val="clear" w:color="auto" w:fill="auto"/>
                  <w:vAlign w:val="center"/>
                </w:tcPr>
                <w:p>
                  <w:pPr>
                    <w:ind w:left="-105" w:leftChars="-50" w:right="-105" w:rightChars="-50"/>
                    <w:jc w:val="center"/>
                    <w:rPr>
                      <w:color w:val="auto"/>
                      <w:sz w:val="18"/>
                      <w:szCs w:val="18"/>
                      <w:highlight w:val="none"/>
                    </w:rPr>
                  </w:pPr>
                </w:p>
              </w:tc>
              <w:tc>
                <w:tcPr>
                  <w:tcW w:w="303" w:type="pct"/>
                  <w:vMerge w:val="continue"/>
                  <w:tcBorders>
                    <w:left w:val="single" w:color="auto" w:sz="4" w:space="0"/>
                    <w:bottom w:val="single" w:color="auto" w:sz="4" w:space="0"/>
                    <w:right w:val="single" w:color="auto" w:sz="4" w:space="0"/>
                  </w:tcBorders>
                  <w:shd w:val="clear" w:color="auto" w:fill="auto"/>
                  <w:vAlign w:val="center"/>
                </w:tcPr>
                <w:p>
                  <w:pPr>
                    <w:ind w:left="-105" w:leftChars="-50" w:right="-105" w:rightChars="-50"/>
                    <w:jc w:val="center"/>
                    <w:rPr>
                      <w:color w:val="auto"/>
                      <w:sz w:val="18"/>
                      <w:szCs w:val="18"/>
                      <w:highlight w:val="none"/>
                    </w:rPr>
                  </w:pPr>
                </w:p>
              </w:tc>
              <w:tc>
                <w:tcPr>
                  <w:tcW w:w="281" w:type="pct"/>
                  <w:vMerge w:val="continue"/>
                  <w:tcBorders>
                    <w:left w:val="single" w:color="auto" w:sz="4" w:space="0"/>
                    <w:bottom w:val="single" w:color="auto" w:sz="4" w:space="0"/>
                    <w:right w:val="single" w:color="auto" w:sz="4" w:space="0"/>
                  </w:tcBorders>
                  <w:shd w:val="clear" w:color="auto" w:fill="auto"/>
                  <w:vAlign w:val="center"/>
                </w:tcPr>
                <w:p>
                  <w:pPr>
                    <w:ind w:left="-105" w:leftChars="-50" w:right="-105" w:rightChars="-50"/>
                    <w:jc w:val="center"/>
                    <w:rPr>
                      <w:color w:val="auto"/>
                      <w:sz w:val="18"/>
                      <w:szCs w:val="18"/>
                      <w:highlight w:val="none"/>
                    </w:rPr>
                  </w:pPr>
                </w:p>
              </w:tc>
              <w:tc>
                <w:tcPr>
                  <w:tcW w:w="454" w:type="pct"/>
                  <w:vMerge w:val="continue"/>
                  <w:tcBorders>
                    <w:left w:val="single" w:color="auto" w:sz="4" w:space="0"/>
                    <w:bottom w:val="single" w:color="auto" w:sz="4" w:space="0"/>
                    <w:right w:val="single" w:color="auto" w:sz="4" w:space="0"/>
                  </w:tcBorders>
                  <w:shd w:val="clear" w:color="auto" w:fill="auto"/>
                  <w:vAlign w:val="center"/>
                </w:tcPr>
                <w:p>
                  <w:pPr>
                    <w:ind w:left="-105" w:leftChars="-50" w:right="-105" w:rightChars="-50"/>
                    <w:jc w:val="center"/>
                    <w:rPr>
                      <w:color w:val="auto"/>
                      <w:sz w:val="18"/>
                      <w:szCs w:val="18"/>
                      <w:highlight w:val="none"/>
                    </w:rPr>
                  </w:pPr>
                </w:p>
              </w:tc>
              <w:tc>
                <w:tcPr>
                  <w:tcW w:w="454" w:type="pct"/>
                  <w:vMerge w:val="continue"/>
                  <w:tcBorders>
                    <w:left w:val="single" w:color="auto" w:sz="4" w:space="0"/>
                    <w:bottom w:val="single" w:color="auto" w:sz="4" w:space="0"/>
                    <w:right w:val="single" w:color="auto" w:sz="4" w:space="0"/>
                  </w:tcBorders>
                  <w:shd w:val="clear" w:color="auto" w:fill="auto"/>
                  <w:vAlign w:val="center"/>
                </w:tcPr>
                <w:p>
                  <w:pPr>
                    <w:ind w:left="-105" w:leftChars="-50" w:right="-105" w:rightChars="-50"/>
                    <w:jc w:val="center"/>
                    <w:rPr>
                      <w:color w:val="auto"/>
                      <w:sz w:val="18"/>
                      <w:szCs w:val="18"/>
                      <w:highlight w:val="none"/>
                    </w:rPr>
                  </w:pPr>
                </w:p>
              </w:tc>
              <w:tc>
                <w:tcPr>
                  <w:tcW w:w="316" w:type="pct"/>
                  <w:vMerge w:val="continue"/>
                  <w:tcBorders>
                    <w:left w:val="single" w:color="auto" w:sz="4" w:space="0"/>
                    <w:bottom w:val="single" w:color="auto" w:sz="4" w:space="0"/>
                    <w:right w:val="single" w:color="auto" w:sz="4" w:space="0"/>
                  </w:tcBorders>
                  <w:shd w:val="clear" w:color="auto" w:fill="auto"/>
                  <w:vAlign w:val="center"/>
                </w:tcPr>
                <w:p>
                  <w:pPr>
                    <w:ind w:left="-105" w:leftChars="-50" w:right="-105" w:rightChars="-50"/>
                    <w:jc w:val="center"/>
                    <w:rPr>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302" w:type="pct"/>
                  <w:tcBorders>
                    <w:top w:val="single" w:color="auto" w:sz="4" w:space="0"/>
                    <w:left w:val="single" w:color="auto" w:sz="4" w:space="0"/>
                    <w:bottom w:val="single" w:color="auto" w:sz="4" w:space="0"/>
                    <w:right w:val="single" w:color="auto" w:sz="4" w:space="0"/>
                  </w:tcBorders>
                  <w:shd w:val="clear" w:color="auto" w:fill="auto"/>
                  <w:vAlign w:val="center"/>
                </w:tcPr>
                <w:p>
                  <w:pPr>
                    <w:ind w:left="-105" w:leftChars="-50" w:right="-105" w:rightChars="-50"/>
                    <w:jc w:val="center"/>
                    <w:rPr>
                      <w:color w:val="auto"/>
                      <w:sz w:val="18"/>
                      <w:szCs w:val="18"/>
                      <w:highlight w:val="none"/>
                    </w:rPr>
                  </w:pPr>
                  <w:r>
                    <w:rPr>
                      <w:color w:val="auto"/>
                      <w:sz w:val="18"/>
                      <w:szCs w:val="18"/>
                      <w:highlight w:val="none"/>
                    </w:rPr>
                    <w:t>2</w:t>
                  </w:r>
                </w:p>
              </w:tc>
              <w:tc>
                <w:tcPr>
                  <w:tcW w:w="327" w:type="pct"/>
                  <w:vMerge w:val="continue"/>
                  <w:tcBorders>
                    <w:left w:val="single" w:color="auto" w:sz="4" w:space="0"/>
                    <w:right w:val="single" w:color="auto" w:sz="4" w:space="0"/>
                  </w:tcBorders>
                  <w:shd w:val="clear" w:color="auto" w:fill="auto"/>
                  <w:vAlign w:val="center"/>
                </w:tcPr>
                <w:p>
                  <w:pPr>
                    <w:ind w:left="-105" w:leftChars="-50" w:right="-105" w:rightChars="-50"/>
                    <w:jc w:val="center"/>
                    <w:rPr>
                      <w:color w:val="auto"/>
                      <w:sz w:val="18"/>
                      <w:szCs w:val="18"/>
                      <w:highlight w:val="none"/>
                    </w:rPr>
                  </w:pPr>
                </w:p>
              </w:tc>
              <w:tc>
                <w:tcPr>
                  <w:tcW w:w="754" w:type="pct"/>
                  <w:tcBorders>
                    <w:top w:val="single" w:color="auto" w:sz="4" w:space="0"/>
                    <w:left w:val="single" w:color="auto" w:sz="4" w:space="0"/>
                    <w:bottom w:val="single" w:color="auto" w:sz="4" w:space="0"/>
                    <w:right w:val="single" w:color="auto" w:sz="4" w:space="0"/>
                  </w:tcBorders>
                  <w:shd w:val="clear" w:color="auto" w:fill="auto"/>
                  <w:vAlign w:val="center"/>
                </w:tcPr>
                <w:p>
                  <w:pPr>
                    <w:ind w:left="-105" w:leftChars="-50" w:right="-105" w:rightChars="-50"/>
                    <w:jc w:val="center"/>
                    <w:rPr>
                      <w:color w:val="auto"/>
                      <w:sz w:val="18"/>
                      <w:szCs w:val="18"/>
                      <w:highlight w:val="none"/>
                    </w:rPr>
                  </w:pPr>
                  <w:r>
                    <w:rPr>
                      <w:rFonts w:hint="eastAsia"/>
                      <w:color w:val="auto"/>
                      <w:sz w:val="18"/>
                      <w:szCs w:val="18"/>
                      <w:highlight w:val="none"/>
                    </w:rPr>
                    <w:t>风机</w:t>
                  </w:r>
                </w:p>
              </w:tc>
              <w:tc>
                <w:tcPr>
                  <w:tcW w:w="308" w:type="pct"/>
                  <w:tcBorders>
                    <w:top w:val="single" w:color="auto" w:sz="4" w:space="0"/>
                    <w:left w:val="single" w:color="auto" w:sz="4" w:space="0"/>
                    <w:bottom w:val="single" w:color="auto" w:sz="4" w:space="0"/>
                    <w:right w:val="single" w:color="auto" w:sz="4" w:space="0"/>
                  </w:tcBorders>
                  <w:shd w:val="clear" w:color="auto" w:fill="auto"/>
                  <w:vAlign w:val="center"/>
                </w:tcPr>
                <w:p>
                  <w:pPr>
                    <w:ind w:left="-105" w:leftChars="-50" w:right="-105" w:rightChars="-50"/>
                    <w:jc w:val="center"/>
                    <w:rPr>
                      <w:color w:val="auto"/>
                      <w:sz w:val="18"/>
                      <w:szCs w:val="18"/>
                      <w:highlight w:val="none"/>
                    </w:rPr>
                  </w:pPr>
                  <w:r>
                    <w:rPr>
                      <w:rFonts w:hint="eastAsia"/>
                      <w:color w:val="auto"/>
                      <w:sz w:val="18"/>
                      <w:szCs w:val="18"/>
                      <w:highlight w:val="none"/>
                    </w:rPr>
                    <w:t>2</w:t>
                  </w:r>
                </w:p>
              </w:tc>
              <w:tc>
                <w:tcPr>
                  <w:tcW w:w="292" w:type="pct"/>
                  <w:tcBorders>
                    <w:top w:val="single" w:color="auto" w:sz="4" w:space="0"/>
                    <w:left w:val="single" w:color="auto" w:sz="4" w:space="0"/>
                    <w:bottom w:val="single" w:color="auto" w:sz="4" w:space="0"/>
                    <w:right w:val="single" w:color="auto" w:sz="4" w:space="0"/>
                  </w:tcBorders>
                  <w:shd w:val="clear" w:color="auto" w:fill="auto"/>
                  <w:vAlign w:val="center"/>
                </w:tcPr>
                <w:p>
                  <w:pPr>
                    <w:ind w:left="-105" w:leftChars="-50" w:right="-105" w:rightChars="-50"/>
                    <w:jc w:val="center"/>
                    <w:rPr>
                      <w:color w:val="auto"/>
                      <w:sz w:val="18"/>
                      <w:szCs w:val="18"/>
                      <w:highlight w:val="none"/>
                    </w:rPr>
                  </w:pPr>
                  <w:r>
                    <w:rPr>
                      <w:rFonts w:hint="eastAsia"/>
                      <w:color w:val="auto"/>
                      <w:sz w:val="18"/>
                      <w:szCs w:val="18"/>
                      <w:highlight w:val="none"/>
                    </w:rPr>
                    <w:t>90</w:t>
                  </w:r>
                </w:p>
              </w:tc>
              <w:tc>
                <w:tcPr>
                  <w:tcW w:w="467" w:type="pct"/>
                  <w:vMerge w:val="continue"/>
                  <w:tcBorders>
                    <w:left w:val="single" w:color="auto" w:sz="4" w:space="0"/>
                    <w:right w:val="single" w:color="auto" w:sz="4" w:space="0"/>
                  </w:tcBorders>
                  <w:shd w:val="clear" w:color="auto" w:fill="auto"/>
                  <w:vAlign w:val="center"/>
                </w:tcPr>
                <w:p>
                  <w:pPr>
                    <w:ind w:left="-105" w:leftChars="-50" w:right="-105" w:rightChars="-50"/>
                    <w:jc w:val="center"/>
                    <w:rPr>
                      <w:color w:val="auto"/>
                      <w:sz w:val="18"/>
                      <w:szCs w:val="18"/>
                      <w:highlight w:val="none"/>
                    </w:rPr>
                  </w:pPr>
                </w:p>
              </w:tc>
              <w:tc>
                <w:tcPr>
                  <w:tcW w:w="241" w:type="pct"/>
                  <w:tcBorders>
                    <w:top w:val="single" w:color="auto" w:sz="4" w:space="0"/>
                    <w:left w:val="single" w:color="auto" w:sz="4" w:space="0"/>
                    <w:bottom w:val="single" w:color="auto" w:sz="4" w:space="0"/>
                    <w:right w:val="single" w:color="auto" w:sz="4" w:space="0"/>
                  </w:tcBorders>
                  <w:shd w:val="clear" w:color="auto" w:fill="auto"/>
                  <w:vAlign w:val="center"/>
                </w:tcPr>
                <w:p>
                  <w:pPr>
                    <w:ind w:left="-105" w:leftChars="-50" w:right="-105" w:rightChars="-50"/>
                    <w:jc w:val="center"/>
                    <w:rPr>
                      <w:color w:val="auto"/>
                      <w:sz w:val="18"/>
                      <w:szCs w:val="18"/>
                      <w:highlight w:val="none"/>
                    </w:rPr>
                  </w:pPr>
                  <w:r>
                    <w:rPr>
                      <w:rFonts w:hint="eastAsia"/>
                      <w:color w:val="auto"/>
                      <w:sz w:val="18"/>
                      <w:szCs w:val="18"/>
                      <w:highlight w:val="none"/>
                    </w:rPr>
                    <w:t>150</w:t>
                  </w:r>
                </w:p>
              </w:tc>
              <w:tc>
                <w:tcPr>
                  <w:tcW w:w="156" w:type="pct"/>
                  <w:tcBorders>
                    <w:top w:val="single" w:color="auto" w:sz="4" w:space="0"/>
                    <w:left w:val="single" w:color="auto" w:sz="4" w:space="0"/>
                    <w:bottom w:val="single" w:color="auto" w:sz="4" w:space="0"/>
                    <w:right w:val="single" w:color="auto" w:sz="4" w:space="0"/>
                  </w:tcBorders>
                  <w:shd w:val="clear" w:color="auto" w:fill="auto"/>
                  <w:vAlign w:val="center"/>
                </w:tcPr>
                <w:p>
                  <w:pPr>
                    <w:ind w:left="-105" w:leftChars="-50" w:right="-105" w:rightChars="-50"/>
                    <w:jc w:val="center"/>
                    <w:rPr>
                      <w:color w:val="auto"/>
                      <w:sz w:val="18"/>
                      <w:szCs w:val="18"/>
                      <w:highlight w:val="none"/>
                    </w:rPr>
                  </w:pPr>
                  <w:r>
                    <w:rPr>
                      <w:rFonts w:hint="eastAsia"/>
                      <w:color w:val="auto"/>
                      <w:sz w:val="18"/>
                      <w:szCs w:val="18"/>
                      <w:highlight w:val="none"/>
                    </w:rPr>
                    <w:t>15</w:t>
                  </w:r>
                </w:p>
              </w:tc>
              <w:tc>
                <w:tcPr>
                  <w:tcW w:w="338" w:type="pct"/>
                  <w:tcBorders>
                    <w:top w:val="single" w:color="auto" w:sz="4" w:space="0"/>
                    <w:left w:val="single" w:color="auto" w:sz="4" w:space="0"/>
                    <w:bottom w:val="single" w:color="auto" w:sz="4" w:space="0"/>
                    <w:right w:val="single" w:color="auto" w:sz="4" w:space="0"/>
                  </w:tcBorders>
                  <w:shd w:val="clear" w:color="auto" w:fill="auto"/>
                  <w:vAlign w:val="center"/>
                </w:tcPr>
                <w:p>
                  <w:pPr>
                    <w:ind w:left="-105" w:leftChars="-50" w:right="-105" w:rightChars="-50"/>
                    <w:jc w:val="center"/>
                    <w:rPr>
                      <w:color w:val="auto"/>
                      <w:sz w:val="18"/>
                      <w:szCs w:val="18"/>
                      <w:highlight w:val="none"/>
                    </w:rPr>
                  </w:pPr>
                  <w:r>
                    <w:rPr>
                      <w:rFonts w:hint="eastAsia"/>
                      <w:color w:val="auto"/>
                      <w:sz w:val="18"/>
                      <w:szCs w:val="18"/>
                      <w:highlight w:val="none"/>
                    </w:rPr>
                    <w:t>5</w:t>
                  </w:r>
                </w:p>
              </w:tc>
              <w:tc>
                <w:tcPr>
                  <w:tcW w:w="303" w:type="pct"/>
                  <w:tcBorders>
                    <w:top w:val="single" w:color="auto" w:sz="4" w:space="0"/>
                    <w:left w:val="single" w:color="auto" w:sz="4" w:space="0"/>
                    <w:bottom w:val="single" w:color="auto" w:sz="4" w:space="0"/>
                    <w:right w:val="single" w:color="auto" w:sz="4" w:space="0"/>
                  </w:tcBorders>
                  <w:shd w:val="clear" w:color="auto" w:fill="auto"/>
                  <w:vAlign w:val="center"/>
                </w:tcPr>
                <w:p>
                  <w:pPr>
                    <w:ind w:left="-105" w:leftChars="-50" w:right="-105" w:rightChars="-50"/>
                    <w:jc w:val="center"/>
                    <w:rPr>
                      <w:color w:val="auto"/>
                      <w:sz w:val="18"/>
                      <w:szCs w:val="18"/>
                      <w:highlight w:val="none"/>
                    </w:rPr>
                  </w:pPr>
                  <w:r>
                    <w:rPr>
                      <w:rFonts w:hint="eastAsia"/>
                      <w:color w:val="auto"/>
                      <w:sz w:val="18"/>
                      <w:szCs w:val="18"/>
                      <w:highlight w:val="none"/>
                    </w:rPr>
                    <w:t>6</w:t>
                  </w:r>
                </w:p>
              </w:tc>
              <w:tc>
                <w:tcPr>
                  <w:tcW w:w="281" w:type="pct"/>
                  <w:tcBorders>
                    <w:top w:val="single" w:color="auto" w:sz="4" w:space="0"/>
                    <w:left w:val="single" w:color="auto" w:sz="4" w:space="0"/>
                    <w:bottom w:val="single" w:color="auto" w:sz="4" w:space="0"/>
                    <w:right w:val="single" w:color="auto" w:sz="4" w:space="0"/>
                  </w:tcBorders>
                  <w:shd w:val="clear" w:color="auto" w:fill="auto"/>
                  <w:vAlign w:val="center"/>
                </w:tcPr>
                <w:p>
                  <w:pPr>
                    <w:ind w:left="-105" w:leftChars="-50" w:right="-105" w:rightChars="-50"/>
                    <w:jc w:val="center"/>
                    <w:rPr>
                      <w:color w:val="auto"/>
                      <w:sz w:val="18"/>
                      <w:szCs w:val="18"/>
                      <w:highlight w:val="none"/>
                    </w:rPr>
                  </w:pPr>
                  <w:r>
                    <w:rPr>
                      <w:rFonts w:hint="eastAsia"/>
                      <w:color w:val="auto"/>
                      <w:sz w:val="18"/>
                      <w:szCs w:val="18"/>
                      <w:highlight w:val="none"/>
                    </w:rPr>
                    <w:t>白</w:t>
                  </w:r>
                  <w:r>
                    <w:rPr>
                      <w:color w:val="auto"/>
                      <w:sz w:val="18"/>
                      <w:szCs w:val="18"/>
                      <w:highlight w:val="none"/>
                    </w:rPr>
                    <w:t>天</w:t>
                  </w:r>
                </w:p>
              </w:tc>
              <w:tc>
                <w:tcPr>
                  <w:tcW w:w="454" w:type="pct"/>
                  <w:tcBorders>
                    <w:top w:val="single" w:color="auto" w:sz="4" w:space="0"/>
                    <w:left w:val="single" w:color="auto" w:sz="4" w:space="0"/>
                    <w:bottom w:val="single" w:color="auto" w:sz="4" w:space="0"/>
                    <w:right w:val="single" w:color="auto" w:sz="4" w:space="0"/>
                  </w:tcBorders>
                  <w:shd w:val="clear" w:color="auto" w:fill="auto"/>
                  <w:vAlign w:val="center"/>
                </w:tcPr>
                <w:p>
                  <w:pPr>
                    <w:ind w:left="-105" w:leftChars="-50" w:right="-105" w:rightChars="-50"/>
                    <w:jc w:val="center"/>
                    <w:rPr>
                      <w:color w:val="auto"/>
                      <w:sz w:val="18"/>
                      <w:szCs w:val="18"/>
                      <w:highlight w:val="none"/>
                    </w:rPr>
                  </w:pPr>
                  <w:r>
                    <w:rPr>
                      <w:rFonts w:hint="eastAsia"/>
                      <w:color w:val="auto"/>
                      <w:sz w:val="18"/>
                      <w:szCs w:val="18"/>
                      <w:highlight w:val="none"/>
                    </w:rPr>
                    <w:t>20</w:t>
                  </w:r>
                </w:p>
              </w:tc>
              <w:tc>
                <w:tcPr>
                  <w:tcW w:w="454" w:type="pct"/>
                  <w:tcBorders>
                    <w:top w:val="single" w:color="auto" w:sz="4" w:space="0"/>
                    <w:left w:val="single" w:color="auto" w:sz="4" w:space="0"/>
                    <w:bottom w:val="single" w:color="auto" w:sz="4" w:space="0"/>
                    <w:right w:val="single" w:color="auto" w:sz="4" w:space="0"/>
                  </w:tcBorders>
                  <w:shd w:val="clear" w:color="auto" w:fill="auto"/>
                  <w:vAlign w:val="center"/>
                </w:tcPr>
                <w:p>
                  <w:pPr>
                    <w:ind w:left="-105" w:leftChars="-50" w:right="-105" w:rightChars="-50"/>
                    <w:jc w:val="center"/>
                    <w:rPr>
                      <w:color w:val="auto"/>
                      <w:sz w:val="18"/>
                      <w:szCs w:val="18"/>
                      <w:highlight w:val="none"/>
                    </w:rPr>
                  </w:pPr>
                  <w:r>
                    <w:rPr>
                      <w:rFonts w:hint="eastAsia"/>
                      <w:color w:val="auto"/>
                      <w:sz w:val="18"/>
                      <w:szCs w:val="18"/>
                      <w:highlight w:val="none"/>
                    </w:rPr>
                    <w:t>70</w:t>
                  </w:r>
                </w:p>
              </w:tc>
              <w:tc>
                <w:tcPr>
                  <w:tcW w:w="316" w:type="pct"/>
                  <w:tcBorders>
                    <w:top w:val="single" w:color="auto" w:sz="4" w:space="0"/>
                    <w:left w:val="single" w:color="auto" w:sz="4" w:space="0"/>
                    <w:bottom w:val="single" w:color="auto" w:sz="4" w:space="0"/>
                    <w:right w:val="single" w:color="auto" w:sz="4" w:space="0"/>
                  </w:tcBorders>
                  <w:shd w:val="clear" w:color="auto" w:fill="auto"/>
                  <w:vAlign w:val="center"/>
                </w:tcPr>
                <w:p>
                  <w:pPr>
                    <w:ind w:left="-105" w:leftChars="-50" w:right="-105" w:rightChars="-50"/>
                    <w:jc w:val="center"/>
                    <w:rPr>
                      <w:color w:val="auto"/>
                      <w:sz w:val="18"/>
                      <w:szCs w:val="18"/>
                      <w:highlight w:val="none"/>
                    </w:rPr>
                  </w:pPr>
                  <w:r>
                    <w:rPr>
                      <w:rFonts w:hint="eastAsia"/>
                      <w:color w:val="auto"/>
                      <w:sz w:val="18"/>
                      <w:szCs w:val="18"/>
                      <w:highlight w:val="none"/>
                    </w:rPr>
                    <w:t>1</w:t>
                  </w:r>
                </w:p>
              </w:tc>
            </w:tr>
          </w:tbl>
          <w:p>
            <w:pPr>
              <w:tabs>
                <w:tab w:val="left" w:pos="993"/>
                <w:tab w:val="left" w:pos="1276"/>
              </w:tabs>
              <w:spacing w:line="360" w:lineRule="auto"/>
              <w:rPr>
                <w:color w:val="auto"/>
                <w:spacing w:val="-3"/>
                <w:szCs w:val="21"/>
                <w:highlight w:val="none"/>
              </w:rPr>
            </w:pPr>
            <w:r>
              <w:rPr>
                <w:rFonts w:hint="eastAsia"/>
                <w:color w:val="auto"/>
                <w:spacing w:val="-3"/>
                <w:szCs w:val="21"/>
                <w:highlight w:val="none"/>
              </w:rPr>
              <w:t>注：直角坐标系O-XYZ，原点坐标O为厂区西南角，东西为X轴，南北为Y轴，垂直地面这Z轴。</w:t>
            </w:r>
          </w:p>
          <w:p>
            <w:pPr>
              <w:tabs>
                <w:tab w:val="left" w:pos="993"/>
                <w:tab w:val="left" w:pos="1276"/>
              </w:tabs>
              <w:spacing w:line="360" w:lineRule="auto"/>
              <w:jc w:val="center"/>
              <w:rPr>
                <w:b/>
                <w:color w:val="auto"/>
                <w:spacing w:val="-3"/>
                <w:sz w:val="24"/>
                <w:highlight w:val="none"/>
              </w:rPr>
            </w:pPr>
            <w:r>
              <w:rPr>
                <w:b/>
                <w:color w:val="auto"/>
                <w:spacing w:val="-3"/>
                <w:sz w:val="24"/>
                <w:highlight w:val="none"/>
              </w:rPr>
              <w:t>表4-1</w:t>
            </w:r>
            <w:r>
              <w:rPr>
                <w:rFonts w:hint="eastAsia"/>
                <w:b/>
                <w:color w:val="auto"/>
                <w:spacing w:val="-3"/>
                <w:sz w:val="24"/>
                <w:highlight w:val="none"/>
              </w:rPr>
              <w:t>9噪声源距厂界距离</w:t>
            </w:r>
          </w:p>
          <w:tbl>
            <w:tblPr>
              <w:tblStyle w:val="3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19"/>
              <w:gridCol w:w="2169"/>
              <w:gridCol w:w="2065"/>
              <w:gridCol w:w="834"/>
              <w:gridCol w:w="834"/>
              <w:gridCol w:w="834"/>
              <w:gridCol w:w="8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080" w:type="pct"/>
                  <w:gridSpan w:val="3"/>
                  <w:vAlign w:val="center"/>
                </w:tcPr>
                <w:p>
                  <w:pPr>
                    <w:jc w:val="center"/>
                    <w:rPr>
                      <w:color w:val="auto"/>
                      <w:highlight w:val="none"/>
                    </w:rPr>
                  </w:pPr>
                  <w:r>
                    <w:rPr>
                      <w:rFonts w:hint="eastAsia"/>
                      <w:color w:val="auto"/>
                      <w:highlight w:val="none"/>
                    </w:rPr>
                    <w:t>噪声源</w:t>
                  </w:r>
                </w:p>
              </w:tc>
              <w:tc>
                <w:tcPr>
                  <w:tcW w:w="1920" w:type="pct"/>
                  <w:gridSpan w:val="4"/>
                  <w:vAlign w:val="center"/>
                </w:tcPr>
                <w:p>
                  <w:pPr>
                    <w:jc w:val="center"/>
                    <w:rPr>
                      <w:color w:val="auto"/>
                      <w:highlight w:val="none"/>
                    </w:rPr>
                  </w:pPr>
                  <w:r>
                    <w:rPr>
                      <w:color w:val="auto"/>
                      <w:highlight w:val="none"/>
                    </w:rPr>
                    <w:t>距最近厂界位置m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44" w:type="pct"/>
                  <w:vAlign w:val="center"/>
                </w:tcPr>
                <w:p>
                  <w:pPr>
                    <w:jc w:val="center"/>
                    <w:rPr>
                      <w:color w:val="auto"/>
                      <w:highlight w:val="none"/>
                    </w:rPr>
                  </w:pPr>
                  <w:r>
                    <w:rPr>
                      <w:color w:val="auto"/>
                      <w:highlight w:val="none"/>
                    </w:rPr>
                    <w:t>厂房</w:t>
                  </w:r>
                </w:p>
              </w:tc>
              <w:tc>
                <w:tcPr>
                  <w:tcW w:w="1248" w:type="pct"/>
                  <w:vAlign w:val="center"/>
                </w:tcPr>
                <w:p>
                  <w:pPr>
                    <w:jc w:val="center"/>
                    <w:rPr>
                      <w:color w:val="auto"/>
                      <w:highlight w:val="none"/>
                    </w:rPr>
                  </w:pPr>
                  <w:r>
                    <w:rPr>
                      <w:color w:val="auto"/>
                      <w:highlight w:val="none"/>
                    </w:rPr>
                    <w:t>噪声</w:t>
                  </w:r>
                  <w:r>
                    <w:rPr>
                      <w:rFonts w:hint="eastAsia"/>
                      <w:color w:val="auto"/>
                      <w:highlight w:val="none"/>
                    </w:rPr>
                    <w:t>设备</w:t>
                  </w:r>
                </w:p>
              </w:tc>
              <w:tc>
                <w:tcPr>
                  <w:tcW w:w="1188" w:type="pct"/>
                  <w:vAlign w:val="center"/>
                </w:tcPr>
                <w:p>
                  <w:pPr>
                    <w:jc w:val="center"/>
                    <w:rPr>
                      <w:color w:val="auto"/>
                      <w:highlight w:val="none"/>
                    </w:rPr>
                  </w:pPr>
                  <w:r>
                    <w:rPr>
                      <w:rFonts w:hint="eastAsia"/>
                      <w:color w:val="auto"/>
                      <w:highlight w:val="none"/>
                    </w:rPr>
                    <w:t>叠加噪声源强</w:t>
                  </w:r>
                  <w:r>
                    <w:rPr>
                      <w:color w:val="auto"/>
                      <w:highlight w:val="none"/>
                    </w:rPr>
                    <w:t>dB(A)</w:t>
                  </w:r>
                </w:p>
              </w:tc>
              <w:tc>
                <w:tcPr>
                  <w:tcW w:w="480" w:type="pct"/>
                  <w:vAlign w:val="center"/>
                </w:tcPr>
                <w:p>
                  <w:pPr>
                    <w:jc w:val="center"/>
                    <w:rPr>
                      <w:color w:val="auto"/>
                      <w:highlight w:val="none"/>
                    </w:rPr>
                  </w:pPr>
                  <w:r>
                    <w:rPr>
                      <w:color w:val="auto"/>
                      <w:highlight w:val="none"/>
                    </w:rPr>
                    <w:t>东</w:t>
                  </w:r>
                </w:p>
              </w:tc>
              <w:tc>
                <w:tcPr>
                  <w:tcW w:w="480" w:type="pct"/>
                  <w:vAlign w:val="center"/>
                </w:tcPr>
                <w:p>
                  <w:pPr>
                    <w:jc w:val="center"/>
                    <w:rPr>
                      <w:color w:val="auto"/>
                      <w:highlight w:val="none"/>
                    </w:rPr>
                  </w:pPr>
                  <w:r>
                    <w:rPr>
                      <w:color w:val="auto"/>
                      <w:highlight w:val="none"/>
                    </w:rPr>
                    <w:t>南</w:t>
                  </w:r>
                </w:p>
              </w:tc>
              <w:tc>
                <w:tcPr>
                  <w:tcW w:w="480" w:type="pct"/>
                  <w:vAlign w:val="center"/>
                </w:tcPr>
                <w:p>
                  <w:pPr>
                    <w:jc w:val="center"/>
                    <w:rPr>
                      <w:color w:val="auto"/>
                      <w:highlight w:val="none"/>
                    </w:rPr>
                  </w:pPr>
                  <w:r>
                    <w:rPr>
                      <w:color w:val="auto"/>
                      <w:highlight w:val="none"/>
                    </w:rPr>
                    <w:t>西</w:t>
                  </w:r>
                </w:p>
              </w:tc>
              <w:tc>
                <w:tcPr>
                  <w:tcW w:w="480" w:type="pct"/>
                  <w:vAlign w:val="center"/>
                </w:tcPr>
                <w:p>
                  <w:pPr>
                    <w:jc w:val="center"/>
                    <w:rPr>
                      <w:color w:val="auto"/>
                      <w:highlight w:val="none"/>
                    </w:rPr>
                  </w:pPr>
                  <w:r>
                    <w:rPr>
                      <w:color w:val="auto"/>
                      <w:highlight w:val="none"/>
                    </w:rPr>
                    <w:t>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2" w:hRule="atLeast"/>
              </w:trPr>
              <w:tc>
                <w:tcPr>
                  <w:tcW w:w="644" w:type="pct"/>
                  <w:vMerge w:val="restart"/>
                  <w:vAlign w:val="center"/>
                </w:tcPr>
                <w:p>
                  <w:pPr>
                    <w:jc w:val="center"/>
                    <w:rPr>
                      <w:color w:val="auto"/>
                      <w:highlight w:val="none"/>
                    </w:rPr>
                  </w:pPr>
                  <w:r>
                    <w:rPr>
                      <w:rFonts w:hint="eastAsia"/>
                      <w:color w:val="auto"/>
                      <w:highlight w:val="none"/>
                    </w:rPr>
                    <w:t>8号</w:t>
                  </w:r>
                  <w:r>
                    <w:rPr>
                      <w:color w:val="auto"/>
                      <w:highlight w:val="none"/>
                    </w:rPr>
                    <w:t>厂房</w:t>
                  </w:r>
                </w:p>
              </w:tc>
              <w:tc>
                <w:tcPr>
                  <w:tcW w:w="1248" w:type="pct"/>
                  <w:vAlign w:val="center"/>
                </w:tcPr>
                <w:p>
                  <w:pPr>
                    <w:jc w:val="center"/>
                    <w:rPr>
                      <w:bCs/>
                      <w:color w:val="auto"/>
                      <w:highlight w:val="none"/>
                    </w:rPr>
                  </w:pPr>
                  <w:r>
                    <w:rPr>
                      <w:bCs/>
                      <w:color w:val="auto"/>
                      <w:szCs w:val="21"/>
                      <w:highlight w:val="none"/>
                    </w:rPr>
                    <w:t>超声波清洗机</w:t>
                  </w:r>
                </w:p>
              </w:tc>
              <w:tc>
                <w:tcPr>
                  <w:tcW w:w="1188" w:type="pct"/>
                  <w:vMerge w:val="restart"/>
                  <w:vAlign w:val="center"/>
                </w:tcPr>
                <w:p>
                  <w:pPr>
                    <w:jc w:val="center"/>
                    <w:rPr>
                      <w:color w:val="auto"/>
                      <w:highlight w:val="none"/>
                    </w:rPr>
                  </w:pPr>
                  <w:r>
                    <w:rPr>
                      <w:rFonts w:hint="eastAsia"/>
                      <w:color w:val="auto"/>
                      <w:highlight w:val="none"/>
                    </w:rPr>
                    <w:t>71.1</w:t>
                  </w:r>
                </w:p>
              </w:tc>
              <w:tc>
                <w:tcPr>
                  <w:tcW w:w="480" w:type="pct"/>
                  <w:vMerge w:val="restart"/>
                  <w:vAlign w:val="center"/>
                </w:tcPr>
                <w:p>
                  <w:pPr>
                    <w:jc w:val="center"/>
                    <w:rPr>
                      <w:color w:val="auto"/>
                      <w:szCs w:val="21"/>
                      <w:highlight w:val="none"/>
                    </w:rPr>
                  </w:pPr>
                  <w:r>
                    <w:rPr>
                      <w:rFonts w:hint="eastAsia"/>
                      <w:color w:val="auto"/>
                      <w:szCs w:val="21"/>
                      <w:highlight w:val="none"/>
                    </w:rPr>
                    <w:t>15</w:t>
                  </w:r>
                </w:p>
              </w:tc>
              <w:tc>
                <w:tcPr>
                  <w:tcW w:w="480" w:type="pct"/>
                  <w:vMerge w:val="restart"/>
                  <w:vAlign w:val="center"/>
                </w:tcPr>
                <w:p>
                  <w:pPr>
                    <w:jc w:val="center"/>
                    <w:rPr>
                      <w:color w:val="auto"/>
                      <w:szCs w:val="21"/>
                      <w:highlight w:val="none"/>
                    </w:rPr>
                  </w:pPr>
                  <w:r>
                    <w:rPr>
                      <w:rFonts w:hint="eastAsia"/>
                      <w:color w:val="auto"/>
                      <w:szCs w:val="21"/>
                      <w:highlight w:val="none"/>
                    </w:rPr>
                    <w:t>30</w:t>
                  </w:r>
                </w:p>
              </w:tc>
              <w:tc>
                <w:tcPr>
                  <w:tcW w:w="480" w:type="pct"/>
                  <w:vMerge w:val="restart"/>
                  <w:vAlign w:val="center"/>
                </w:tcPr>
                <w:p>
                  <w:pPr>
                    <w:jc w:val="center"/>
                    <w:rPr>
                      <w:color w:val="auto"/>
                      <w:szCs w:val="21"/>
                      <w:highlight w:val="none"/>
                    </w:rPr>
                  </w:pPr>
                  <w:r>
                    <w:rPr>
                      <w:rFonts w:hint="eastAsia"/>
                      <w:color w:val="auto"/>
                      <w:szCs w:val="21"/>
                      <w:highlight w:val="none"/>
                    </w:rPr>
                    <w:t>15</w:t>
                  </w:r>
                </w:p>
              </w:tc>
              <w:tc>
                <w:tcPr>
                  <w:tcW w:w="480" w:type="pct"/>
                  <w:vMerge w:val="restart"/>
                  <w:vAlign w:val="center"/>
                </w:tcPr>
                <w:p>
                  <w:pPr>
                    <w:jc w:val="center"/>
                    <w:rPr>
                      <w:color w:val="auto"/>
                      <w:szCs w:val="21"/>
                      <w:highlight w:val="none"/>
                    </w:rPr>
                  </w:pPr>
                  <w:r>
                    <w:rPr>
                      <w:rFonts w:hint="eastAsia"/>
                      <w:color w:val="auto"/>
                      <w:szCs w:val="21"/>
                      <w:highlight w:val="none"/>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644" w:type="pct"/>
                  <w:vMerge w:val="continue"/>
                  <w:vAlign w:val="center"/>
                </w:tcPr>
                <w:p>
                  <w:pPr>
                    <w:jc w:val="center"/>
                    <w:rPr>
                      <w:color w:val="auto"/>
                      <w:highlight w:val="none"/>
                    </w:rPr>
                  </w:pPr>
                </w:p>
              </w:tc>
              <w:tc>
                <w:tcPr>
                  <w:tcW w:w="1248" w:type="pct"/>
                  <w:vAlign w:val="center"/>
                </w:tcPr>
                <w:p>
                  <w:pPr>
                    <w:jc w:val="center"/>
                    <w:rPr>
                      <w:bCs/>
                      <w:color w:val="auto"/>
                      <w:highlight w:val="none"/>
                    </w:rPr>
                  </w:pPr>
                  <w:r>
                    <w:rPr>
                      <w:bCs/>
                      <w:color w:val="auto"/>
                      <w:szCs w:val="21"/>
                      <w:highlight w:val="none"/>
                    </w:rPr>
                    <w:t>等离子清洗机</w:t>
                  </w:r>
                </w:p>
              </w:tc>
              <w:tc>
                <w:tcPr>
                  <w:tcW w:w="1188" w:type="pct"/>
                  <w:vMerge w:val="continue"/>
                  <w:vAlign w:val="center"/>
                </w:tcPr>
                <w:p>
                  <w:pPr>
                    <w:jc w:val="center"/>
                    <w:rPr>
                      <w:color w:val="auto"/>
                      <w:highlight w:val="none"/>
                    </w:rPr>
                  </w:pPr>
                </w:p>
              </w:tc>
              <w:tc>
                <w:tcPr>
                  <w:tcW w:w="480" w:type="pct"/>
                  <w:vMerge w:val="continue"/>
                  <w:vAlign w:val="center"/>
                </w:tcPr>
                <w:p>
                  <w:pPr>
                    <w:jc w:val="center"/>
                    <w:rPr>
                      <w:color w:val="auto"/>
                      <w:szCs w:val="21"/>
                      <w:highlight w:val="none"/>
                    </w:rPr>
                  </w:pPr>
                </w:p>
              </w:tc>
              <w:tc>
                <w:tcPr>
                  <w:tcW w:w="480" w:type="pct"/>
                  <w:vMerge w:val="continue"/>
                  <w:vAlign w:val="center"/>
                </w:tcPr>
                <w:p>
                  <w:pPr>
                    <w:jc w:val="center"/>
                    <w:rPr>
                      <w:color w:val="auto"/>
                      <w:szCs w:val="21"/>
                      <w:highlight w:val="none"/>
                    </w:rPr>
                  </w:pPr>
                </w:p>
              </w:tc>
              <w:tc>
                <w:tcPr>
                  <w:tcW w:w="480" w:type="pct"/>
                  <w:vMerge w:val="continue"/>
                  <w:vAlign w:val="center"/>
                </w:tcPr>
                <w:p>
                  <w:pPr>
                    <w:jc w:val="center"/>
                    <w:rPr>
                      <w:color w:val="auto"/>
                      <w:szCs w:val="21"/>
                      <w:highlight w:val="none"/>
                    </w:rPr>
                  </w:pPr>
                </w:p>
              </w:tc>
              <w:tc>
                <w:tcPr>
                  <w:tcW w:w="480" w:type="pct"/>
                  <w:vMerge w:val="continue"/>
                  <w:vAlign w:val="center"/>
                </w:tcPr>
                <w:p>
                  <w:pPr>
                    <w:jc w:val="center"/>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 w:hRule="atLeast"/>
              </w:trPr>
              <w:tc>
                <w:tcPr>
                  <w:tcW w:w="644" w:type="pct"/>
                  <w:vMerge w:val="continue"/>
                  <w:vAlign w:val="center"/>
                </w:tcPr>
                <w:p>
                  <w:pPr>
                    <w:jc w:val="center"/>
                    <w:rPr>
                      <w:color w:val="auto"/>
                      <w:highlight w:val="none"/>
                    </w:rPr>
                  </w:pPr>
                </w:p>
              </w:tc>
              <w:tc>
                <w:tcPr>
                  <w:tcW w:w="1248" w:type="pct"/>
                  <w:vAlign w:val="center"/>
                </w:tcPr>
                <w:p>
                  <w:pPr>
                    <w:jc w:val="center"/>
                    <w:rPr>
                      <w:bCs/>
                      <w:color w:val="auto"/>
                      <w:highlight w:val="none"/>
                    </w:rPr>
                  </w:pPr>
                  <w:r>
                    <w:rPr>
                      <w:bCs/>
                      <w:color w:val="auto"/>
                      <w:szCs w:val="21"/>
                      <w:highlight w:val="none"/>
                    </w:rPr>
                    <w:t>光窗自动清洗机</w:t>
                  </w:r>
                </w:p>
              </w:tc>
              <w:tc>
                <w:tcPr>
                  <w:tcW w:w="1188" w:type="pct"/>
                  <w:vMerge w:val="continue"/>
                  <w:vAlign w:val="center"/>
                </w:tcPr>
                <w:p>
                  <w:pPr>
                    <w:jc w:val="center"/>
                    <w:rPr>
                      <w:color w:val="auto"/>
                      <w:highlight w:val="none"/>
                    </w:rPr>
                  </w:pPr>
                </w:p>
              </w:tc>
              <w:tc>
                <w:tcPr>
                  <w:tcW w:w="480" w:type="pct"/>
                  <w:vMerge w:val="continue"/>
                  <w:vAlign w:val="center"/>
                </w:tcPr>
                <w:p>
                  <w:pPr>
                    <w:jc w:val="center"/>
                    <w:rPr>
                      <w:color w:val="auto"/>
                      <w:szCs w:val="21"/>
                      <w:highlight w:val="none"/>
                    </w:rPr>
                  </w:pPr>
                </w:p>
              </w:tc>
              <w:tc>
                <w:tcPr>
                  <w:tcW w:w="480" w:type="pct"/>
                  <w:vMerge w:val="continue"/>
                  <w:vAlign w:val="center"/>
                </w:tcPr>
                <w:p>
                  <w:pPr>
                    <w:jc w:val="center"/>
                    <w:rPr>
                      <w:color w:val="auto"/>
                      <w:szCs w:val="21"/>
                      <w:highlight w:val="none"/>
                    </w:rPr>
                  </w:pPr>
                </w:p>
              </w:tc>
              <w:tc>
                <w:tcPr>
                  <w:tcW w:w="480" w:type="pct"/>
                  <w:vMerge w:val="continue"/>
                  <w:vAlign w:val="center"/>
                </w:tcPr>
                <w:p>
                  <w:pPr>
                    <w:jc w:val="center"/>
                    <w:rPr>
                      <w:color w:val="auto"/>
                      <w:szCs w:val="21"/>
                      <w:highlight w:val="none"/>
                    </w:rPr>
                  </w:pPr>
                </w:p>
              </w:tc>
              <w:tc>
                <w:tcPr>
                  <w:tcW w:w="480" w:type="pct"/>
                  <w:vMerge w:val="continue"/>
                  <w:vAlign w:val="center"/>
                </w:tcPr>
                <w:p>
                  <w:pPr>
                    <w:jc w:val="center"/>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 w:hRule="atLeast"/>
              </w:trPr>
              <w:tc>
                <w:tcPr>
                  <w:tcW w:w="644" w:type="pct"/>
                  <w:vMerge w:val="continue"/>
                  <w:vAlign w:val="center"/>
                </w:tcPr>
                <w:p>
                  <w:pPr>
                    <w:jc w:val="center"/>
                    <w:rPr>
                      <w:color w:val="auto"/>
                      <w:highlight w:val="none"/>
                    </w:rPr>
                  </w:pPr>
                </w:p>
              </w:tc>
              <w:tc>
                <w:tcPr>
                  <w:tcW w:w="1248" w:type="pct"/>
                  <w:vAlign w:val="center"/>
                </w:tcPr>
                <w:p>
                  <w:pPr>
                    <w:jc w:val="center"/>
                    <w:rPr>
                      <w:bCs/>
                      <w:color w:val="auto"/>
                      <w:highlight w:val="none"/>
                    </w:rPr>
                  </w:pPr>
                  <w:r>
                    <w:rPr>
                      <w:rFonts w:hint="eastAsia"/>
                      <w:bCs/>
                      <w:color w:val="auto"/>
                      <w:highlight w:val="none"/>
                    </w:rPr>
                    <w:t>风机</w:t>
                  </w:r>
                </w:p>
              </w:tc>
              <w:tc>
                <w:tcPr>
                  <w:tcW w:w="1188" w:type="pct"/>
                  <w:vMerge w:val="continue"/>
                  <w:vAlign w:val="center"/>
                </w:tcPr>
                <w:p>
                  <w:pPr>
                    <w:jc w:val="center"/>
                    <w:rPr>
                      <w:color w:val="auto"/>
                      <w:highlight w:val="none"/>
                    </w:rPr>
                  </w:pPr>
                </w:p>
              </w:tc>
              <w:tc>
                <w:tcPr>
                  <w:tcW w:w="480" w:type="pct"/>
                  <w:vMerge w:val="continue"/>
                  <w:vAlign w:val="center"/>
                </w:tcPr>
                <w:p>
                  <w:pPr>
                    <w:jc w:val="center"/>
                    <w:rPr>
                      <w:color w:val="auto"/>
                      <w:szCs w:val="21"/>
                      <w:highlight w:val="none"/>
                    </w:rPr>
                  </w:pPr>
                </w:p>
              </w:tc>
              <w:tc>
                <w:tcPr>
                  <w:tcW w:w="480" w:type="pct"/>
                  <w:vMerge w:val="continue"/>
                  <w:vAlign w:val="center"/>
                </w:tcPr>
                <w:p>
                  <w:pPr>
                    <w:jc w:val="center"/>
                    <w:rPr>
                      <w:color w:val="auto"/>
                      <w:szCs w:val="21"/>
                      <w:highlight w:val="none"/>
                    </w:rPr>
                  </w:pPr>
                </w:p>
              </w:tc>
              <w:tc>
                <w:tcPr>
                  <w:tcW w:w="480" w:type="pct"/>
                  <w:vMerge w:val="continue"/>
                  <w:vAlign w:val="center"/>
                </w:tcPr>
                <w:p>
                  <w:pPr>
                    <w:jc w:val="center"/>
                    <w:rPr>
                      <w:color w:val="auto"/>
                      <w:szCs w:val="21"/>
                      <w:highlight w:val="none"/>
                    </w:rPr>
                  </w:pPr>
                </w:p>
              </w:tc>
              <w:tc>
                <w:tcPr>
                  <w:tcW w:w="480" w:type="pct"/>
                  <w:vMerge w:val="continue"/>
                  <w:vAlign w:val="center"/>
                </w:tcPr>
                <w:p>
                  <w:pPr>
                    <w:jc w:val="center"/>
                    <w:rPr>
                      <w:color w:val="auto"/>
                      <w:szCs w:val="21"/>
                      <w:highlight w:val="none"/>
                    </w:rPr>
                  </w:pPr>
                </w:p>
              </w:tc>
            </w:tr>
          </w:tbl>
          <w:p>
            <w:pPr>
              <w:spacing w:beforeLines="50" w:line="360" w:lineRule="auto"/>
              <w:ind w:firstLine="482" w:firstLineChars="200"/>
              <w:rPr>
                <w:b/>
                <w:color w:val="auto"/>
                <w:sz w:val="24"/>
                <w:highlight w:val="none"/>
              </w:rPr>
            </w:pPr>
            <w:r>
              <w:rPr>
                <w:rFonts w:hint="eastAsia"/>
                <w:b/>
                <w:color w:val="auto"/>
                <w:sz w:val="24"/>
                <w:highlight w:val="none"/>
              </w:rPr>
              <w:t>（2）声环境影响预测结果</w:t>
            </w:r>
          </w:p>
          <w:p>
            <w:pPr>
              <w:spacing w:beforeLines="50" w:line="360" w:lineRule="auto"/>
              <w:ind w:firstLine="480" w:firstLineChars="200"/>
              <w:rPr>
                <w:color w:val="auto"/>
                <w:sz w:val="24"/>
                <w:highlight w:val="none"/>
              </w:rPr>
            </w:pPr>
            <w:r>
              <w:rPr>
                <w:rFonts w:hint="eastAsia"/>
                <w:color w:val="auto"/>
                <w:sz w:val="24"/>
                <w:highlight w:val="none"/>
              </w:rPr>
              <w:t>声在室外空间的传播，由于受到遮挡物的隔断，各种介质的吸收与反射，以及空气介质的吸收等物理作用而逐渐减弱。本项目无声环境保护目标。为了简化计算条件并能考虑到最不利因素，计算时只考虑噪声随距离的衰减。本项目对厂界影响情况。见表4-20。</w:t>
            </w:r>
          </w:p>
          <w:p>
            <w:pPr>
              <w:widowControl/>
              <w:spacing w:beforeLines="50" w:line="360" w:lineRule="auto"/>
              <w:jc w:val="center"/>
              <w:rPr>
                <w:b/>
                <w:bCs/>
                <w:color w:val="auto"/>
                <w:kern w:val="0"/>
                <w:sz w:val="24"/>
                <w:highlight w:val="none"/>
              </w:rPr>
            </w:pPr>
            <w:r>
              <w:rPr>
                <w:b/>
                <w:bCs/>
                <w:color w:val="auto"/>
                <w:kern w:val="0"/>
                <w:sz w:val="24"/>
                <w:highlight w:val="none"/>
              </w:rPr>
              <w:t>表4-</w:t>
            </w:r>
            <w:r>
              <w:rPr>
                <w:rFonts w:hint="eastAsia"/>
                <w:b/>
                <w:bCs/>
                <w:color w:val="auto"/>
                <w:kern w:val="0"/>
                <w:sz w:val="24"/>
                <w:highlight w:val="none"/>
              </w:rPr>
              <w:t>20</w:t>
            </w:r>
            <w:r>
              <w:rPr>
                <w:b/>
                <w:bCs/>
                <w:color w:val="auto"/>
                <w:kern w:val="0"/>
                <w:sz w:val="24"/>
                <w:highlight w:val="none"/>
              </w:rPr>
              <w:t xml:space="preserve">  噪声预测结果</w:t>
            </w:r>
          </w:p>
          <w:tbl>
            <w:tblPr>
              <w:tblStyle w:val="3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634"/>
              <w:gridCol w:w="1331"/>
              <w:gridCol w:w="714"/>
              <w:gridCol w:w="716"/>
              <w:gridCol w:w="714"/>
              <w:gridCol w:w="716"/>
              <w:gridCol w:w="716"/>
              <w:gridCol w:w="716"/>
              <w:gridCol w:w="716"/>
              <w:gridCol w:w="7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rPr>
              <w:tc>
                <w:tcPr>
                  <w:tcW w:w="940" w:type="pct"/>
                  <w:vMerge w:val="restart"/>
                  <w:vAlign w:val="center"/>
                </w:tcPr>
                <w:p>
                  <w:pPr>
                    <w:jc w:val="center"/>
                    <w:rPr>
                      <w:bCs/>
                      <w:color w:val="auto"/>
                      <w:szCs w:val="21"/>
                      <w:highlight w:val="none"/>
                    </w:rPr>
                  </w:pPr>
                  <w:r>
                    <w:rPr>
                      <w:bCs/>
                      <w:color w:val="auto"/>
                      <w:szCs w:val="21"/>
                      <w:highlight w:val="none"/>
                    </w:rPr>
                    <w:t>噪声源</w:t>
                  </w:r>
                </w:p>
              </w:tc>
              <w:tc>
                <w:tcPr>
                  <w:tcW w:w="766" w:type="pct"/>
                  <w:vMerge w:val="restart"/>
                  <w:vAlign w:val="center"/>
                </w:tcPr>
                <w:p>
                  <w:pPr>
                    <w:jc w:val="center"/>
                    <w:rPr>
                      <w:bCs/>
                      <w:color w:val="auto"/>
                      <w:szCs w:val="21"/>
                      <w:highlight w:val="none"/>
                    </w:rPr>
                  </w:pPr>
                  <w:r>
                    <w:rPr>
                      <w:bCs/>
                      <w:color w:val="auto"/>
                      <w:szCs w:val="21"/>
                      <w:highlight w:val="none"/>
                    </w:rPr>
                    <w:t>叠加噪声源强</w:t>
                  </w:r>
                </w:p>
                <w:p>
                  <w:pPr>
                    <w:jc w:val="center"/>
                    <w:rPr>
                      <w:bCs/>
                      <w:color w:val="auto"/>
                      <w:szCs w:val="21"/>
                      <w:highlight w:val="none"/>
                    </w:rPr>
                  </w:pPr>
                  <w:r>
                    <w:rPr>
                      <w:bCs/>
                      <w:color w:val="auto"/>
                      <w:szCs w:val="21"/>
                      <w:highlight w:val="none"/>
                    </w:rPr>
                    <w:t>dB（A）*</w:t>
                  </w:r>
                </w:p>
              </w:tc>
              <w:tc>
                <w:tcPr>
                  <w:tcW w:w="823" w:type="pct"/>
                  <w:gridSpan w:val="2"/>
                  <w:vAlign w:val="center"/>
                </w:tcPr>
                <w:p>
                  <w:pPr>
                    <w:jc w:val="center"/>
                    <w:rPr>
                      <w:bCs/>
                      <w:color w:val="auto"/>
                      <w:szCs w:val="21"/>
                      <w:highlight w:val="none"/>
                    </w:rPr>
                  </w:pPr>
                  <w:r>
                    <w:rPr>
                      <w:bCs/>
                      <w:color w:val="auto"/>
                      <w:szCs w:val="21"/>
                      <w:highlight w:val="none"/>
                    </w:rPr>
                    <w:t>东厂界</w:t>
                  </w:r>
                </w:p>
              </w:tc>
              <w:tc>
                <w:tcPr>
                  <w:tcW w:w="823" w:type="pct"/>
                  <w:gridSpan w:val="2"/>
                  <w:vAlign w:val="center"/>
                </w:tcPr>
                <w:p>
                  <w:pPr>
                    <w:jc w:val="center"/>
                    <w:rPr>
                      <w:bCs/>
                      <w:color w:val="auto"/>
                      <w:szCs w:val="21"/>
                      <w:highlight w:val="none"/>
                    </w:rPr>
                  </w:pPr>
                  <w:r>
                    <w:rPr>
                      <w:bCs/>
                      <w:color w:val="auto"/>
                      <w:szCs w:val="21"/>
                      <w:highlight w:val="none"/>
                    </w:rPr>
                    <w:t>南厂界</w:t>
                  </w:r>
                </w:p>
              </w:tc>
              <w:tc>
                <w:tcPr>
                  <w:tcW w:w="824" w:type="pct"/>
                  <w:gridSpan w:val="2"/>
                  <w:vAlign w:val="center"/>
                </w:tcPr>
                <w:p>
                  <w:pPr>
                    <w:jc w:val="center"/>
                    <w:rPr>
                      <w:bCs/>
                      <w:color w:val="auto"/>
                      <w:szCs w:val="21"/>
                      <w:highlight w:val="none"/>
                    </w:rPr>
                  </w:pPr>
                  <w:r>
                    <w:rPr>
                      <w:bCs/>
                      <w:color w:val="auto"/>
                      <w:szCs w:val="21"/>
                      <w:highlight w:val="none"/>
                    </w:rPr>
                    <w:t>西厂界</w:t>
                  </w:r>
                </w:p>
              </w:tc>
              <w:tc>
                <w:tcPr>
                  <w:tcW w:w="824" w:type="pct"/>
                  <w:gridSpan w:val="2"/>
                  <w:vAlign w:val="center"/>
                </w:tcPr>
                <w:p>
                  <w:pPr>
                    <w:jc w:val="center"/>
                    <w:rPr>
                      <w:bCs/>
                      <w:color w:val="auto"/>
                      <w:szCs w:val="21"/>
                      <w:highlight w:val="none"/>
                    </w:rPr>
                  </w:pPr>
                  <w:r>
                    <w:rPr>
                      <w:bCs/>
                      <w:color w:val="auto"/>
                      <w:szCs w:val="21"/>
                      <w:highlight w:val="none"/>
                    </w:rPr>
                    <w:t>北厂界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940" w:type="pct"/>
                  <w:vMerge w:val="continue"/>
                  <w:vAlign w:val="center"/>
                </w:tcPr>
                <w:p>
                  <w:pPr>
                    <w:jc w:val="center"/>
                    <w:rPr>
                      <w:bCs/>
                      <w:color w:val="auto"/>
                      <w:szCs w:val="21"/>
                      <w:highlight w:val="none"/>
                    </w:rPr>
                  </w:pPr>
                </w:p>
              </w:tc>
              <w:tc>
                <w:tcPr>
                  <w:tcW w:w="766" w:type="pct"/>
                  <w:vMerge w:val="continue"/>
                  <w:vAlign w:val="center"/>
                </w:tcPr>
                <w:p>
                  <w:pPr>
                    <w:jc w:val="center"/>
                    <w:rPr>
                      <w:bCs/>
                      <w:color w:val="auto"/>
                      <w:szCs w:val="21"/>
                      <w:highlight w:val="none"/>
                    </w:rPr>
                  </w:pPr>
                </w:p>
              </w:tc>
              <w:tc>
                <w:tcPr>
                  <w:tcW w:w="411" w:type="pct"/>
                  <w:vAlign w:val="center"/>
                </w:tcPr>
                <w:p>
                  <w:pPr>
                    <w:jc w:val="center"/>
                    <w:rPr>
                      <w:bCs/>
                      <w:color w:val="auto"/>
                      <w:szCs w:val="21"/>
                      <w:highlight w:val="none"/>
                    </w:rPr>
                  </w:pPr>
                  <w:r>
                    <w:rPr>
                      <w:bCs/>
                      <w:color w:val="auto"/>
                      <w:szCs w:val="21"/>
                      <w:highlight w:val="none"/>
                    </w:rPr>
                    <w:t>距离</w:t>
                  </w:r>
                </w:p>
                <w:p>
                  <w:pPr>
                    <w:jc w:val="center"/>
                    <w:rPr>
                      <w:bCs/>
                      <w:color w:val="auto"/>
                      <w:szCs w:val="21"/>
                      <w:highlight w:val="none"/>
                    </w:rPr>
                  </w:pPr>
                  <w:r>
                    <w:rPr>
                      <w:bCs/>
                      <w:color w:val="auto"/>
                      <w:szCs w:val="21"/>
                      <w:highlight w:val="none"/>
                    </w:rPr>
                    <w:t>（m）</w:t>
                  </w:r>
                </w:p>
              </w:tc>
              <w:tc>
                <w:tcPr>
                  <w:tcW w:w="412" w:type="pct"/>
                  <w:vAlign w:val="center"/>
                </w:tcPr>
                <w:p>
                  <w:pPr>
                    <w:jc w:val="center"/>
                    <w:rPr>
                      <w:bCs/>
                      <w:color w:val="auto"/>
                      <w:szCs w:val="21"/>
                      <w:highlight w:val="none"/>
                    </w:rPr>
                  </w:pPr>
                  <w:r>
                    <w:rPr>
                      <w:bCs/>
                      <w:color w:val="auto"/>
                      <w:szCs w:val="21"/>
                      <w:highlight w:val="none"/>
                    </w:rPr>
                    <w:t>贡献值</w:t>
                  </w:r>
                </w:p>
                <w:p>
                  <w:pPr>
                    <w:jc w:val="center"/>
                    <w:rPr>
                      <w:bCs/>
                      <w:color w:val="auto"/>
                      <w:szCs w:val="21"/>
                      <w:highlight w:val="none"/>
                    </w:rPr>
                  </w:pPr>
                  <w:r>
                    <w:rPr>
                      <w:bCs/>
                      <w:color w:val="auto"/>
                      <w:szCs w:val="21"/>
                      <w:highlight w:val="none"/>
                    </w:rPr>
                    <w:t>dB（A）</w:t>
                  </w:r>
                </w:p>
              </w:tc>
              <w:tc>
                <w:tcPr>
                  <w:tcW w:w="411" w:type="pct"/>
                  <w:vAlign w:val="center"/>
                </w:tcPr>
                <w:p>
                  <w:pPr>
                    <w:jc w:val="center"/>
                    <w:rPr>
                      <w:bCs/>
                      <w:color w:val="auto"/>
                      <w:szCs w:val="21"/>
                      <w:highlight w:val="none"/>
                    </w:rPr>
                  </w:pPr>
                  <w:r>
                    <w:rPr>
                      <w:bCs/>
                      <w:color w:val="auto"/>
                      <w:szCs w:val="21"/>
                      <w:highlight w:val="none"/>
                    </w:rPr>
                    <w:t>距离</w:t>
                  </w:r>
                </w:p>
                <w:p>
                  <w:pPr>
                    <w:jc w:val="center"/>
                    <w:rPr>
                      <w:bCs/>
                      <w:color w:val="auto"/>
                      <w:szCs w:val="21"/>
                      <w:highlight w:val="none"/>
                    </w:rPr>
                  </w:pPr>
                  <w:r>
                    <w:rPr>
                      <w:bCs/>
                      <w:color w:val="auto"/>
                      <w:szCs w:val="21"/>
                      <w:highlight w:val="none"/>
                    </w:rPr>
                    <w:t>（m）</w:t>
                  </w:r>
                </w:p>
              </w:tc>
              <w:tc>
                <w:tcPr>
                  <w:tcW w:w="412" w:type="pct"/>
                  <w:vAlign w:val="center"/>
                </w:tcPr>
                <w:p>
                  <w:pPr>
                    <w:jc w:val="center"/>
                    <w:rPr>
                      <w:bCs/>
                      <w:color w:val="auto"/>
                      <w:szCs w:val="21"/>
                      <w:highlight w:val="none"/>
                    </w:rPr>
                  </w:pPr>
                  <w:r>
                    <w:rPr>
                      <w:bCs/>
                      <w:color w:val="auto"/>
                      <w:szCs w:val="21"/>
                      <w:highlight w:val="none"/>
                    </w:rPr>
                    <w:t>贡献值</w:t>
                  </w:r>
                </w:p>
                <w:p>
                  <w:pPr>
                    <w:jc w:val="center"/>
                    <w:rPr>
                      <w:bCs/>
                      <w:color w:val="auto"/>
                      <w:szCs w:val="21"/>
                      <w:highlight w:val="none"/>
                    </w:rPr>
                  </w:pPr>
                  <w:r>
                    <w:rPr>
                      <w:bCs/>
                      <w:color w:val="auto"/>
                      <w:szCs w:val="21"/>
                      <w:highlight w:val="none"/>
                    </w:rPr>
                    <w:t>dB（A）</w:t>
                  </w:r>
                </w:p>
              </w:tc>
              <w:tc>
                <w:tcPr>
                  <w:tcW w:w="412" w:type="pct"/>
                  <w:vAlign w:val="center"/>
                </w:tcPr>
                <w:p>
                  <w:pPr>
                    <w:jc w:val="center"/>
                    <w:rPr>
                      <w:bCs/>
                      <w:color w:val="auto"/>
                      <w:szCs w:val="21"/>
                      <w:highlight w:val="none"/>
                    </w:rPr>
                  </w:pPr>
                  <w:r>
                    <w:rPr>
                      <w:bCs/>
                      <w:color w:val="auto"/>
                      <w:szCs w:val="21"/>
                      <w:highlight w:val="none"/>
                    </w:rPr>
                    <w:t>距离</w:t>
                  </w:r>
                </w:p>
                <w:p>
                  <w:pPr>
                    <w:jc w:val="center"/>
                    <w:rPr>
                      <w:bCs/>
                      <w:color w:val="auto"/>
                      <w:szCs w:val="21"/>
                      <w:highlight w:val="none"/>
                    </w:rPr>
                  </w:pPr>
                  <w:r>
                    <w:rPr>
                      <w:bCs/>
                      <w:color w:val="auto"/>
                      <w:szCs w:val="21"/>
                      <w:highlight w:val="none"/>
                    </w:rPr>
                    <w:t>（m）</w:t>
                  </w:r>
                </w:p>
              </w:tc>
              <w:tc>
                <w:tcPr>
                  <w:tcW w:w="412" w:type="pct"/>
                  <w:vAlign w:val="center"/>
                </w:tcPr>
                <w:p>
                  <w:pPr>
                    <w:jc w:val="center"/>
                    <w:rPr>
                      <w:bCs/>
                      <w:color w:val="auto"/>
                      <w:szCs w:val="21"/>
                      <w:highlight w:val="none"/>
                    </w:rPr>
                  </w:pPr>
                  <w:r>
                    <w:rPr>
                      <w:bCs/>
                      <w:color w:val="auto"/>
                      <w:szCs w:val="21"/>
                      <w:highlight w:val="none"/>
                    </w:rPr>
                    <w:t>贡献值</w:t>
                  </w:r>
                </w:p>
                <w:p>
                  <w:pPr>
                    <w:jc w:val="center"/>
                    <w:rPr>
                      <w:bCs/>
                      <w:color w:val="auto"/>
                      <w:szCs w:val="21"/>
                      <w:highlight w:val="none"/>
                    </w:rPr>
                  </w:pPr>
                  <w:r>
                    <w:rPr>
                      <w:bCs/>
                      <w:color w:val="auto"/>
                      <w:szCs w:val="21"/>
                      <w:highlight w:val="none"/>
                    </w:rPr>
                    <w:t>dB（A）</w:t>
                  </w:r>
                </w:p>
              </w:tc>
              <w:tc>
                <w:tcPr>
                  <w:tcW w:w="412" w:type="pct"/>
                  <w:vAlign w:val="center"/>
                </w:tcPr>
                <w:p>
                  <w:pPr>
                    <w:jc w:val="center"/>
                    <w:rPr>
                      <w:bCs/>
                      <w:color w:val="auto"/>
                      <w:szCs w:val="21"/>
                      <w:highlight w:val="none"/>
                    </w:rPr>
                  </w:pPr>
                  <w:r>
                    <w:rPr>
                      <w:bCs/>
                      <w:color w:val="auto"/>
                      <w:szCs w:val="21"/>
                      <w:highlight w:val="none"/>
                    </w:rPr>
                    <w:t>距离</w:t>
                  </w:r>
                </w:p>
                <w:p>
                  <w:pPr>
                    <w:jc w:val="center"/>
                    <w:rPr>
                      <w:bCs/>
                      <w:color w:val="auto"/>
                      <w:szCs w:val="21"/>
                      <w:highlight w:val="none"/>
                    </w:rPr>
                  </w:pPr>
                  <w:r>
                    <w:rPr>
                      <w:bCs/>
                      <w:color w:val="auto"/>
                      <w:szCs w:val="21"/>
                      <w:highlight w:val="none"/>
                    </w:rPr>
                    <w:t>（m）</w:t>
                  </w:r>
                </w:p>
              </w:tc>
              <w:tc>
                <w:tcPr>
                  <w:tcW w:w="412" w:type="pct"/>
                  <w:vAlign w:val="center"/>
                </w:tcPr>
                <w:p>
                  <w:pPr>
                    <w:jc w:val="center"/>
                    <w:rPr>
                      <w:bCs/>
                      <w:color w:val="auto"/>
                      <w:szCs w:val="21"/>
                      <w:highlight w:val="none"/>
                    </w:rPr>
                  </w:pPr>
                  <w:r>
                    <w:rPr>
                      <w:bCs/>
                      <w:color w:val="auto"/>
                      <w:szCs w:val="21"/>
                      <w:highlight w:val="none"/>
                    </w:rPr>
                    <w:t>贡献值</w:t>
                  </w:r>
                </w:p>
                <w:p>
                  <w:pPr>
                    <w:jc w:val="center"/>
                    <w:rPr>
                      <w:bCs/>
                      <w:color w:val="auto"/>
                      <w:szCs w:val="21"/>
                      <w:highlight w:val="none"/>
                    </w:rPr>
                  </w:pPr>
                  <w:r>
                    <w:rPr>
                      <w:bCs/>
                      <w:color w:val="auto"/>
                      <w:szCs w:val="21"/>
                      <w:highlight w:val="none"/>
                    </w:rPr>
                    <w:t>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4" w:hRule="atLeast"/>
              </w:trPr>
              <w:tc>
                <w:tcPr>
                  <w:tcW w:w="940" w:type="pct"/>
                  <w:vAlign w:val="center"/>
                </w:tcPr>
                <w:p>
                  <w:pPr>
                    <w:jc w:val="center"/>
                    <w:rPr>
                      <w:color w:val="auto"/>
                      <w:szCs w:val="21"/>
                      <w:highlight w:val="none"/>
                    </w:rPr>
                  </w:pPr>
                  <w:r>
                    <w:rPr>
                      <w:rFonts w:hint="eastAsia"/>
                      <w:color w:val="auto"/>
                      <w:szCs w:val="21"/>
                      <w:highlight w:val="none"/>
                    </w:rPr>
                    <w:t>8号</w:t>
                  </w:r>
                  <w:r>
                    <w:rPr>
                      <w:color w:val="auto"/>
                      <w:szCs w:val="21"/>
                      <w:highlight w:val="none"/>
                    </w:rPr>
                    <w:t>厂房</w:t>
                  </w:r>
                </w:p>
              </w:tc>
              <w:tc>
                <w:tcPr>
                  <w:tcW w:w="766" w:type="pct"/>
                  <w:vAlign w:val="center"/>
                </w:tcPr>
                <w:p>
                  <w:pPr>
                    <w:jc w:val="center"/>
                    <w:rPr>
                      <w:color w:val="auto"/>
                      <w:szCs w:val="21"/>
                      <w:highlight w:val="none"/>
                    </w:rPr>
                  </w:pPr>
                  <w:r>
                    <w:rPr>
                      <w:rFonts w:hint="eastAsia"/>
                      <w:color w:val="auto"/>
                      <w:szCs w:val="21"/>
                      <w:highlight w:val="none"/>
                    </w:rPr>
                    <w:t>71.1</w:t>
                  </w:r>
                </w:p>
              </w:tc>
              <w:tc>
                <w:tcPr>
                  <w:tcW w:w="411" w:type="pct"/>
                  <w:vAlign w:val="center"/>
                </w:tcPr>
                <w:p>
                  <w:pPr>
                    <w:jc w:val="center"/>
                    <w:rPr>
                      <w:color w:val="auto"/>
                      <w:szCs w:val="21"/>
                      <w:highlight w:val="none"/>
                    </w:rPr>
                  </w:pPr>
                  <w:r>
                    <w:rPr>
                      <w:color w:val="auto"/>
                      <w:szCs w:val="21"/>
                      <w:highlight w:val="none"/>
                    </w:rPr>
                    <w:t>15</w:t>
                  </w:r>
                </w:p>
              </w:tc>
              <w:tc>
                <w:tcPr>
                  <w:tcW w:w="412" w:type="pct"/>
                  <w:vAlign w:val="center"/>
                </w:tcPr>
                <w:p>
                  <w:pPr>
                    <w:jc w:val="center"/>
                    <w:rPr>
                      <w:color w:val="auto"/>
                      <w:szCs w:val="21"/>
                      <w:highlight w:val="none"/>
                    </w:rPr>
                  </w:pPr>
                  <w:r>
                    <w:rPr>
                      <w:rFonts w:hint="eastAsia"/>
                      <w:color w:val="auto"/>
                      <w:szCs w:val="21"/>
                      <w:highlight w:val="none"/>
                    </w:rPr>
                    <w:t>47.6</w:t>
                  </w:r>
                </w:p>
              </w:tc>
              <w:tc>
                <w:tcPr>
                  <w:tcW w:w="411" w:type="pct"/>
                  <w:vAlign w:val="center"/>
                </w:tcPr>
                <w:p>
                  <w:pPr>
                    <w:jc w:val="center"/>
                    <w:rPr>
                      <w:color w:val="auto"/>
                      <w:szCs w:val="21"/>
                      <w:highlight w:val="none"/>
                    </w:rPr>
                  </w:pPr>
                  <w:r>
                    <w:rPr>
                      <w:color w:val="auto"/>
                      <w:szCs w:val="21"/>
                      <w:highlight w:val="none"/>
                    </w:rPr>
                    <w:t>30</w:t>
                  </w:r>
                </w:p>
              </w:tc>
              <w:tc>
                <w:tcPr>
                  <w:tcW w:w="412" w:type="pct"/>
                  <w:vAlign w:val="center"/>
                </w:tcPr>
                <w:p>
                  <w:pPr>
                    <w:jc w:val="center"/>
                    <w:rPr>
                      <w:color w:val="auto"/>
                      <w:szCs w:val="21"/>
                      <w:highlight w:val="none"/>
                    </w:rPr>
                  </w:pPr>
                  <w:r>
                    <w:rPr>
                      <w:rFonts w:hint="eastAsia"/>
                      <w:color w:val="auto"/>
                      <w:szCs w:val="21"/>
                      <w:highlight w:val="none"/>
                    </w:rPr>
                    <w:t>41.6</w:t>
                  </w:r>
                </w:p>
              </w:tc>
              <w:tc>
                <w:tcPr>
                  <w:tcW w:w="412" w:type="pct"/>
                  <w:vAlign w:val="center"/>
                </w:tcPr>
                <w:p>
                  <w:pPr>
                    <w:jc w:val="center"/>
                    <w:rPr>
                      <w:color w:val="auto"/>
                      <w:szCs w:val="21"/>
                      <w:highlight w:val="none"/>
                    </w:rPr>
                  </w:pPr>
                  <w:r>
                    <w:rPr>
                      <w:rFonts w:hint="eastAsia"/>
                      <w:color w:val="auto"/>
                      <w:szCs w:val="21"/>
                      <w:highlight w:val="none"/>
                    </w:rPr>
                    <w:t>15</w:t>
                  </w:r>
                </w:p>
              </w:tc>
              <w:tc>
                <w:tcPr>
                  <w:tcW w:w="412" w:type="pct"/>
                  <w:vAlign w:val="center"/>
                </w:tcPr>
                <w:p>
                  <w:pPr>
                    <w:jc w:val="center"/>
                    <w:rPr>
                      <w:color w:val="auto"/>
                      <w:szCs w:val="21"/>
                      <w:highlight w:val="none"/>
                    </w:rPr>
                  </w:pPr>
                  <w:r>
                    <w:rPr>
                      <w:rFonts w:hint="eastAsia"/>
                      <w:color w:val="auto"/>
                      <w:szCs w:val="21"/>
                      <w:highlight w:val="none"/>
                    </w:rPr>
                    <w:t>47.6</w:t>
                  </w:r>
                </w:p>
              </w:tc>
              <w:tc>
                <w:tcPr>
                  <w:tcW w:w="412" w:type="pct"/>
                  <w:vAlign w:val="center"/>
                </w:tcPr>
                <w:p>
                  <w:pPr>
                    <w:jc w:val="center"/>
                    <w:rPr>
                      <w:color w:val="auto"/>
                      <w:szCs w:val="21"/>
                      <w:highlight w:val="none"/>
                    </w:rPr>
                  </w:pPr>
                  <w:r>
                    <w:rPr>
                      <w:rFonts w:hint="eastAsia"/>
                      <w:color w:val="auto"/>
                      <w:szCs w:val="21"/>
                      <w:highlight w:val="none"/>
                    </w:rPr>
                    <w:t>150</w:t>
                  </w:r>
                </w:p>
              </w:tc>
              <w:tc>
                <w:tcPr>
                  <w:tcW w:w="412" w:type="pct"/>
                  <w:vAlign w:val="center"/>
                </w:tcPr>
                <w:p>
                  <w:pPr>
                    <w:jc w:val="center"/>
                    <w:rPr>
                      <w:color w:val="auto"/>
                      <w:szCs w:val="21"/>
                      <w:highlight w:val="none"/>
                    </w:rPr>
                  </w:pPr>
                  <w:r>
                    <w:rPr>
                      <w:rFonts w:hint="eastAsia"/>
                      <w:color w:val="auto"/>
                      <w:szCs w:val="21"/>
                      <w:highlight w:val="none"/>
                    </w:rPr>
                    <w:t>27.6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1705" w:type="pct"/>
                  <w:gridSpan w:val="2"/>
                  <w:vAlign w:val="center"/>
                </w:tcPr>
                <w:p>
                  <w:pPr>
                    <w:jc w:val="center"/>
                    <w:rPr>
                      <w:color w:val="auto"/>
                      <w:szCs w:val="21"/>
                      <w:highlight w:val="none"/>
                    </w:rPr>
                  </w:pPr>
                  <w:r>
                    <w:rPr>
                      <w:color w:val="auto"/>
                      <w:szCs w:val="21"/>
                      <w:highlight w:val="none"/>
                    </w:rPr>
                    <w:t>标准</w:t>
                  </w:r>
                </w:p>
              </w:tc>
              <w:tc>
                <w:tcPr>
                  <w:tcW w:w="3295" w:type="pct"/>
                  <w:gridSpan w:val="8"/>
                  <w:vAlign w:val="center"/>
                </w:tcPr>
                <w:p>
                  <w:pPr>
                    <w:widowControl/>
                    <w:jc w:val="center"/>
                    <w:textAlignment w:val="center"/>
                    <w:rPr>
                      <w:color w:val="auto"/>
                      <w:sz w:val="22"/>
                      <w:szCs w:val="22"/>
                      <w:highlight w:val="none"/>
                    </w:rPr>
                  </w:pPr>
                  <w:r>
                    <w:rPr>
                      <w:color w:val="auto"/>
                      <w:szCs w:val="21"/>
                      <w:highlight w:val="none"/>
                    </w:rPr>
                    <w:t>昼间≤6</w:t>
                  </w:r>
                  <w:r>
                    <w:rPr>
                      <w:rFonts w:hint="eastAsia"/>
                      <w:color w:val="auto"/>
                      <w:szCs w:val="21"/>
                      <w:highlight w:val="none"/>
                    </w:rPr>
                    <w:t>0</w:t>
                  </w:r>
                  <w:r>
                    <w:rPr>
                      <w:color w:val="auto"/>
                      <w:szCs w:val="21"/>
                      <w:highlight w:val="none"/>
                    </w:rPr>
                    <w:t>dB(A)，夜间≤5</w:t>
                  </w:r>
                  <w:r>
                    <w:rPr>
                      <w:rFonts w:hint="eastAsia"/>
                      <w:color w:val="auto"/>
                      <w:szCs w:val="21"/>
                      <w:highlight w:val="none"/>
                    </w:rPr>
                    <w:t>0</w:t>
                  </w:r>
                  <w:r>
                    <w:rPr>
                      <w:color w:val="auto"/>
                      <w:szCs w:val="21"/>
                      <w:highlight w:val="none"/>
                    </w:rPr>
                    <w:t>dB(A)</w:t>
                  </w:r>
                </w:p>
              </w:tc>
            </w:tr>
          </w:tbl>
          <w:p>
            <w:pPr>
              <w:spacing w:beforeLines="50" w:line="360" w:lineRule="auto"/>
              <w:ind w:firstLine="480" w:firstLineChars="200"/>
              <w:rPr>
                <w:color w:val="auto"/>
                <w:sz w:val="24"/>
                <w:highlight w:val="none"/>
              </w:rPr>
            </w:pPr>
            <w:r>
              <w:rPr>
                <w:rFonts w:hint="eastAsia"/>
                <w:color w:val="auto"/>
                <w:sz w:val="24"/>
                <w:highlight w:val="none"/>
              </w:rPr>
              <w:t>由上表可以看出，在各项噪声源影响下，厂界中各测点噪声贡献值均满足《工业企业厂界环境噪声排放标准》(GB12348-2008)中2类区标准要求。厂界的噪声值增加较低，对周围声环境的影响较小。</w:t>
            </w:r>
          </w:p>
          <w:p>
            <w:pPr>
              <w:pStyle w:val="2"/>
              <w:spacing w:line="360" w:lineRule="auto"/>
              <w:ind w:firstLine="482" w:firstLineChars="200"/>
              <w:rPr>
                <w:b/>
                <w:color w:val="auto"/>
                <w:sz w:val="24"/>
                <w:szCs w:val="24"/>
                <w:highlight w:val="none"/>
              </w:rPr>
            </w:pPr>
            <w:r>
              <w:rPr>
                <w:b/>
                <w:color w:val="auto"/>
                <w:sz w:val="24"/>
                <w:szCs w:val="24"/>
                <w:highlight w:val="none"/>
              </w:rPr>
              <w:t>（3）噪声监测要求</w:t>
            </w:r>
          </w:p>
          <w:p>
            <w:pPr>
              <w:adjustRightInd w:val="0"/>
              <w:snapToGrid w:val="0"/>
              <w:spacing w:line="360" w:lineRule="auto"/>
              <w:ind w:firstLine="480" w:firstLineChars="200"/>
              <w:rPr>
                <w:bCs/>
                <w:color w:val="auto"/>
                <w:kern w:val="21"/>
                <w:sz w:val="24"/>
                <w:highlight w:val="none"/>
              </w:rPr>
            </w:pPr>
            <w:r>
              <w:rPr>
                <w:bCs/>
                <w:color w:val="auto"/>
                <w:kern w:val="21"/>
                <w:sz w:val="24"/>
                <w:highlight w:val="none"/>
              </w:rPr>
              <w:t>根据《排污单位自行监测技术指南 总则》（HJ819-2017）5.3.2，制定噪声监测计划如下。</w:t>
            </w:r>
          </w:p>
          <w:p>
            <w:pPr>
              <w:adjustRightInd w:val="0"/>
              <w:snapToGrid w:val="0"/>
              <w:spacing w:line="360" w:lineRule="auto"/>
              <w:jc w:val="center"/>
              <w:rPr>
                <w:b/>
                <w:color w:val="auto"/>
                <w:kern w:val="21"/>
                <w:sz w:val="24"/>
                <w:highlight w:val="none"/>
              </w:rPr>
            </w:pPr>
          </w:p>
          <w:p>
            <w:pPr>
              <w:adjustRightInd w:val="0"/>
              <w:snapToGrid w:val="0"/>
              <w:spacing w:line="360" w:lineRule="auto"/>
              <w:jc w:val="center"/>
              <w:rPr>
                <w:b/>
                <w:color w:val="auto"/>
                <w:kern w:val="21"/>
                <w:sz w:val="24"/>
                <w:highlight w:val="none"/>
              </w:rPr>
            </w:pPr>
          </w:p>
          <w:p>
            <w:pPr>
              <w:adjustRightInd w:val="0"/>
              <w:snapToGrid w:val="0"/>
              <w:spacing w:line="360" w:lineRule="auto"/>
              <w:jc w:val="center"/>
              <w:rPr>
                <w:b/>
                <w:color w:val="auto"/>
                <w:kern w:val="21"/>
                <w:sz w:val="24"/>
                <w:highlight w:val="none"/>
              </w:rPr>
            </w:pPr>
            <w:r>
              <w:rPr>
                <w:b/>
                <w:color w:val="auto"/>
                <w:kern w:val="21"/>
                <w:sz w:val="24"/>
                <w:highlight w:val="none"/>
              </w:rPr>
              <w:t>表4-</w:t>
            </w:r>
            <w:r>
              <w:rPr>
                <w:rFonts w:hint="eastAsia"/>
                <w:b/>
                <w:color w:val="auto"/>
                <w:kern w:val="21"/>
                <w:sz w:val="24"/>
                <w:highlight w:val="none"/>
              </w:rPr>
              <w:t>21</w:t>
            </w:r>
            <w:r>
              <w:rPr>
                <w:b/>
                <w:color w:val="auto"/>
                <w:kern w:val="21"/>
                <w:sz w:val="24"/>
                <w:highlight w:val="none"/>
              </w:rPr>
              <w:t xml:space="preserve">  噪声监测要求表</w:t>
            </w:r>
          </w:p>
          <w:tbl>
            <w:tblPr>
              <w:tblStyle w:val="34"/>
              <w:tblW w:w="4885"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0" w:type="dxa"/>
                <w:bottom w:w="0" w:type="dxa"/>
                <w:right w:w="0" w:type="dxa"/>
              </w:tblCellMar>
            </w:tblPr>
            <w:tblGrid>
              <w:gridCol w:w="2828"/>
              <w:gridCol w:w="2828"/>
              <w:gridCol w:w="2828"/>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283" w:hRule="atLeast"/>
                <w:jc w:val="center"/>
              </w:trPr>
              <w:tc>
                <w:tcPr>
                  <w:tcW w:w="1666" w:type="pct"/>
                  <w:noWrap/>
                  <w:vAlign w:val="center"/>
                </w:tcPr>
                <w:p>
                  <w:pPr>
                    <w:widowControl/>
                    <w:jc w:val="center"/>
                    <w:rPr>
                      <w:color w:val="auto"/>
                      <w:kern w:val="0"/>
                      <w:szCs w:val="21"/>
                      <w:highlight w:val="none"/>
                    </w:rPr>
                  </w:pPr>
                  <w:r>
                    <w:rPr>
                      <w:color w:val="auto"/>
                      <w:kern w:val="0"/>
                      <w:szCs w:val="21"/>
                      <w:highlight w:val="none"/>
                    </w:rPr>
                    <w:t>监测点位</w:t>
                  </w:r>
                </w:p>
              </w:tc>
              <w:tc>
                <w:tcPr>
                  <w:tcW w:w="1666" w:type="pct"/>
                  <w:noWrap/>
                  <w:vAlign w:val="center"/>
                </w:tcPr>
                <w:p>
                  <w:pPr>
                    <w:widowControl/>
                    <w:jc w:val="center"/>
                    <w:rPr>
                      <w:color w:val="auto"/>
                      <w:kern w:val="0"/>
                      <w:szCs w:val="21"/>
                      <w:highlight w:val="none"/>
                    </w:rPr>
                  </w:pPr>
                  <w:r>
                    <w:rPr>
                      <w:color w:val="auto"/>
                      <w:kern w:val="0"/>
                      <w:szCs w:val="21"/>
                      <w:highlight w:val="none"/>
                    </w:rPr>
                    <w:t>监测因子</w:t>
                  </w:r>
                </w:p>
              </w:tc>
              <w:tc>
                <w:tcPr>
                  <w:tcW w:w="1666" w:type="pct"/>
                  <w:noWrap/>
                  <w:vAlign w:val="center"/>
                </w:tcPr>
                <w:p>
                  <w:pPr>
                    <w:widowControl/>
                    <w:jc w:val="center"/>
                    <w:rPr>
                      <w:color w:val="auto"/>
                      <w:kern w:val="0"/>
                      <w:szCs w:val="21"/>
                      <w:highlight w:val="none"/>
                    </w:rPr>
                  </w:pPr>
                  <w:r>
                    <w:rPr>
                      <w:color w:val="auto"/>
                      <w:kern w:val="0"/>
                      <w:szCs w:val="21"/>
                      <w:highlight w:val="none"/>
                    </w:rPr>
                    <w:t>监测频次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283" w:hRule="atLeast"/>
                <w:jc w:val="center"/>
              </w:trPr>
              <w:tc>
                <w:tcPr>
                  <w:tcW w:w="1666" w:type="pct"/>
                  <w:noWrap/>
                  <w:vAlign w:val="center"/>
                </w:tcPr>
                <w:p>
                  <w:pPr>
                    <w:widowControl/>
                    <w:jc w:val="center"/>
                    <w:rPr>
                      <w:color w:val="auto"/>
                      <w:kern w:val="0"/>
                      <w:szCs w:val="21"/>
                      <w:highlight w:val="none"/>
                    </w:rPr>
                  </w:pPr>
                  <w:r>
                    <w:rPr>
                      <w:color w:val="auto"/>
                      <w:kern w:val="0"/>
                      <w:szCs w:val="21"/>
                      <w:highlight w:val="none"/>
                    </w:rPr>
                    <w:t>厂界四周</w:t>
                  </w:r>
                </w:p>
              </w:tc>
              <w:tc>
                <w:tcPr>
                  <w:tcW w:w="1666" w:type="pct"/>
                  <w:noWrap/>
                  <w:vAlign w:val="center"/>
                </w:tcPr>
                <w:p>
                  <w:pPr>
                    <w:widowControl/>
                    <w:jc w:val="center"/>
                    <w:rPr>
                      <w:color w:val="auto"/>
                      <w:kern w:val="0"/>
                      <w:szCs w:val="21"/>
                      <w:highlight w:val="none"/>
                    </w:rPr>
                  </w:pPr>
                  <w:r>
                    <w:rPr>
                      <w:color w:val="auto"/>
                      <w:kern w:val="0"/>
                      <w:szCs w:val="21"/>
                      <w:highlight w:val="none"/>
                    </w:rPr>
                    <w:t>噪声</w:t>
                  </w:r>
                </w:p>
              </w:tc>
              <w:tc>
                <w:tcPr>
                  <w:tcW w:w="1666" w:type="pct"/>
                  <w:noWrap/>
                  <w:vAlign w:val="center"/>
                </w:tcPr>
                <w:p>
                  <w:pPr>
                    <w:widowControl/>
                    <w:jc w:val="center"/>
                    <w:rPr>
                      <w:color w:val="auto"/>
                      <w:kern w:val="0"/>
                      <w:szCs w:val="21"/>
                      <w:highlight w:val="none"/>
                    </w:rPr>
                  </w:pPr>
                  <w:r>
                    <w:rPr>
                      <w:color w:val="auto"/>
                      <w:kern w:val="0"/>
                      <w:szCs w:val="21"/>
                      <w:highlight w:val="none"/>
                    </w:rPr>
                    <w:t>1次/季度（</w:t>
                  </w:r>
                  <w:r>
                    <w:rPr>
                      <w:color w:val="auto"/>
                      <w:highlight w:val="none"/>
                    </w:rPr>
                    <w:t>昼间一次</w:t>
                  </w:r>
                  <w:r>
                    <w:rPr>
                      <w:color w:val="auto"/>
                      <w:kern w:val="0"/>
                      <w:szCs w:val="21"/>
                      <w:highlight w:val="none"/>
                    </w:rPr>
                    <w:t>）</w:t>
                  </w:r>
                </w:p>
              </w:tc>
            </w:tr>
          </w:tbl>
          <w:p>
            <w:pPr>
              <w:numPr>
                <w:ilvl w:val="0"/>
                <w:numId w:val="12"/>
              </w:numPr>
              <w:spacing w:beforeLines="50" w:line="360" w:lineRule="auto"/>
              <w:rPr>
                <w:b/>
                <w:bCs/>
                <w:color w:val="auto"/>
                <w:sz w:val="24"/>
                <w:highlight w:val="none"/>
              </w:rPr>
            </w:pPr>
            <w:r>
              <w:rPr>
                <w:b/>
                <w:bCs/>
                <w:color w:val="auto"/>
                <w:sz w:val="24"/>
                <w:highlight w:val="none"/>
              </w:rPr>
              <w:t>固废</w:t>
            </w:r>
          </w:p>
          <w:p>
            <w:pPr>
              <w:adjustRightInd w:val="0"/>
              <w:snapToGrid w:val="0"/>
              <w:spacing w:line="360" w:lineRule="auto"/>
              <w:ind w:firstLine="482" w:firstLineChars="200"/>
              <w:rPr>
                <w:b/>
                <w:bCs/>
                <w:color w:val="auto"/>
                <w:kern w:val="21"/>
                <w:sz w:val="24"/>
                <w:highlight w:val="none"/>
              </w:rPr>
            </w:pPr>
            <w:r>
              <w:rPr>
                <w:b/>
                <w:bCs/>
                <w:color w:val="auto"/>
                <w:kern w:val="21"/>
                <w:sz w:val="24"/>
                <w:highlight w:val="none"/>
              </w:rPr>
              <w:t>（1）固体废物产生情况</w:t>
            </w:r>
          </w:p>
          <w:p>
            <w:pPr>
              <w:tabs>
                <w:tab w:val="left" w:pos="3556"/>
              </w:tabs>
              <w:spacing w:line="336" w:lineRule="auto"/>
              <w:ind w:firstLine="480" w:firstLineChars="200"/>
              <w:rPr>
                <w:b/>
                <w:bCs/>
                <w:color w:val="auto"/>
                <w:sz w:val="24"/>
                <w:highlight w:val="none"/>
              </w:rPr>
            </w:pPr>
            <w:r>
              <w:rPr>
                <w:color w:val="auto"/>
                <w:sz w:val="24"/>
                <w:highlight w:val="none"/>
              </w:rPr>
              <w:t>本项目产生的固废主要有零部件处理过程产生清洗废液5.4t/a、废包装瓶0.5t/a、不合格产品0.2t/a、废润滑油0.1t/a、废活性炭4t/a、纯水制备废过滤筒0.2t/a</w:t>
            </w:r>
            <w:r>
              <w:rPr>
                <w:rFonts w:hint="eastAsia"/>
                <w:color w:val="auto"/>
                <w:sz w:val="24"/>
                <w:highlight w:val="none"/>
              </w:rPr>
              <w:t>，“以新带老”抛光粉沉淀物4</w:t>
            </w:r>
            <w:r>
              <w:rPr>
                <w:color w:val="auto"/>
                <w:sz w:val="24"/>
                <w:highlight w:val="none"/>
              </w:rPr>
              <w:t>t/a。</w:t>
            </w:r>
          </w:p>
          <w:p>
            <w:pPr>
              <w:pStyle w:val="9"/>
              <w:spacing w:beforeLines="50" w:line="360" w:lineRule="auto"/>
              <w:ind w:firstLine="482"/>
              <w:jc w:val="center"/>
              <w:rPr>
                <w:b/>
                <w:bCs/>
                <w:color w:val="auto"/>
                <w:sz w:val="24"/>
                <w:highlight w:val="none"/>
              </w:rPr>
            </w:pPr>
            <w:r>
              <w:rPr>
                <w:b/>
                <w:bCs/>
                <w:color w:val="auto"/>
                <w:sz w:val="24"/>
                <w:highlight w:val="none"/>
              </w:rPr>
              <w:t>表4-</w:t>
            </w:r>
            <w:r>
              <w:rPr>
                <w:rFonts w:hint="eastAsia"/>
                <w:b/>
                <w:bCs/>
                <w:color w:val="auto"/>
                <w:sz w:val="24"/>
                <w:highlight w:val="none"/>
              </w:rPr>
              <w:t xml:space="preserve">22 </w:t>
            </w:r>
            <w:r>
              <w:rPr>
                <w:b/>
                <w:bCs/>
                <w:color w:val="auto"/>
                <w:sz w:val="24"/>
                <w:highlight w:val="none"/>
              </w:rPr>
              <w:t xml:space="preserve"> 建设项目固体废物产生情况表</w:t>
            </w:r>
          </w:p>
          <w:tbl>
            <w:tblPr>
              <w:tblStyle w:val="3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458"/>
              <w:gridCol w:w="775"/>
              <w:gridCol w:w="2469"/>
              <w:gridCol w:w="1439"/>
              <w:gridCol w:w="1403"/>
              <w:gridCol w:w="21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blHeader/>
                <w:jc w:val="center"/>
              </w:trPr>
              <w:tc>
                <w:tcPr>
                  <w:tcW w:w="447" w:type="dxa"/>
                  <w:vAlign w:val="center"/>
                </w:tcPr>
                <w:p>
                  <w:pPr>
                    <w:jc w:val="center"/>
                    <w:rPr>
                      <w:bCs/>
                      <w:color w:val="auto"/>
                      <w:szCs w:val="21"/>
                      <w:highlight w:val="none"/>
                    </w:rPr>
                  </w:pPr>
                  <w:r>
                    <w:rPr>
                      <w:bCs/>
                      <w:color w:val="auto"/>
                      <w:szCs w:val="21"/>
                      <w:highlight w:val="none"/>
                    </w:rPr>
                    <w:t>类别</w:t>
                  </w:r>
                </w:p>
              </w:tc>
              <w:tc>
                <w:tcPr>
                  <w:tcW w:w="756" w:type="dxa"/>
                  <w:vAlign w:val="center"/>
                </w:tcPr>
                <w:p>
                  <w:pPr>
                    <w:jc w:val="center"/>
                    <w:rPr>
                      <w:bCs/>
                      <w:color w:val="auto"/>
                      <w:szCs w:val="21"/>
                      <w:highlight w:val="none"/>
                    </w:rPr>
                  </w:pPr>
                  <w:r>
                    <w:rPr>
                      <w:bCs/>
                      <w:color w:val="auto"/>
                      <w:szCs w:val="21"/>
                      <w:highlight w:val="none"/>
                    </w:rPr>
                    <w:t>序号</w:t>
                  </w:r>
                </w:p>
              </w:tc>
              <w:tc>
                <w:tcPr>
                  <w:tcW w:w="2408" w:type="dxa"/>
                  <w:vAlign w:val="center"/>
                </w:tcPr>
                <w:p>
                  <w:pPr>
                    <w:jc w:val="center"/>
                    <w:rPr>
                      <w:bCs/>
                      <w:color w:val="auto"/>
                      <w:szCs w:val="21"/>
                      <w:highlight w:val="none"/>
                    </w:rPr>
                  </w:pPr>
                  <w:r>
                    <w:rPr>
                      <w:bCs/>
                      <w:color w:val="auto"/>
                      <w:szCs w:val="21"/>
                      <w:highlight w:val="none"/>
                    </w:rPr>
                    <w:t>污染工序</w:t>
                  </w:r>
                </w:p>
              </w:tc>
              <w:tc>
                <w:tcPr>
                  <w:tcW w:w="1404" w:type="dxa"/>
                  <w:vAlign w:val="center"/>
                </w:tcPr>
                <w:p>
                  <w:pPr>
                    <w:jc w:val="center"/>
                    <w:rPr>
                      <w:bCs/>
                      <w:color w:val="auto"/>
                      <w:szCs w:val="21"/>
                      <w:highlight w:val="none"/>
                    </w:rPr>
                  </w:pPr>
                  <w:r>
                    <w:rPr>
                      <w:bCs/>
                      <w:color w:val="auto"/>
                      <w:szCs w:val="21"/>
                      <w:highlight w:val="none"/>
                    </w:rPr>
                    <w:t>污染物</w:t>
                  </w:r>
                </w:p>
              </w:tc>
              <w:tc>
                <w:tcPr>
                  <w:tcW w:w="1369" w:type="dxa"/>
                  <w:vAlign w:val="center"/>
                </w:tcPr>
                <w:p>
                  <w:pPr>
                    <w:jc w:val="center"/>
                    <w:rPr>
                      <w:bCs/>
                      <w:color w:val="auto"/>
                      <w:szCs w:val="21"/>
                      <w:highlight w:val="none"/>
                    </w:rPr>
                  </w:pPr>
                  <w:r>
                    <w:rPr>
                      <w:bCs/>
                      <w:color w:val="auto"/>
                      <w:szCs w:val="21"/>
                      <w:highlight w:val="none"/>
                    </w:rPr>
                    <w:t>产生量（t/a）</w:t>
                  </w:r>
                </w:p>
              </w:tc>
              <w:tc>
                <w:tcPr>
                  <w:tcW w:w="2092" w:type="dxa"/>
                  <w:vAlign w:val="center"/>
                </w:tcPr>
                <w:p>
                  <w:pPr>
                    <w:jc w:val="center"/>
                    <w:rPr>
                      <w:bCs/>
                      <w:color w:val="auto"/>
                      <w:szCs w:val="21"/>
                      <w:highlight w:val="none"/>
                    </w:rPr>
                  </w:pPr>
                  <w:r>
                    <w:rPr>
                      <w:bCs/>
                      <w:color w:val="auto"/>
                      <w:szCs w:val="21"/>
                      <w:highlight w:val="none"/>
                    </w:rPr>
                    <w:t>治理措施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blHeader/>
                <w:jc w:val="center"/>
              </w:trPr>
              <w:tc>
                <w:tcPr>
                  <w:tcW w:w="447" w:type="dxa"/>
                  <w:vMerge w:val="restart"/>
                  <w:vAlign w:val="center"/>
                </w:tcPr>
                <w:p>
                  <w:pPr>
                    <w:jc w:val="center"/>
                    <w:rPr>
                      <w:bCs/>
                      <w:color w:val="auto"/>
                      <w:szCs w:val="21"/>
                      <w:highlight w:val="none"/>
                    </w:rPr>
                  </w:pPr>
                  <w:r>
                    <w:rPr>
                      <w:bCs/>
                      <w:color w:val="auto"/>
                      <w:szCs w:val="21"/>
                      <w:highlight w:val="none"/>
                    </w:rPr>
                    <w:t>固废</w:t>
                  </w:r>
                </w:p>
              </w:tc>
              <w:tc>
                <w:tcPr>
                  <w:tcW w:w="756" w:type="dxa"/>
                  <w:vAlign w:val="center"/>
                </w:tcPr>
                <w:p>
                  <w:pPr>
                    <w:jc w:val="center"/>
                    <w:rPr>
                      <w:bCs/>
                      <w:color w:val="auto"/>
                      <w:szCs w:val="21"/>
                      <w:highlight w:val="none"/>
                    </w:rPr>
                  </w:pPr>
                  <w:r>
                    <w:rPr>
                      <w:bCs/>
                      <w:color w:val="auto"/>
                      <w:szCs w:val="21"/>
                      <w:highlight w:val="none"/>
                    </w:rPr>
                    <w:t>S1-</w:t>
                  </w:r>
                  <w:r>
                    <w:rPr>
                      <w:rFonts w:hint="eastAsia"/>
                      <w:bCs/>
                      <w:color w:val="auto"/>
                      <w:szCs w:val="21"/>
                      <w:highlight w:val="none"/>
                    </w:rPr>
                    <w:t>5</w:t>
                  </w:r>
                </w:p>
              </w:tc>
              <w:tc>
                <w:tcPr>
                  <w:tcW w:w="2408" w:type="dxa"/>
                  <w:vAlign w:val="center"/>
                </w:tcPr>
                <w:p>
                  <w:pPr>
                    <w:jc w:val="center"/>
                    <w:rPr>
                      <w:bCs/>
                      <w:color w:val="auto"/>
                      <w:szCs w:val="21"/>
                      <w:highlight w:val="none"/>
                    </w:rPr>
                  </w:pPr>
                  <w:r>
                    <w:rPr>
                      <w:bCs/>
                      <w:color w:val="auto"/>
                      <w:szCs w:val="21"/>
                      <w:highlight w:val="none"/>
                    </w:rPr>
                    <w:t>零部件清洗</w:t>
                  </w:r>
                </w:p>
              </w:tc>
              <w:tc>
                <w:tcPr>
                  <w:tcW w:w="1404" w:type="dxa"/>
                  <w:vAlign w:val="center"/>
                </w:tcPr>
                <w:p>
                  <w:pPr>
                    <w:jc w:val="center"/>
                    <w:rPr>
                      <w:bCs/>
                      <w:color w:val="auto"/>
                      <w:szCs w:val="21"/>
                      <w:highlight w:val="none"/>
                    </w:rPr>
                  </w:pPr>
                  <w:r>
                    <w:rPr>
                      <w:bCs/>
                      <w:color w:val="auto"/>
                      <w:szCs w:val="21"/>
                      <w:highlight w:val="none"/>
                    </w:rPr>
                    <w:t>清洗废液</w:t>
                  </w:r>
                </w:p>
              </w:tc>
              <w:tc>
                <w:tcPr>
                  <w:tcW w:w="1369" w:type="dxa"/>
                  <w:vAlign w:val="center"/>
                </w:tcPr>
                <w:p>
                  <w:pPr>
                    <w:jc w:val="center"/>
                    <w:rPr>
                      <w:color w:val="auto"/>
                      <w:szCs w:val="21"/>
                      <w:highlight w:val="none"/>
                    </w:rPr>
                  </w:pPr>
                  <w:r>
                    <w:rPr>
                      <w:color w:val="auto"/>
                      <w:szCs w:val="21"/>
                      <w:highlight w:val="none"/>
                    </w:rPr>
                    <w:t>5.4</w:t>
                  </w:r>
                </w:p>
              </w:tc>
              <w:tc>
                <w:tcPr>
                  <w:tcW w:w="2092" w:type="dxa"/>
                  <w:vMerge w:val="restart"/>
                  <w:vAlign w:val="center"/>
                </w:tcPr>
                <w:p>
                  <w:pPr>
                    <w:jc w:val="center"/>
                    <w:rPr>
                      <w:color w:val="auto"/>
                      <w:szCs w:val="21"/>
                      <w:highlight w:val="none"/>
                    </w:rPr>
                  </w:pPr>
                  <w:r>
                    <w:rPr>
                      <w:color w:val="auto"/>
                      <w:szCs w:val="21"/>
                      <w:highlight w:val="none"/>
                    </w:rPr>
                    <w:t>危废暂存依托现有危废库30m</w:t>
                  </w:r>
                  <w:r>
                    <w:rPr>
                      <w:color w:val="auto"/>
                      <w:szCs w:val="21"/>
                      <w:highlight w:val="none"/>
                      <w:vertAlign w:val="superscript"/>
                    </w:rPr>
                    <w:t>2</w:t>
                  </w:r>
                  <w:r>
                    <w:rPr>
                      <w:color w:val="auto"/>
                      <w:szCs w:val="21"/>
                      <w:highlight w:val="none"/>
                    </w:rPr>
                    <w:t>，定期送有资质单位处理。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blHeader/>
                <w:jc w:val="center"/>
              </w:trPr>
              <w:tc>
                <w:tcPr>
                  <w:tcW w:w="447" w:type="dxa"/>
                  <w:vMerge w:val="continue"/>
                  <w:vAlign w:val="center"/>
                </w:tcPr>
                <w:p>
                  <w:pPr>
                    <w:jc w:val="center"/>
                    <w:rPr>
                      <w:bCs/>
                      <w:color w:val="auto"/>
                      <w:szCs w:val="21"/>
                      <w:highlight w:val="none"/>
                    </w:rPr>
                  </w:pPr>
                </w:p>
              </w:tc>
              <w:tc>
                <w:tcPr>
                  <w:tcW w:w="756" w:type="dxa"/>
                  <w:vAlign w:val="center"/>
                </w:tcPr>
                <w:p>
                  <w:pPr>
                    <w:jc w:val="center"/>
                    <w:rPr>
                      <w:bCs/>
                      <w:color w:val="auto"/>
                      <w:szCs w:val="21"/>
                      <w:highlight w:val="none"/>
                    </w:rPr>
                  </w:pPr>
                  <w:r>
                    <w:rPr>
                      <w:bCs/>
                      <w:color w:val="auto"/>
                      <w:szCs w:val="21"/>
                      <w:highlight w:val="none"/>
                    </w:rPr>
                    <w:t>S</w:t>
                  </w:r>
                  <w:r>
                    <w:rPr>
                      <w:rFonts w:hint="eastAsia"/>
                      <w:bCs/>
                      <w:color w:val="auto"/>
                      <w:szCs w:val="21"/>
                      <w:highlight w:val="none"/>
                    </w:rPr>
                    <w:t>8</w:t>
                  </w:r>
                </w:p>
              </w:tc>
              <w:tc>
                <w:tcPr>
                  <w:tcW w:w="2408" w:type="dxa"/>
                  <w:vAlign w:val="center"/>
                </w:tcPr>
                <w:p>
                  <w:pPr>
                    <w:jc w:val="center"/>
                    <w:rPr>
                      <w:bCs/>
                      <w:color w:val="auto"/>
                      <w:szCs w:val="21"/>
                      <w:highlight w:val="none"/>
                    </w:rPr>
                  </w:pPr>
                  <w:r>
                    <w:rPr>
                      <w:rFonts w:hint="eastAsia"/>
                      <w:bCs/>
                      <w:color w:val="auto"/>
                      <w:szCs w:val="21"/>
                      <w:highlight w:val="none"/>
                    </w:rPr>
                    <w:t>清洗工序</w:t>
                  </w:r>
                </w:p>
              </w:tc>
              <w:tc>
                <w:tcPr>
                  <w:tcW w:w="1404" w:type="dxa"/>
                  <w:vAlign w:val="center"/>
                </w:tcPr>
                <w:p>
                  <w:pPr>
                    <w:jc w:val="center"/>
                    <w:rPr>
                      <w:bCs/>
                      <w:color w:val="auto"/>
                      <w:szCs w:val="21"/>
                      <w:highlight w:val="none"/>
                    </w:rPr>
                  </w:pPr>
                  <w:r>
                    <w:rPr>
                      <w:bCs/>
                      <w:color w:val="auto"/>
                      <w:szCs w:val="21"/>
                      <w:highlight w:val="none"/>
                    </w:rPr>
                    <w:t>废包装瓶</w:t>
                  </w:r>
                </w:p>
              </w:tc>
              <w:tc>
                <w:tcPr>
                  <w:tcW w:w="1369" w:type="dxa"/>
                  <w:vAlign w:val="center"/>
                </w:tcPr>
                <w:p>
                  <w:pPr>
                    <w:jc w:val="center"/>
                    <w:rPr>
                      <w:color w:val="auto"/>
                      <w:szCs w:val="21"/>
                      <w:highlight w:val="none"/>
                    </w:rPr>
                  </w:pPr>
                  <w:r>
                    <w:rPr>
                      <w:color w:val="auto"/>
                      <w:szCs w:val="21"/>
                      <w:highlight w:val="none"/>
                    </w:rPr>
                    <w:t>0.5</w:t>
                  </w:r>
                </w:p>
              </w:tc>
              <w:tc>
                <w:tcPr>
                  <w:tcW w:w="2092" w:type="dxa"/>
                  <w:vMerge w:val="continue"/>
                  <w:vAlign w:val="center"/>
                </w:tcPr>
                <w:p>
                  <w:pPr>
                    <w:jc w:val="center"/>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0" w:hRule="atLeast"/>
                <w:tblHeader/>
                <w:jc w:val="center"/>
              </w:trPr>
              <w:tc>
                <w:tcPr>
                  <w:tcW w:w="447" w:type="dxa"/>
                  <w:vMerge w:val="continue"/>
                  <w:vAlign w:val="center"/>
                </w:tcPr>
                <w:p>
                  <w:pPr>
                    <w:jc w:val="center"/>
                    <w:rPr>
                      <w:bCs/>
                      <w:color w:val="auto"/>
                      <w:szCs w:val="21"/>
                      <w:highlight w:val="none"/>
                    </w:rPr>
                  </w:pPr>
                </w:p>
              </w:tc>
              <w:tc>
                <w:tcPr>
                  <w:tcW w:w="756" w:type="dxa"/>
                  <w:vAlign w:val="center"/>
                </w:tcPr>
                <w:p>
                  <w:pPr>
                    <w:jc w:val="center"/>
                    <w:rPr>
                      <w:bCs/>
                      <w:color w:val="auto"/>
                      <w:szCs w:val="21"/>
                      <w:highlight w:val="none"/>
                    </w:rPr>
                  </w:pPr>
                  <w:r>
                    <w:rPr>
                      <w:bCs/>
                      <w:color w:val="auto"/>
                      <w:szCs w:val="21"/>
                      <w:highlight w:val="none"/>
                    </w:rPr>
                    <w:t>S</w:t>
                  </w:r>
                  <w:r>
                    <w:rPr>
                      <w:rFonts w:hint="eastAsia"/>
                      <w:bCs/>
                      <w:color w:val="auto"/>
                      <w:szCs w:val="21"/>
                      <w:highlight w:val="none"/>
                    </w:rPr>
                    <w:t>9</w:t>
                  </w:r>
                </w:p>
              </w:tc>
              <w:tc>
                <w:tcPr>
                  <w:tcW w:w="2408" w:type="dxa"/>
                  <w:vAlign w:val="center"/>
                </w:tcPr>
                <w:p>
                  <w:pPr>
                    <w:jc w:val="center"/>
                    <w:rPr>
                      <w:bCs/>
                      <w:color w:val="auto"/>
                      <w:szCs w:val="21"/>
                      <w:highlight w:val="none"/>
                    </w:rPr>
                  </w:pPr>
                  <w:r>
                    <w:rPr>
                      <w:rFonts w:hint="eastAsia"/>
                      <w:bCs/>
                      <w:color w:val="auto"/>
                      <w:szCs w:val="21"/>
                      <w:highlight w:val="none"/>
                    </w:rPr>
                    <w:t>清洗工序</w:t>
                  </w:r>
                </w:p>
              </w:tc>
              <w:tc>
                <w:tcPr>
                  <w:tcW w:w="1404" w:type="dxa"/>
                  <w:vAlign w:val="center"/>
                </w:tcPr>
                <w:p>
                  <w:pPr>
                    <w:jc w:val="center"/>
                    <w:rPr>
                      <w:bCs/>
                      <w:color w:val="auto"/>
                      <w:szCs w:val="21"/>
                      <w:highlight w:val="none"/>
                    </w:rPr>
                  </w:pPr>
                  <w:r>
                    <w:rPr>
                      <w:bCs/>
                      <w:color w:val="auto"/>
                      <w:szCs w:val="21"/>
                      <w:highlight w:val="none"/>
                    </w:rPr>
                    <w:t>废润滑油</w:t>
                  </w:r>
                </w:p>
              </w:tc>
              <w:tc>
                <w:tcPr>
                  <w:tcW w:w="1369" w:type="dxa"/>
                  <w:vAlign w:val="center"/>
                </w:tcPr>
                <w:p>
                  <w:pPr>
                    <w:jc w:val="center"/>
                    <w:rPr>
                      <w:color w:val="auto"/>
                      <w:szCs w:val="21"/>
                      <w:highlight w:val="none"/>
                    </w:rPr>
                  </w:pPr>
                  <w:r>
                    <w:rPr>
                      <w:color w:val="auto"/>
                      <w:szCs w:val="21"/>
                      <w:highlight w:val="none"/>
                    </w:rPr>
                    <w:t>0.1</w:t>
                  </w:r>
                </w:p>
              </w:tc>
              <w:tc>
                <w:tcPr>
                  <w:tcW w:w="2092" w:type="dxa"/>
                  <w:vMerge w:val="continue"/>
                  <w:vAlign w:val="center"/>
                </w:tcPr>
                <w:p>
                  <w:pPr>
                    <w:jc w:val="center"/>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38" w:hRule="atLeast"/>
                <w:tblHeader/>
                <w:jc w:val="center"/>
              </w:trPr>
              <w:tc>
                <w:tcPr>
                  <w:tcW w:w="447" w:type="dxa"/>
                  <w:vMerge w:val="continue"/>
                  <w:vAlign w:val="center"/>
                </w:tcPr>
                <w:p>
                  <w:pPr>
                    <w:jc w:val="center"/>
                    <w:rPr>
                      <w:bCs/>
                      <w:color w:val="auto"/>
                      <w:szCs w:val="21"/>
                      <w:highlight w:val="none"/>
                    </w:rPr>
                  </w:pPr>
                </w:p>
              </w:tc>
              <w:tc>
                <w:tcPr>
                  <w:tcW w:w="756" w:type="dxa"/>
                  <w:vAlign w:val="center"/>
                </w:tcPr>
                <w:p>
                  <w:pPr>
                    <w:jc w:val="center"/>
                    <w:rPr>
                      <w:bCs/>
                      <w:color w:val="auto"/>
                      <w:szCs w:val="21"/>
                      <w:highlight w:val="none"/>
                    </w:rPr>
                  </w:pPr>
                  <w:r>
                    <w:rPr>
                      <w:bCs/>
                      <w:color w:val="auto"/>
                      <w:szCs w:val="21"/>
                      <w:highlight w:val="none"/>
                    </w:rPr>
                    <w:t>S1</w:t>
                  </w:r>
                  <w:r>
                    <w:rPr>
                      <w:rFonts w:hint="eastAsia"/>
                      <w:bCs/>
                      <w:color w:val="auto"/>
                      <w:szCs w:val="21"/>
                      <w:highlight w:val="none"/>
                    </w:rPr>
                    <w:t>0</w:t>
                  </w:r>
                </w:p>
              </w:tc>
              <w:tc>
                <w:tcPr>
                  <w:tcW w:w="2408" w:type="dxa"/>
                  <w:vAlign w:val="center"/>
                </w:tcPr>
                <w:p>
                  <w:pPr>
                    <w:jc w:val="center"/>
                    <w:rPr>
                      <w:bCs/>
                      <w:color w:val="auto"/>
                      <w:szCs w:val="21"/>
                      <w:highlight w:val="none"/>
                    </w:rPr>
                  </w:pPr>
                  <w:r>
                    <w:rPr>
                      <w:bCs/>
                      <w:color w:val="auto"/>
                      <w:szCs w:val="21"/>
                      <w:highlight w:val="none"/>
                    </w:rPr>
                    <w:t>废气处理</w:t>
                  </w:r>
                </w:p>
              </w:tc>
              <w:tc>
                <w:tcPr>
                  <w:tcW w:w="1404" w:type="dxa"/>
                  <w:vAlign w:val="center"/>
                </w:tcPr>
                <w:p>
                  <w:pPr>
                    <w:jc w:val="center"/>
                    <w:rPr>
                      <w:bCs/>
                      <w:color w:val="auto"/>
                      <w:szCs w:val="21"/>
                      <w:highlight w:val="none"/>
                    </w:rPr>
                  </w:pPr>
                  <w:r>
                    <w:rPr>
                      <w:bCs/>
                      <w:color w:val="auto"/>
                      <w:szCs w:val="21"/>
                      <w:highlight w:val="none"/>
                    </w:rPr>
                    <w:t>废活性炭</w:t>
                  </w:r>
                </w:p>
              </w:tc>
              <w:tc>
                <w:tcPr>
                  <w:tcW w:w="1369" w:type="dxa"/>
                  <w:vAlign w:val="center"/>
                </w:tcPr>
                <w:p>
                  <w:pPr>
                    <w:jc w:val="center"/>
                    <w:rPr>
                      <w:color w:val="auto"/>
                      <w:szCs w:val="21"/>
                      <w:highlight w:val="none"/>
                    </w:rPr>
                  </w:pPr>
                  <w:r>
                    <w:rPr>
                      <w:color w:val="auto"/>
                      <w:szCs w:val="21"/>
                      <w:highlight w:val="none"/>
                    </w:rPr>
                    <w:t>4</w:t>
                  </w:r>
                </w:p>
              </w:tc>
              <w:tc>
                <w:tcPr>
                  <w:tcW w:w="2092" w:type="dxa"/>
                  <w:vMerge w:val="continue"/>
                  <w:vAlign w:val="center"/>
                </w:tcPr>
                <w:p>
                  <w:pPr>
                    <w:jc w:val="center"/>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74" w:hRule="atLeast"/>
                <w:tblHeader/>
                <w:jc w:val="center"/>
              </w:trPr>
              <w:tc>
                <w:tcPr>
                  <w:tcW w:w="447" w:type="dxa"/>
                  <w:vMerge w:val="continue"/>
                  <w:vAlign w:val="center"/>
                </w:tcPr>
                <w:p>
                  <w:pPr>
                    <w:jc w:val="center"/>
                    <w:rPr>
                      <w:bCs/>
                      <w:color w:val="auto"/>
                      <w:szCs w:val="21"/>
                      <w:highlight w:val="none"/>
                    </w:rPr>
                  </w:pPr>
                </w:p>
              </w:tc>
              <w:tc>
                <w:tcPr>
                  <w:tcW w:w="756" w:type="dxa"/>
                  <w:vAlign w:val="center"/>
                </w:tcPr>
                <w:p>
                  <w:pPr>
                    <w:jc w:val="center"/>
                    <w:rPr>
                      <w:bCs/>
                      <w:color w:val="auto"/>
                      <w:szCs w:val="21"/>
                      <w:highlight w:val="none"/>
                    </w:rPr>
                  </w:pPr>
                  <w:r>
                    <w:rPr>
                      <w:bCs/>
                      <w:color w:val="auto"/>
                      <w:szCs w:val="21"/>
                      <w:highlight w:val="none"/>
                    </w:rPr>
                    <w:t>S</w:t>
                  </w:r>
                  <w:r>
                    <w:rPr>
                      <w:rFonts w:hint="eastAsia"/>
                      <w:bCs/>
                      <w:color w:val="auto"/>
                      <w:szCs w:val="21"/>
                      <w:highlight w:val="none"/>
                    </w:rPr>
                    <w:t>7</w:t>
                  </w:r>
                </w:p>
              </w:tc>
              <w:tc>
                <w:tcPr>
                  <w:tcW w:w="2408" w:type="dxa"/>
                  <w:vAlign w:val="center"/>
                </w:tcPr>
                <w:p>
                  <w:pPr>
                    <w:jc w:val="center"/>
                    <w:rPr>
                      <w:bCs/>
                      <w:color w:val="auto"/>
                      <w:szCs w:val="21"/>
                      <w:highlight w:val="none"/>
                    </w:rPr>
                  </w:pPr>
                  <w:r>
                    <w:rPr>
                      <w:bCs/>
                      <w:color w:val="auto"/>
                      <w:szCs w:val="21"/>
                      <w:highlight w:val="none"/>
                    </w:rPr>
                    <w:t>纯水制备</w:t>
                  </w:r>
                </w:p>
              </w:tc>
              <w:tc>
                <w:tcPr>
                  <w:tcW w:w="1404" w:type="dxa"/>
                  <w:vAlign w:val="center"/>
                </w:tcPr>
                <w:p>
                  <w:pPr>
                    <w:jc w:val="center"/>
                    <w:rPr>
                      <w:bCs/>
                      <w:color w:val="auto"/>
                      <w:szCs w:val="21"/>
                      <w:highlight w:val="none"/>
                    </w:rPr>
                  </w:pPr>
                  <w:r>
                    <w:rPr>
                      <w:bCs/>
                      <w:color w:val="auto"/>
                      <w:szCs w:val="21"/>
                      <w:highlight w:val="none"/>
                    </w:rPr>
                    <w:t>废过滤筒</w:t>
                  </w:r>
                </w:p>
              </w:tc>
              <w:tc>
                <w:tcPr>
                  <w:tcW w:w="1369" w:type="dxa"/>
                  <w:vAlign w:val="center"/>
                </w:tcPr>
                <w:p>
                  <w:pPr>
                    <w:jc w:val="center"/>
                    <w:rPr>
                      <w:color w:val="auto"/>
                      <w:szCs w:val="21"/>
                      <w:highlight w:val="none"/>
                    </w:rPr>
                  </w:pPr>
                  <w:r>
                    <w:rPr>
                      <w:color w:val="auto"/>
                      <w:szCs w:val="21"/>
                      <w:highlight w:val="none"/>
                    </w:rPr>
                    <w:t>0.2</w:t>
                  </w:r>
                </w:p>
              </w:tc>
              <w:tc>
                <w:tcPr>
                  <w:tcW w:w="2092" w:type="dxa"/>
                  <w:vMerge w:val="restart"/>
                  <w:vAlign w:val="center"/>
                </w:tcPr>
                <w:p>
                  <w:pPr>
                    <w:jc w:val="center"/>
                    <w:rPr>
                      <w:color w:val="auto"/>
                      <w:szCs w:val="21"/>
                      <w:highlight w:val="none"/>
                    </w:rPr>
                  </w:pPr>
                  <w:r>
                    <w:rPr>
                      <w:color w:val="auto"/>
                      <w:szCs w:val="21"/>
                      <w:highlight w:val="none"/>
                    </w:rPr>
                    <w:t>一般固废交专业单位处理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61" w:hRule="atLeast"/>
                <w:tblHeader/>
                <w:jc w:val="center"/>
              </w:trPr>
              <w:tc>
                <w:tcPr>
                  <w:tcW w:w="447" w:type="dxa"/>
                  <w:vMerge w:val="continue"/>
                  <w:vAlign w:val="center"/>
                </w:tcPr>
                <w:p>
                  <w:pPr>
                    <w:jc w:val="center"/>
                    <w:rPr>
                      <w:bCs/>
                      <w:color w:val="auto"/>
                      <w:szCs w:val="21"/>
                      <w:highlight w:val="none"/>
                    </w:rPr>
                  </w:pPr>
                </w:p>
              </w:tc>
              <w:tc>
                <w:tcPr>
                  <w:tcW w:w="756" w:type="dxa"/>
                  <w:vAlign w:val="center"/>
                </w:tcPr>
                <w:p>
                  <w:pPr>
                    <w:jc w:val="center"/>
                    <w:rPr>
                      <w:bCs/>
                      <w:color w:val="auto"/>
                      <w:szCs w:val="21"/>
                      <w:highlight w:val="none"/>
                    </w:rPr>
                  </w:pPr>
                  <w:r>
                    <w:rPr>
                      <w:bCs/>
                      <w:color w:val="auto"/>
                      <w:szCs w:val="21"/>
                      <w:highlight w:val="none"/>
                    </w:rPr>
                    <w:t>S</w:t>
                  </w:r>
                  <w:r>
                    <w:rPr>
                      <w:rFonts w:hint="eastAsia"/>
                      <w:bCs/>
                      <w:color w:val="auto"/>
                      <w:szCs w:val="21"/>
                      <w:highlight w:val="none"/>
                    </w:rPr>
                    <w:t>6</w:t>
                  </w:r>
                </w:p>
              </w:tc>
              <w:tc>
                <w:tcPr>
                  <w:tcW w:w="2408" w:type="dxa"/>
                  <w:vAlign w:val="center"/>
                </w:tcPr>
                <w:p>
                  <w:pPr>
                    <w:jc w:val="center"/>
                    <w:rPr>
                      <w:bCs/>
                      <w:color w:val="auto"/>
                      <w:szCs w:val="21"/>
                      <w:highlight w:val="none"/>
                    </w:rPr>
                  </w:pPr>
                  <w:r>
                    <w:rPr>
                      <w:bCs/>
                      <w:color w:val="auto"/>
                      <w:szCs w:val="21"/>
                      <w:highlight w:val="none"/>
                    </w:rPr>
                    <w:t>产品制作</w:t>
                  </w:r>
                </w:p>
              </w:tc>
              <w:tc>
                <w:tcPr>
                  <w:tcW w:w="1404" w:type="dxa"/>
                  <w:vAlign w:val="center"/>
                </w:tcPr>
                <w:p>
                  <w:pPr>
                    <w:jc w:val="center"/>
                    <w:rPr>
                      <w:bCs/>
                      <w:color w:val="auto"/>
                      <w:szCs w:val="21"/>
                      <w:highlight w:val="none"/>
                    </w:rPr>
                  </w:pPr>
                  <w:r>
                    <w:rPr>
                      <w:bCs/>
                      <w:color w:val="auto"/>
                      <w:szCs w:val="21"/>
                      <w:highlight w:val="none"/>
                    </w:rPr>
                    <w:t>不合格件</w:t>
                  </w:r>
                </w:p>
              </w:tc>
              <w:tc>
                <w:tcPr>
                  <w:tcW w:w="1369" w:type="dxa"/>
                  <w:vAlign w:val="center"/>
                </w:tcPr>
                <w:p>
                  <w:pPr>
                    <w:jc w:val="center"/>
                    <w:rPr>
                      <w:color w:val="auto"/>
                      <w:szCs w:val="21"/>
                      <w:highlight w:val="none"/>
                    </w:rPr>
                  </w:pPr>
                  <w:r>
                    <w:rPr>
                      <w:color w:val="auto"/>
                      <w:szCs w:val="21"/>
                      <w:highlight w:val="none"/>
                    </w:rPr>
                    <w:t>0.2</w:t>
                  </w:r>
                </w:p>
              </w:tc>
              <w:tc>
                <w:tcPr>
                  <w:tcW w:w="2092" w:type="dxa"/>
                  <w:vMerge w:val="continue"/>
                  <w:vAlign w:val="center"/>
                </w:tcPr>
                <w:p>
                  <w:pPr>
                    <w:jc w:val="center"/>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1" w:hRule="atLeast"/>
                <w:tblHeader/>
                <w:jc w:val="center"/>
              </w:trPr>
              <w:tc>
                <w:tcPr>
                  <w:tcW w:w="447" w:type="dxa"/>
                  <w:vMerge w:val="continue"/>
                  <w:vAlign w:val="center"/>
                </w:tcPr>
                <w:p>
                  <w:pPr>
                    <w:jc w:val="center"/>
                    <w:rPr>
                      <w:bCs/>
                      <w:color w:val="auto"/>
                      <w:szCs w:val="21"/>
                      <w:highlight w:val="none"/>
                    </w:rPr>
                  </w:pPr>
                </w:p>
              </w:tc>
              <w:tc>
                <w:tcPr>
                  <w:tcW w:w="756" w:type="dxa"/>
                  <w:vAlign w:val="center"/>
                </w:tcPr>
                <w:p>
                  <w:pPr>
                    <w:jc w:val="center"/>
                    <w:rPr>
                      <w:bCs/>
                      <w:color w:val="auto"/>
                      <w:szCs w:val="21"/>
                      <w:highlight w:val="none"/>
                    </w:rPr>
                  </w:pPr>
                  <w:r>
                    <w:rPr>
                      <w:rFonts w:hint="eastAsia"/>
                      <w:bCs/>
                      <w:color w:val="auto"/>
                      <w:szCs w:val="21"/>
                      <w:highlight w:val="none"/>
                    </w:rPr>
                    <w:t>S11</w:t>
                  </w:r>
                </w:p>
              </w:tc>
              <w:tc>
                <w:tcPr>
                  <w:tcW w:w="2408" w:type="dxa"/>
                  <w:vAlign w:val="center"/>
                </w:tcPr>
                <w:p>
                  <w:pPr>
                    <w:jc w:val="center"/>
                    <w:rPr>
                      <w:bCs/>
                      <w:color w:val="auto"/>
                      <w:szCs w:val="21"/>
                      <w:highlight w:val="none"/>
                    </w:rPr>
                  </w:pPr>
                  <w:r>
                    <w:rPr>
                      <w:rFonts w:hint="eastAsia"/>
                      <w:bCs/>
                      <w:color w:val="auto"/>
                      <w:szCs w:val="21"/>
                      <w:highlight w:val="none"/>
                    </w:rPr>
                    <w:t>微通道板及光纤元件抛光（以新带老）</w:t>
                  </w:r>
                </w:p>
              </w:tc>
              <w:tc>
                <w:tcPr>
                  <w:tcW w:w="1404" w:type="dxa"/>
                  <w:vAlign w:val="center"/>
                </w:tcPr>
                <w:p>
                  <w:pPr>
                    <w:jc w:val="center"/>
                    <w:rPr>
                      <w:bCs/>
                      <w:color w:val="auto"/>
                      <w:szCs w:val="21"/>
                      <w:highlight w:val="none"/>
                    </w:rPr>
                  </w:pPr>
                  <w:r>
                    <w:rPr>
                      <w:rFonts w:hint="eastAsia"/>
                      <w:bCs/>
                      <w:color w:val="auto"/>
                      <w:szCs w:val="21"/>
                      <w:highlight w:val="none"/>
                    </w:rPr>
                    <w:t>抛光粉沉淀物</w:t>
                  </w:r>
                </w:p>
              </w:tc>
              <w:tc>
                <w:tcPr>
                  <w:tcW w:w="1369" w:type="dxa"/>
                  <w:vAlign w:val="center"/>
                </w:tcPr>
                <w:p>
                  <w:pPr>
                    <w:jc w:val="center"/>
                    <w:rPr>
                      <w:color w:val="auto"/>
                      <w:szCs w:val="21"/>
                      <w:highlight w:val="none"/>
                    </w:rPr>
                  </w:pPr>
                  <w:r>
                    <w:rPr>
                      <w:rFonts w:hint="eastAsia"/>
                      <w:color w:val="auto"/>
                      <w:szCs w:val="21"/>
                      <w:highlight w:val="none"/>
                    </w:rPr>
                    <w:t>4</w:t>
                  </w:r>
                </w:p>
              </w:tc>
              <w:tc>
                <w:tcPr>
                  <w:tcW w:w="2092" w:type="dxa"/>
                  <w:vMerge w:val="continue"/>
                  <w:vAlign w:val="center"/>
                </w:tcPr>
                <w:p>
                  <w:pPr>
                    <w:jc w:val="center"/>
                    <w:rPr>
                      <w:color w:val="auto"/>
                      <w:szCs w:val="21"/>
                      <w:highlight w:val="none"/>
                    </w:rPr>
                  </w:pPr>
                </w:p>
              </w:tc>
            </w:tr>
          </w:tbl>
          <w:p>
            <w:pPr>
              <w:pStyle w:val="9"/>
              <w:spacing w:beforeLines="50" w:line="360" w:lineRule="auto"/>
              <w:ind w:firstLine="482"/>
              <w:jc w:val="center"/>
              <w:rPr>
                <w:b/>
                <w:bCs/>
                <w:color w:val="auto"/>
                <w:sz w:val="24"/>
                <w:highlight w:val="none"/>
              </w:rPr>
            </w:pPr>
            <w:r>
              <w:rPr>
                <w:b/>
                <w:bCs/>
                <w:color w:val="auto"/>
                <w:sz w:val="24"/>
                <w:highlight w:val="none"/>
              </w:rPr>
              <w:t>表4-2</w:t>
            </w:r>
            <w:r>
              <w:rPr>
                <w:rFonts w:hint="eastAsia"/>
                <w:b/>
                <w:bCs/>
                <w:color w:val="auto"/>
                <w:sz w:val="24"/>
                <w:highlight w:val="none"/>
              </w:rPr>
              <w:t>3</w:t>
            </w:r>
            <w:r>
              <w:rPr>
                <w:b/>
                <w:bCs/>
                <w:color w:val="auto"/>
                <w:sz w:val="24"/>
                <w:highlight w:val="none"/>
              </w:rPr>
              <w:t xml:space="preserve">  建设项目固体废物产生及利用处置方式评价表</w:t>
            </w:r>
          </w:p>
          <w:tbl>
            <w:tblPr>
              <w:tblStyle w:val="3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708"/>
              <w:gridCol w:w="1012"/>
              <w:gridCol w:w="1328"/>
              <w:gridCol w:w="1078"/>
              <w:gridCol w:w="1820"/>
              <w:gridCol w:w="864"/>
              <w:gridCol w:w="862"/>
              <w:gridCol w:w="10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408" w:type="pct"/>
                  <w:vAlign w:val="center"/>
                </w:tcPr>
                <w:p>
                  <w:pPr>
                    <w:jc w:val="center"/>
                    <w:rPr>
                      <w:color w:val="auto"/>
                      <w:szCs w:val="21"/>
                      <w:highlight w:val="none"/>
                    </w:rPr>
                  </w:pPr>
                  <w:r>
                    <w:rPr>
                      <w:color w:val="auto"/>
                      <w:szCs w:val="21"/>
                      <w:highlight w:val="none"/>
                    </w:rPr>
                    <w:t>编号</w:t>
                  </w:r>
                </w:p>
              </w:tc>
              <w:tc>
                <w:tcPr>
                  <w:tcW w:w="582" w:type="pct"/>
                  <w:vAlign w:val="center"/>
                </w:tcPr>
                <w:p>
                  <w:pPr>
                    <w:jc w:val="center"/>
                    <w:rPr>
                      <w:color w:val="auto"/>
                      <w:szCs w:val="21"/>
                      <w:highlight w:val="none"/>
                    </w:rPr>
                  </w:pPr>
                  <w:r>
                    <w:rPr>
                      <w:color w:val="auto"/>
                      <w:szCs w:val="21"/>
                      <w:highlight w:val="none"/>
                    </w:rPr>
                    <w:t>固体废物</w:t>
                  </w:r>
                </w:p>
                <w:p>
                  <w:pPr>
                    <w:jc w:val="center"/>
                    <w:rPr>
                      <w:color w:val="auto"/>
                      <w:szCs w:val="21"/>
                      <w:highlight w:val="none"/>
                    </w:rPr>
                  </w:pPr>
                  <w:r>
                    <w:rPr>
                      <w:color w:val="auto"/>
                      <w:szCs w:val="21"/>
                      <w:highlight w:val="none"/>
                    </w:rPr>
                    <w:t>名称</w:t>
                  </w:r>
                </w:p>
              </w:tc>
              <w:tc>
                <w:tcPr>
                  <w:tcW w:w="764" w:type="pct"/>
                  <w:vAlign w:val="center"/>
                </w:tcPr>
                <w:p>
                  <w:pPr>
                    <w:jc w:val="center"/>
                    <w:rPr>
                      <w:color w:val="auto"/>
                      <w:szCs w:val="21"/>
                      <w:highlight w:val="none"/>
                    </w:rPr>
                  </w:pPr>
                  <w:r>
                    <w:rPr>
                      <w:color w:val="auto"/>
                      <w:szCs w:val="21"/>
                      <w:highlight w:val="none"/>
                    </w:rPr>
                    <w:t>产生工序</w:t>
                  </w:r>
                </w:p>
              </w:tc>
              <w:tc>
                <w:tcPr>
                  <w:tcW w:w="620" w:type="pct"/>
                  <w:vAlign w:val="center"/>
                </w:tcPr>
                <w:p>
                  <w:pPr>
                    <w:jc w:val="center"/>
                    <w:rPr>
                      <w:color w:val="auto"/>
                      <w:szCs w:val="21"/>
                      <w:highlight w:val="none"/>
                    </w:rPr>
                  </w:pPr>
                  <w:r>
                    <w:rPr>
                      <w:color w:val="auto"/>
                      <w:szCs w:val="21"/>
                      <w:highlight w:val="none"/>
                    </w:rPr>
                    <w:t>属性</w:t>
                  </w:r>
                </w:p>
              </w:tc>
              <w:tc>
                <w:tcPr>
                  <w:tcW w:w="1047" w:type="pct"/>
                  <w:vAlign w:val="center"/>
                </w:tcPr>
                <w:p>
                  <w:pPr>
                    <w:jc w:val="center"/>
                    <w:rPr>
                      <w:color w:val="auto"/>
                      <w:szCs w:val="21"/>
                      <w:highlight w:val="none"/>
                    </w:rPr>
                  </w:pPr>
                  <w:r>
                    <w:rPr>
                      <w:color w:val="auto"/>
                      <w:szCs w:val="21"/>
                      <w:highlight w:val="none"/>
                    </w:rPr>
                    <w:t>废物代码</w:t>
                  </w:r>
                </w:p>
              </w:tc>
              <w:tc>
                <w:tcPr>
                  <w:tcW w:w="497" w:type="pct"/>
                  <w:vAlign w:val="center"/>
                </w:tcPr>
                <w:p>
                  <w:pPr>
                    <w:jc w:val="center"/>
                    <w:rPr>
                      <w:color w:val="auto"/>
                      <w:szCs w:val="21"/>
                      <w:highlight w:val="none"/>
                    </w:rPr>
                  </w:pPr>
                  <w:r>
                    <w:rPr>
                      <w:color w:val="auto"/>
                      <w:szCs w:val="21"/>
                      <w:highlight w:val="none"/>
                    </w:rPr>
                    <w:t>产生量（t/a）</w:t>
                  </w:r>
                </w:p>
              </w:tc>
              <w:tc>
                <w:tcPr>
                  <w:tcW w:w="496" w:type="pct"/>
                  <w:vAlign w:val="center"/>
                </w:tcPr>
                <w:p>
                  <w:pPr>
                    <w:jc w:val="center"/>
                    <w:rPr>
                      <w:color w:val="auto"/>
                      <w:szCs w:val="21"/>
                      <w:highlight w:val="none"/>
                    </w:rPr>
                  </w:pPr>
                  <w:r>
                    <w:rPr>
                      <w:color w:val="auto"/>
                      <w:szCs w:val="21"/>
                      <w:highlight w:val="none"/>
                    </w:rPr>
                    <w:t>利用处</w:t>
                  </w:r>
                </w:p>
                <w:p>
                  <w:pPr>
                    <w:jc w:val="center"/>
                    <w:rPr>
                      <w:color w:val="auto"/>
                      <w:szCs w:val="21"/>
                      <w:highlight w:val="none"/>
                    </w:rPr>
                  </w:pPr>
                  <w:r>
                    <w:rPr>
                      <w:color w:val="auto"/>
                      <w:szCs w:val="21"/>
                      <w:highlight w:val="none"/>
                    </w:rPr>
                    <w:t>置方式</w:t>
                  </w:r>
                </w:p>
              </w:tc>
              <w:tc>
                <w:tcPr>
                  <w:tcW w:w="585" w:type="pct"/>
                  <w:vAlign w:val="center"/>
                </w:tcPr>
                <w:p>
                  <w:pPr>
                    <w:jc w:val="center"/>
                    <w:rPr>
                      <w:color w:val="auto"/>
                      <w:szCs w:val="21"/>
                      <w:highlight w:val="none"/>
                    </w:rPr>
                  </w:pPr>
                  <w:r>
                    <w:rPr>
                      <w:color w:val="auto"/>
                      <w:szCs w:val="21"/>
                      <w:highlight w:val="none"/>
                    </w:rPr>
                    <w:t>利用处置</w:t>
                  </w:r>
                </w:p>
                <w:p>
                  <w:pPr>
                    <w:jc w:val="center"/>
                    <w:rPr>
                      <w:color w:val="auto"/>
                      <w:szCs w:val="21"/>
                      <w:highlight w:val="none"/>
                    </w:rPr>
                  </w:pPr>
                  <w:r>
                    <w:rPr>
                      <w:color w:val="auto"/>
                      <w:szCs w:val="21"/>
                      <w:highlight w:val="none"/>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4" w:hRule="atLeast"/>
              </w:trPr>
              <w:tc>
                <w:tcPr>
                  <w:tcW w:w="408" w:type="pct"/>
                  <w:shd w:val="clear" w:color="auto" w:fill="FFFFFF"/>
                  <w:vAlign w:val="center"/>
                </w:tcPr>
                <w:p>
                  <w:pPr>
                    <w:jc w:val="center"/>
                    <w:rPr>
                      <w:bCs/>
                      <w:color w:val="auto"/>
                      <w:szCs w:val="21"/>
                      <w:highlight w:val="none"/>
                    </w:rPr>
                  </w:pPr>
                  <w:r>
                    <w:rPr>
                      <w:bCs/>
                      <w:color w:val="auto"/>
                      <w:szCs w:val="21"/>
                      <w:highlight w:val="none"/>
                    </w:rPr>
                    <w:t>S1-</w:t>
                  </w:r>
                  <w:r>
                    <w:rPr>
                      <w:rFonts w:hint="eastAsia"/>
                      <w:bCs/>
                      <w:color w:val="auto"/>
                      <w:szCs w:val="21"/>
                      <w:highlight w:val="none"/>
                    </w:rPr>
                    <w:t>5</w:t>
                  </w:r>
                </w:p>
              </w:tc>
              <w:tc>
                <w:tcPr>
                  <w:tcW w:w="582" w:type="pct"/>
                  <w:shd w:val="clear" w:color="auto" w:fill="FFFFFF"/>
                  <w:vAlign w:val="center"/>
                </w:tcPr>
                <w:p>
                  <w:pPr>
                    <w:jc w:val="center"/>
                    <w:rPr>
                      <w:bCs/>
                      <w:color w:val="auto"/>
                      <w:szCs w:val="21"/>
                      <w:highlight w:val="none"/>
                    </w:rPr>
                  </w:pPr>
                  <w:r>
                    <w:rPr>
                      <w:bCs/>
                      <w:color w:val="auto"/>
                      <w:szCs w:val="21"/>
                      <w:highlight w:val="none"/>
                    </w:rPr>
                    <w:t>清洗废液</w:t>
                  </w:r>
                </w:p>
              </w:tc>
              <w:tc>
                <w:tcPr>
                  <w:tcW w:w="764" w:type="pct"/>
                  <w:vMerge w:val="restart"/>
                  <w:shd w:val="clear" w:color="auto" w:fill="auto"/>
                  <w:vAlign w:val="center"/>
                </w:tcPr>
                <w:p>
                  <w:pPr>
                    <w:jc w:val="center"/>
                    <w:rPr>
                      <w:bCs/>
                      <w:color w:val="auto"/>
                      <w:szCs w:val="21"/>
                      <w:highlight w:val="none"/>
                    </w:rPr>
                  </w:pPr>
                  <w:r>
                    <w:rPr>
                      <w:bCs/>
                      <w:color w:val="auto"/>
                      <w:szCs w:val="21"/>
                      <w:highlight w:val="none"/>
                    </w:rPr>
                    <w:t>零部件清洗</w:t>
                  </w:r>
                </w:p>
              </w:tc>
              <w:tc>
                <w:tcPr>
                  <w:tcW w:w="620" w:type="pct"/>
                  <w:vMerge w:val="restart"/>
                  <w:shd w:val="clear" w:color="auto" w:fill="FFFFFF"/>
                  <w:vAlign w:val="center"/>
                </w:tcPr>
                <w:p>
                  <w:pPr>
                    <w:jc w:val="center"/>
                    <w:rPr>
                      <w:color w:val="auto"/>
                      <w:kern w:val="0"/>
                      <w:szCs w:val="21"/>
                      <w:highlight w:val="none"/>
                    </w:rPr>
                  </w:pPr>
                  <w:r>
                    <w:rPr>
                      <w:color w:val="auto"/>
                      <w:kern w:val="0"/>
                      <w:szCs w:val="21"/>
                      <w:highlight w:val="none"/>
                    </w:rPr>
                    <w:t>危险</w:t>
                  </w:r>
                </w:p>
                <w:p>
                  <w:pPr>
                    <w:jc w:val="center"/>
                    <w:rPr>
                      <w:color w:val="auto"/>
                      <w:kern w:val="0"/>
                      <w:szCs w:val="21"/>
                      <w:highlight w:val="none"/>
                    </w:rPr>
                  </w:pPr>
                  <w:r>
                    <w:rPr>
                      <w:color w:val="auto"/>
                      <w:kern w:val="0"/>
                      <w:szCs w:val="21"/>
                      <w:highlight w:val="none"/>
                    </w:rPr>
                    <w:t>固废</w:t>
                  </w:r>
                </w:p>
              </w:tc>
              <w:tc>
                <w:tcPr>
                  <w:tcW w:w="1047" w:type="pct"/>
                  <w:vAlign w:val="center"/>
                </w:tcPr>
                <w:p>
                  <w:pPr>
                    <w:adjustRightInd w:val="0"/>
                    <w:snapToGrid w:val="0"/>
                    <w:jc w:val="center"/>
                    <w:rPr>
                      <w:color w:val="auto"/>
                      <w:szCs w:val="21"/>
                      <w:highlight w:val="none"/>
                    </w:rPr>
                  </w:pPr>
                  <w:r>
                    <w:rPr>
                      <w:color w:val="auto"/>
                      <w:szCs w:val="21"/>
                      <w:highlight w:val="none"/>
                    </w:rPr>
                    <w:t>900-402-06</w:t>
                  </w:r>
                </w:p>
              </w:tc>
              <w:tc>
                <w:tcPr>
                  <w:tcW w:w="497" w:type="pct"/>
                  <w:vAlign w:val="center"/>
                </w:tcPr>
                <w:p>
                  <w:pPr>
                    <w:jc w:val="center"/>
                    <w:rPr>
                      <w:color w:val="auto"/>
                      <w:szCs w:val="21"/>
                      <w:highlight w:val="none"/>
                    </w:rPr>
                  </w:pPr>
                  <w:r>
                    <w:rPr>
                      <w:color w:val="auto"/>
                      <w:szCs w:val="21"/>
                      <w:highlight w:val="none"/>
                    </w:rPr>
                    <w:t>5.4</w:t>
                  </w:r>
                </w:p>
              </w:tc>
              <w:tc>
                <w:tcPr>
                  <w:tcW w:w="496" w:type="pct"/>
                  <w:vMerge w:val="restart"/>
                  <w:vAlign w:val="center"/>
                </w:tcPr>
                <w:p>
                  <w:pPr>
                    <w:jc w:val="center"/>
                    <w:rPr>
                      <w:color w:val="auto"/>
                      <w:kern w:val="0"/>
                      <w:szCs w:val="21"/>
                      <w:highlight w:val="none"/>
                    </w:rPr>
                  </w:pPr>
                  <w:r>
                    <w:rPr>
                      <w:color w:val="auto"/>
                      <w:kern w:val="0"/>
                      <w:szCs w:val="21"/>
                      <w:highlight w:val="none"/>
                    </w:rPr>
                    <w:t>处置</w:t>
                  </w:r>
                </w:p>
              </w:tc>
              <w:tc>
                <w:tcPr>
                  <w:tcW w:w="585" w:type="pct"/>
                  <w:vMerge w:val="restart"/>
                  <w:vAlign w:val="center"/>
                </w:tcPr>
                <w:p>
                  <w:pPr>
                    <w:jc w:val="center"/>
                    <w:rPr>
                      <w:color w:val="auto"/>
                      <w:szCs w:val="21"/>
                      <w:highlight w:val="none"/>
                    </w:rPr>
                  </w:pPr>
                  <w:r>
                    <w:rPr>
                      <w:color w:val="auto"/>
                      <w:szCs w:val="21"/>
                      <w:highlight w:val="none"/>
                    </w:rPr>
                    <w:t>有危废资质单位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37" w:hRule="atLeast"/>
              </w:trPr>
              <w:tc>
                <w:tcPr>
                  <w:tcW w:w="408" w:type="pct"/>
                  <w:shd w:val="clear" w:color="auto" w:fill="FFFFFF"/>
                  <w:vAlign w:val="center"/>
                </w:tcPr>
                <w:p>
                  <w:pPr>
                    <w:jc w:val="center"/>
                    <w:rPr>
                      <w:bCs/>
                      <w:color w:val="auto"/>
                      <w:szCs w:val="21"/>
                      <w:highlight w:val="none"/>
                    </w:rPr>
                  </w:pPr>
                  <w:r>
                    <w:rPr>
                      <w:bCs/>
                      <w:color w:val="auto"/>
                      <w:szCs w:val="21"/>
                      <w:highlight w:val="none"/>
                    </w:rPr>
                    <w:t>S</w:t>
                  </w:r>
                  <w:r>
                    <w:rPr>
                      <w:rFonts w:hint="eastAsia"/>
                      <w:bCs/>
                      <w:color w:val="auto"/>
                      <w:szCs w:val="21"/>
                      <w:highlight w:val="none"/>
                    </w:rPr>
                    <w:t>8</w:t>
                  </w:r>
                </w:p>
              </w:tc>
              <w:tc>
                <w:tcPr>
                  <w:tcW w:w="582" w:type="pct"/>
                  <w:shd w:val="clear" w:color="auto" w:fill="FFFFFF"/>
                  <w:vAlign w:val="center"/>
                </w:tcPr>
                <w:p>
                  <w:pPr>
                    <w:jc w:val="center"/>
                    <w:rPr>
                      <w:bCs/>
                      <w:color w:val="auto"/>
                      <w:szCs w:val="21"/>
                      <w:highlight w:val="none"/>
                    </w:rPr>
                  </w:pPr>
                  <w:r>
                    <w:rPr>
                      <w:bCs/>
                      <w:color w:val="auto"/>
                      <w:szCs w:val="21"/>
                      <w:highlight w:val="none"/>
                    </w:rPr>
                    <w:t>废包装瓶</w:t>
                  </w:r>
                </w:p>
              </w:tc>
              <w:tc>
                <w:tcPr>
                  <w:tcW w:w="764" w:type="pct"/>
                  <w:vMerge w:val="continue"/>
                  <w:shd w:val="clear" w:color="auto" w:fill="auto"/>
                  <w:vAlign w:val="center"/>
                </w:tcPr>
                <w:p>
                  <w:pPr>
                    <w:jc w:val="center"/>
                    <w:rPr>
                      <w:bCs/>
                      <w:color w:val="auto"/>
                      <w:szCs w:val="21"/>
                      <w:highlight w:val="none"/>
                    </w:rPr>
                  </w:pPr>
                </w:p>
              </w:tc>
              <w:tc>
                <w:tcPr>
                  <w:tcW w:w="620" w:type="pct"/>
                  <w:vMerge w:val="continue"/>
                  <w:shd w:val="clear" w:color="auto" w:fill="FFFFFF"/>
                  <w:vAlign w:val="center"/>
                </w:tcPr>
                <w:p>
                  <w:pPr>
                    <w:jc w:val="center"/>
                    <w:rPr>
                      <w:color w:val="auto"/>
                      <w:kern w:val="0"/>
                      <w:szCs w:val="21"/>
                      <w:highlight w:val="none"/>
                    </w:rPr>
                  </w:pPr>
                </w:p>
              </w:tc>
              <w:tc>
                <w:tcPr>
                  <w:tcW w:w="1047" w:type="pct"/>
                  <w:vAlign w:val="center"/>
                </w:tcPr>
                <w:p>
                  <w:pPr>
                    <w:adjustRightInd w:val="0"/>
                    <w:snapToGrid w:val="0"/>
                    <w:jc w:val="center"/>
                    <w:rPr>
                      <w:color w:val="auto"/>
                      <w:highlight w:val="none"/>
                    </w:rPr>
                  </w:pPr>
                  <w:r>
                    <w:rPr>
                      <w:color w:val="auto"/>
                      <w:szCs w:val="21"/>
                      <w:highlight w:val="none"/>
                    </w:rPr>
                    <w:t>900-041-49</w:t>
                  </w:r>
                </w:p>
              </w:tc>
              <w:tc>
                <w:tcPr>
                  <w:tcW w:w="497" w:type="pct"/>
                  <w:vAlign w:val="center"/>
                </w:tcPr>
                <w:p>
                  <w:pPr>
                    <w:jc w:val="center"/>
                    <w:rPr>
                      <w:color w:val="auto"/>
                      <w:szCs w:val="21"/>
                      <w:highlight w:val="none"/>
                    </w:rPr>
                  </w:pPr>
                  <w:r>
                    <w:rPr>
                      <w:color w:val="auto"/>
                      <w:szCs w:val="21"/>
                      <w:highlight w:val="none"/>
                    </w:rPr>
                    <w:t>0.5</w:t>
                  </w:r>
                </w:p>
              </w:tc>
              <w:tc>
                <w:tcPr>
                  <w:tcW w:w="496" w:type="pct"/>
                  <w:vMerge w:val="continue"/>
                  <w:vAlign w:val="center"/>
                </w:tcPr>
                <w:p>
                  <w:pPr>
                    <w:jc w:val="center"/>
                    <w:rPr>
                      <w:color w:val="auto"/>
                      <w:kern w:val="0"/>
                      <w:szCs w:val="21"/>
                      <w:highlight w:val="none"/>
                    </w:rPr>
                  </w:pPr>
                </w:p>
              </w:tc>
              <w:tc>
                <w:tcPr>
                  <w:tcW w:w="585" w:type="pct"/>
                  <w:vMerge w:val="continue"/>
                  <w:vAlign w:val="center"/>
                </w:tcPr>
                <w:p>
                  <w:pPr>
                    <w:jc w:val="center"/>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4" w:hRule="atLeast"/>
              </w:trPr>
              <w:tc>
                <w:tcPr>
                  <w:tcW w:w="408" w:type="pct"/>
                  <w:shd w:val="clear" w:color="auto" w:fill="FFFFFF"/>
                  <w:vAlign w:val="center"/>
                </w:tcPr>
                <w:p>
                  <w:pPr>
                    <w:jc w:val="center"/>
                    <w:rPr>
                      <w:bCs/>
                      <w:color w:val="auto"/>
                      <w:szCs w:val="21"/>
                      <w:highlight w:val="none"/>
                    </w:rPr>
                  </w:pPr>
                  <w:r>
                    <w:rPr>
                      <w:bCs/>
                      <w:color w:val="auto"/>
                      <w:szCs w:val="21"/>
                      <w:highlight w:val="none"/>
                    </w:rPr>
                    <w:t>S</w:t>
                  </w:r>
                  <w:r>
                    <w:rPr>
                      <w:rFonts w:hint="eastAsia"/>
                      <w:bCs/>
                      <w:color w:val="auto"/>
                      <w:szCs w:val="21"/>
                      <w:highlight w:val="none"/>
                    </w:rPr>
                    <w:t>9</w:t>
                  </w:r>
                </w:p>
              </w:tc>
              <w:tc>
                <w:tcPr>
                  <w:tcW w:w="582" w:type="pct"/>
                  <w:shd w:val="clear" w:color="auto" w:fill="FFFFFF"/>
                  <w:vAlign w:val="center"/>
                </w:tcPr>
                <w:p>
                  <w:pPr>
                    <w:jc w:val="center"/>
                    <w:rPr>
                      <w:bCs/>
                      <w:color w:val="auto"/>
                      <w:szCs w:val="21"/>
                      <w:highlight w:val="none"/>
                    </w:rPr>
                  </w:pPr>
                  <w:r>
                    <w:rPr>
                      <w:bCs/>
                      <w:color w:val="auto"/>
                      <w:szCs w:val="21"/>
                      <w:highlight w:val="none"/>
                    </w:rPr>
                    <w:t>废润滑油</w:t>
                  </w:r>
                </w:p>
              </w:tc>
              <w:tc>
                <w:tcPr>
                  <w:tcW w:w="764" w:type="pct"/>
                  <w:vMerge w:val="continue"/>
                  <w:shd w:val="clear" w:color="auto" w:fill="auto"/>
                  <w:vAlign w:val="center"/>
                </w:tcPr>
                <w:p>
                  <w:pPr>
                    <w:jc w:val="center"/>
                    <w:rPr>
                      <w:bCs/>
                      <w:color w:val="auto"/>
                      <w:szCs w:val="21"/>
                      <w:highlight w:val="none"/>
                    </w:rPr>
                  </w:pPr>
                </w:p>
              </w:tc>
              <w:tc>
                <w:tcPr>
                  <w:tcW w:w="620" w:type="pct"/>
                  <w:vMerge w:val="continue"/>
                  <w:shd w:val="clear" w:color="auto" w:fill="FFFFFF"/>
                  <w:vAlign w:val="center"/>
                </w:tcPr>
                <w:p>
                  <w:pPr>
                    <w:jc w:val="center"/>
                    <w:rPr>
                      <w:color w:val="auto"/>
                      <w:kern w:val="0"/>
                      <w:szCs w:val="21"/>
                      <w:highlight w:val="none"/>
                    </w:rPr>
                  </w:pPr>
                </w:p>
              </w:tc>
              <w:tc>
                <w:tcPr>
                  <w:tcW w:w="1047" w:type="pct"/>
                  <w:vAlign w:val="center"/>
                </w:tcPr>
                <w:p>
                  <w:pPr>
                    <w:jc w:val="center"/>
                    <w:rPr>
                      <w:color w:val="auto"/>
                      <w:highlight w:val="none"/>
                    </w:rPr>
                  </w:pPr>
                  <w:r>
                    <w:rPr>
                      <w:color w:val="auto"/>
                      <w:highlight w:val="none"/>
                    </w:rPr>
                    <w:t>900-200-08</w:t>
                  </w:r>
                </w:p>
              </w:tc>
              <w:tc>
                <w:tcPr>
                  <w:tcW w:w="497" w:type="pct"/>
                  <w:vAlign w:val="center"/>
                </w:tcPr>
                <w:p>
                  <w:pPr>
                    <w:jc w:val="center"/>
                    <w:rPr>
                      <w:color w:val="auto"/>
                      <w:szCs w:val="21"/>
                      <w:highlight w:val="none"/>
                    </w:rPr>
                  </w:pPr>
                  <w:r>
                    <w:rPr>
                      <w:color w:val="auto"/>
                      <w:szCs w:val="21"/>
                      <w:highlight w:val="none"/>
                    </w:rPr>
                    <w:t>0.1</w:t>
                  </w:r>
                </w:p>
              </w:tc>
              <w:tc>
                <w:tcPr>
                  <w:tcW w:w="496" w:type="pct"/>
                  <w:vMerge w:val="continue"/>
                  <w:vAlign w:val="center"/>
                </w:tcPr>
                <w:p>
                  <w:pPr>
                    <w:jc w:val="center"/>
                    <w:rPr>
                      <w:color w:val="auto"/>
                      <w:kern w:val="0"/>
                      <w:szCs w:val="21"/>
                      <w:highlight w:val="none"/>
                    </w:rPr>
                  </w:pPr>
                </w:p>
              </w:tc>
              <w:tc>
                <w:tcPr>
                  <w:tcW w:w="585" w:type="pct"/>
                  <w:vMerge w:val="continue"/>
                  <w:vAlign w:val="center"/>
                </w:tcPr>
                <w:p>
                  <w:pPr>
                    <w:jc w:val="center"/>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trPr>
              <w:tc>
                <w:tcPr>
                  <w:tcW w:w="408" w:type="pct"/>
                  <w:vAlign w:val="center"/>
                </w:tcPr>
                <w:p>
                  <w:pPr>
                    <w:jc w:val="center"/>
                    <w:rPr>
                      <w:bCs/>
                      <w:color w:val="auto"/>
                      <w:szCs w:val="21"/>
                      <w:highlight w:val="none"/>
                    </w:rPr>
                  </w:pPr>
                  <w:r>
                    <w:rPr>
                      <w:bCs/>
                      <w:color w:val="auto"/>
                      <w:szCs w:val="21"/>
                      <w:highlight w:val="none"/>
                    </w:rPr>
                    <w:t>S1</w:t>
                  </w:r>
                  <w:r>
                    <w:rPr>
                      <w:rFonts w:hint="eastAsia"/>
                      <w:bCs/>
                      <w:color w:val="auto"/>
                      <w:szCs w:val="21"/>
                      <w:highlight w:val="none"/>
                    </w:rPr>
                    <w:t>0</w:t>
                  </w:r>
                </w:p>
              </w:tc>
              <w:tc>
                <w:tcPr>
                  <w:tcW w:w="582" w:type="pct"/>
                  <w:vAlign w:val="center"/>
                </w:tcPr>
                <w:p>
                  <w:pPr>
                    <w:jc w:val="center"/>
                    <w:rPr>
                      <w:bCs/>
                      <w:color w:val="auto"/>
                      <w:szCs w:val="21"/>
                      <w:highlight w:val="none"/>
                    </w:rPr>
                  </w:pPr>
                  <w:r>
                    <w:rPr>
                      <w:bCs/>
                      <w:color w:val="auto"/>
                      <w:szCs w:val="21"/>
                      <w:highlight w:val="none"/>
                    </w:rPr>
                    <w:t>废活性炭</w:t>
                  </w:r>
                </w:p>
              </w:tc>
              <w:tc>
                <w:tcPr>
                  <w:tcW w:w="764" w:type="pct"/>
                  <w:vAlign w:val="center"/>
                </w:tcPr>
                <w:p>
                  <w:pPr>
                    <w:jc w:val="center"/>
                    <w:rPr>
                      <w:bCs/>
                      <w:color w:val="auto"/>
                      <w:szCs w:val="21"/>
                      <w:highlight w:val="none"/>
                    </w:rPr>
                  </w:pPr>
                  <w:r>
                    <w:rPr>
                      <w:bCs/>
                      <w:color w:val="auto"/>
                      <w:szCs w:val="21"/>
                      <w:highlight w:val="none"/>
                    </w:rPr>
                    <w:t>废气处理</w:t>
                  </w:r>
                </w:p>
              </w:tc>
              <w:tc>
                <w:tcPr>
                  <w:tcW w:w="620" w:type="pct"/>
                  <w:vMerge w:val="continue"/>
                  <w:vAlign w:val="center"/>
                </w:tcPr>
                <w:p>
                  <w:pPr>
                    <w:jc w:val="center"/>
                    <w:rPr>
                      <w:color w:val="auto"/>
                      <w:kern w:val="0"/>
                      <w:szCs w:val="21"/>
                      <w:highlight w:val="none"/>
                    </w:rPr>
                  </w:pPr>
                </w:p>
              </w:tc>
              <w:tc>
                <w:tcPr>
                  <w:tcW w:w="1047" w:type="pct"/>
                  <w:vAlign w:val="center"/>
                </w:tcPr>
                <w:p>
                  <w:pPr>
                    <w:jc w:val="center"/>
                    <w:rPr>
                      <w:color w:val="auto"/>
                      <w:highlight w:val="none"/>
                    </w:rPr>
                  </w:pPr>
                  <w:r>
                    <w:rPr>
                      <w:color w:val="auto"/>
                      <w:highlight w:val="none"/>
                    </w:rPr>
                    <w:t>900-039-49</w:t>
                  </w:r>
                </w:p>
              </w:tc>
              <w:tc>
                <w:tcPr>
                  <w:tcW w:w="497" w:type="pct"/>
                  <w:vAlign w:val="center"/>
                </w:tcPr>
                <w:p>
                  <w:pPr>
                    <w:jc w:val="center"/>
                    <w:rPr>
                      <w:color w:val="auto"/>
                      <w:szCs w:val="21"/>
                      <w:highlight w:val="none"/>
                    </w:rPr>
                  </w:pPr>
                  <w:r>
                    <w:rPr>
                      <w:color w:val="auto"/>
                      <w:szCs w:val="21"/>
                      <w:highlight w:val="none"/>
                    </w:rPr>
                    <w:t>4</w:t>
                  </w:r>
                </w:p>
              </w:tc>
              <w:tc>
                <w:tcPr>
                  <w:tcW w:w="496" w:type="pct"/>
                  <w:vMerge w:val="continue"/>
                  <w:vAlign w:val="center"/>
                </w:tcPr>
                <w:p>
                  <w:pPr>
                    <w:jc w:val="center"/>
                    <w:rPr>
                      <w:color w:val="auto"/>
                      <w:kern w:val="0"/>
                      <w:szCs w:val="21"/>
                      <w:highlight w:val="none"/>
                    </w:rPr>
                  </w:pPr>
                </w:p>
              </w:tc>
              <w:tc>
                <w:tcPr>
                  <w:tcW w:w="585" w:type="pct"/>
                  <w:vMerge w:val="continue"/>
                  <w:vAlign w:val="center"/>
                </w:tcPr>
                <w:p>
                  <w:pPr>
                    <w:jc w:val="center"/>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72" w:hRule="atLeast"/>
              </w:trPr>
              <w:tc>
                <w:tcPr>
                  <w:tcW w:w="408" w:type="pct"/>
                  <w:vAlign w:val="center"/>
                </w:tcPr>
                <w:p>
                  <w:pPr>
                    <w:jc w:val="center"/>
                    <w:rPr>
                      <w:bCs/>
                      <w:color w:val="auto"/>
                      <w:szCs w:val="21"/>
                      <w:highlight w:val="none"/>
                    </w:rPr>
                  </w:pPr>
                  <w:r>
                    <w:rPr>
                      <w:bCs/>
                      <w:color w:val="auto"/>
                      <w:szCs w:val="21"/>
                      <w:highlight w:val="none"/>
                    </w:rPr>
                    <w:t>S</w:t>
                  </w:r>
                  <w:r>
                    <w:rPr>
                      <w:rFonts w:hint="eastAsia"/>
                      <w:bCs/>
                      <w:color w:val="auto"/>
                      <w:szCs w:val="21"/>
                      <w:highlight w:val="none"/>
                    </w:rPr>
                    <w:t>7</w:t>
                  </w:r>
                </w:p>
              </w:tc>
              <w:tc>
                <w:tcPr>
                  <w:tcW w:w="582" w:type="pct"/>
                  <w:vAlign w:val="center"/>
                </w:tcPr>
                <w:p>
                  <w:pPr>
                    <w:jc w:val="center"/>
                    <w:rPr>
                      <w:bCs/>
                      <w:color w:val="auto"/>
                      <w:szCs w:val="21"/>
                      <w:highlight w:val="none"/>
                    </w:rPr>
                  </w:pPr>
                  <w:r>
                    <w:rPr>
                      <w:bCs/>
                      <w:color w:val="auto"/>
                      <w:szCs w:val="21"/>
                      <w:highlight w:val="none"/>
                    </w:rPr>
                    <w:t>废过滤筒</w:t>
                  </w:r>
                </w:p>
              </w:tc>
              <w:tc>
                <w:tcPr>
                  <w:tcW w:w="764" w:type="pct"/>
                  <w:vAlign w:val="center"/>
                </w:tcPr>
                <w:p>
                  <w:pPr>
                    <w:jc w:val="center"/>
                    <w:rPr>
                      <w:bCs/>
                      <w:color w:val="auto"/>
                      <w:szCs w:val="21"/>
                      <w:highlight w:val="none"/>
                    </w:rPr>
                  </w:pPr>
                  <w:r>
                    <w:rPr>
                      <w:bCs/>
                      <w:color w:val="auto"/>
                      <w:szCs w:val="21"/>
                      <w:highlight w:val="none"/>
                    </w:rPr>
                    <w:t>纯水制备</w:t>
                  </w:r>
                </w:p>
              </w:tc>
              <w:tc>
                <w:tcPr>
                  <w:tcW w:w="620" w:type="pct"/>
                  <w:vMerge w:val="restart"/>
                  <w:vAlign w:val="center"/>
                </w:tcPr>
                <w:p>
                  <w:pPr>
                    <w:jc w:val="center"/>
                    <w:rPr>
                      <w:color w:val="auto"/>
                      <w:kern w:val="0"/>
                      <w:szCs w:val="21"/>
                      <w:highlight w:val="none"/>
                    </w:rPr>
                  </w:pPr>
                  <w:r>
                    <w:rPr>
                      <w:color w:val="auto"/>
                      <w:kern w:val="0"/>
                      <w:szCs w:val="21"/>
                      <w:highlight w:val="none"/>
                    </w:rPr>
                    <w:t>一般固废</w:t>
                  </w:r>
                </w:p>
              </w:tc>
              <w:tc>
                <w:tcPr>
                  <w:tcW w:w="1047" w:type="pct"/>
                  <w:vAlign w:val="center"/>
                </w:tcPr>
                <w:p>
                  <w:pPr>
                    <w:jc w:val="center"/>
                    <w:rPr>
                      <w:color w:val="auto"/>
                      <w:szCs w:val="21"/>
                      <w:highlight w:val="none"/>
                    </w:rPr>
                  </w:pPr>
                  <w:r>
                    <w:rPr>
                      <w:color w:val="auto"/>
                      <w:szCs w:val="21"/>
                      <w:highlight w:val="none"/>
                    </w:rPr>
                    <w:t>99*</w:t>
                  </w:r>
                </w:p>
              </w:tc>
              <w:tc>
                <w:tcPr>
                  <w:tcW w:w="497" w:type="pct"/>
                  <w:vAlign w:val="center"/>
                </w:tcPr>
                <w:p>
                  <w:pPr>
                    <w:jc w:val="center"/>
                    <w:rPr>
                      <w:color w:val="auto"/>
                      <w:szCs w:val="21"/>
                      <w:highlight w:val="none"/>
                    </w:rPr>
                  </w:pPr>
                  <w:r>
                    <w:rPr>
                      <w:color w:val="auto"/>
                      <w:szCs w:val="21"/>
                      <w:highlight w:val="none"/>
                    </w:rPr>
                    <w:t>0.2</w:t>
                  </w:r>
                </w:p>
              </w:tc>
              <w:tc>
                <w:tcPr>
                  <w:tcW w:w="496" w:type="pct"/>
                  <w:vMerge w:val="restart"/>
                  <w:vAlign w:val="center"/>
                </w:tcPr>
                <w:p>
                  <w:pPr>
                    <w:jc w:val="center"/>
                    <w:rPr>
                      <w:color w:val="auto"/>
                      <w:kern w:val="0"/>
                      <w:szCs w:val="21"/>
                      <w:highlight w:val="none"/>
                    </w:rPr>
                  </w:pPr>
                  <w:r>
                    <w:rPr>
                      <w:color w:val="auto"/>
                      <w:kern w:val="0"/>
                      <w:szCs w:val="21"/>
                      <w:highlight w:val="none"/>
                    </w:rPr>
                    <w:t>处置</w:t>
                  </w:r>
                </w:p>
              </w:tc>
              <w:tc>
                <w:tcPr>
                  <w:tcW w:w="585" w:type="pct"/>
                  <w:vMerge w:val="restart"/>
                  <w:vAlign w:val="center"/>
                </w:tcPr>
                <w:p>
                  <w:pPr>
                    <w:jc w:val="center"/>
                    <w:rPr>
                      <w:color w:val="auto"/>
                      <w:szCs w:val="21"/>
                      <w:highlight w:val="none"/>
                    </w:rPr>
                  </w:pPr>
                  <w:r>
                    <w:rPr>
                      <w:color w:val="auto"/>
                      <w:szCs w:val="21"/>
                      <w:highlight w:val="none"/>
                    </w:rPr>
                    <w:t>专业单位处理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71" w:hRule="atLeast"/>
              </w:trPr>
              <w:tc>
                <w:tcPr>
                  <w:tcW w:w="408" w:type="pct"/>
                  <w:vAlign w:val="center"/>
                </w:tcPr>
                <w:p>
                  <w:pPr>
                    <w:jc w:val="center"/>
                    <w:rPr>
                      <w:bCs/>
                      <w:color w:val="auto"/>
                      <w:szCs w:val="21"/>
                      <w:highlight w:val="none"/>
                    </w:rPr>
                  </w:pPr>
                  <w:r>
                    <w:rPr>
                      <w:bCs/>
                      <w:color w:val="auto"/>
                      <w:szCs w:val="21"/>
                      <w:highlight w:val="none"/>
                    </w:rPr>
                    <w:t>S</w:t>
                  </w:r>
                  <w:r>
                    <w:rPr>
                      <w:rFonts w:hint="eastAsia"/>
                      <w:bCs/>
                      <w:color w:val="auto"/>
                      <w:szCs w:val="21"/>
                      <w:highlight w:val="none"/>
                    </w:rPr>
                    <w:t>6</w:t>
                  </w:r>
                </w:p>
              </w:tc>
              <w:tc>
                <w:tcPr>
                  <w:tcW w:w="582" w:type="pct"/>
                  <w:vAlign w:val="center"/>
                </w:tcPr>
                <w:p>
                  <w:pPr>
                    <w:jc w:val="center"/>
                    <w:rPr>
                      <w:bCs/>
                      <w:color w:val="auto"/>
                      <w:szCs w:val="21"/>
                      <w:highlight w:val="none"/>
                    </w:rPr>
                  </w:pPr>
                  <w:r>
                    <w:rPr>
                      <w:bCs/>
                      <w:color w:val="auto"/>
                      <w:szCs w:val="21"/>
                      <w:highlight w:val="none"/>
                    </w:rPr>
                    <w:t>不合格件</w:t>
                  </w:r>
                </w:p>
              </w:tc>
              <w:tc>
                <w:tcPr>
                  <w:tcW w:w="764" w:type="pct"/>
                  <w:vAlign w:val="center"/>
                </w:tcPr>
                <w:p>
                  <w:pPr>
                    <w:jc w:val="center"/>
                    <w:rPr>
                      <w:bCs/>
                      <w:color w:val="auto"/>
                      <w:szCs w:val="21"/>
                      <w:highlight w:val="none"/>
                    </w:rPr>
                  </w:pPr>
                  <w:r>
                    <w:rPr>
                      <w:bCs/>
                      <w:color w:val="auto"/>
                      <w:szCs w:val="21"/>
                      <w:highlight w:val="none"/>
                    </w:rPr>
                    <w:t>产品制作</w:t>
                  </w:r>
                </w:p>
              </w:tc>
              <w:tc>
                <w:tcPr>
                  <w:tcW w:w="620" w:type="pct"/>
                  <w:vMerge w:val="continue"/>
                  <w:vAlign w:val="center"/>
                </w:tcPr>
                <w:p>
                  <w:pPr>
                    <w:jc w:val="center"/>
                    <w:rPr>
                      <w:color w:val="auto"/>
                      <w:kern w:val="0"/>
                      <w:szCs w:val="21"/>
                      <w:highlight w:val="none"/>
                    </w:rPr>
                  </w:pPr>
                </w:p>
              </w:tc>
              <w:tc>
                <w:tcPr>
                  <w:tcW w:w="1047" w:type="pct"/>
                  <w:vAlign w:val="center"/>
                </w:tcPr>
                <w:p>
                  <w:pPr>
                    <w:jc w:val="center"/>
                    <w:rPr>
                      <w:color w:val="auto"/>
                      <w:szCs w:val="21"/>
                      <w:highlight w:val="none"/>
                    </w:rPr>
                  </w:pPr>
                  <w:r>
                    <w:rPr>
                      <w:color w:val="auto"/>
                      <w:szCs w:val="21"/>
                      <w:highlight w:val="none"/>
                    </w:rPr>
                    <w:t>14*</w:t>
                  </w:r>
                </w:p>
              </w:tc>
              <w:tc>
                <w:tcPr>
                  <w:tcW w:w="497" w:type="pct"/>
                  <w:vAlign w:val="center"/>
                </w:tcPr>
                <w:p>
                  <w:pPr>
                    <w:jc w:val="center"/>
                    <w:rPr>
                      <w:color w:val="auto"/>
                      <w:szCs w:val="21"/>
                      <w:highlight w:val="none"/>
                    </w:rPr>
                  </w:pPr>
                  <w:r>
                    <w:rPr>
                      <w:color w:val="auto"/>
                      <w:szCs w:val="21"/>
                      <w:highlight w:val="none"/>
                    </w:rPr>
                    <w:t>0.2</w:t>
                  </w:r>
                </w:p>
              </w:tc>
              <w:tc>
                <w:tcPr>
                  <w:tcW w:w="496" w:type="pct"/>
                  <w:vMerge w:val="continue"/>
                  <w:vAlign w:val="center"/>
                </w:tcPr>
                <w:p>
                  <w:pPr>
                    <w:jc w:val="center"/>
                    <w:rPr>
                      <w:color w:val="auto"/>
                      <w:kern w:val="0"/>
                      <w:szCs w:val="21"/>
                      <w:highlight w:val="none"/>
                    </w:rPr>
                  </w:pPr>
                </w:p>
              </w:tc>
              <w:tc>
                <w:tcPr>
                  <w:tcW w:w="585" w:type="pct"/>
                  <w:vMerge w:val="continue"/>
                  <w:vAlign w:val="center"/>
                </w:tcPr>
                <w:p>
                  <w:pPr>
                    <w:jc w:val="center"/>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1" w:hRule="atLeast"/>
              </w:trPr>
              <w:tc>
                <w:tcPr>
                  <w:tcW w:w="408" w:type="pct"/>
                  <w:vAlign w:val="center"/>
                </w:tcPr>
                <w:p>
                  <w:pPr>
                    <w:jc w:val="center"/>
                    <w:rPr>
                      <w:bCs/>
                      <w:color w:val="auto"/>
                      <w:szCs w:val="21"/>
                      <w:highlight w:val="none"/>
                    </w:rPr>
                  </w:pPr>
                  <w:r>
                    <w:rPr>
                      <w:rFonts w:hint="eastAsia"/>
                      <w:bCs/>
                      <w:color w:val="auto"/>
                      <w:szCs w:val="21"/>
                      <w:highlight w:val="none"/>
                    </w:rPr>
                    <w:t>S11</w:t>
                  </w:r>
                </w:p>
              </w:tc>
              <w:tc>
                <w:tcPr>
                  <w:tcW w:w="582" w:type="pct"/>
                  <w:vAlign w:val="center"/>
                </w:tcPr>
                <w:p>
                  <w:pPr>
                    <w:jc w:val="center"/>
                    <w:rPr>
                      <w:bCs/>
                      <w:color w:val="auto"/>
                      <w:szCs w:val="21"/>
                      <w:highlight w:val="none"/>
                    </w:rPr>
                  </w:pPr>
                  <w:r>
                    <w:rPr>
                      <w:rFonts w:hint="eastAsia"/>
                      <w:bCs/>
                      <w:color w:val="auto"/>
                      <w:szCs w:val="21"/>
                      <w:highlight w:val="none"/>
                    </w:rPr>
                    <w:t>抛光粉沉淀物</w:t>
                  </w:r>
                </w:p>
              </w:tc>
              <w:tc>
                <w:tcPr>
                  <w:tcW w:w="764" w:type="pct"/>
                  <w:vAlign w:val="center"/>
                </w:tcPr>
                <w:p>
                  <w:pPr>
                    <w:jc w:val="center"/>
                    <w:rPr>
                      <w:bCs/>
                      <w:color w:val="auto"/>
                      <w:szCs w:val="21"/>
                      <w:highlight w:val="none"/>
                    </w:rPr>
                  </w:pPr>
                  <w:r>
                    <w:rPr>
                      <w:rFonts w:hint="eastAsia"/>
                      <w:bCs/>
                      <w:color w:val="auto"/>
                      <w:szCs w:val="21"/>
                      <w:highlight w:val="none"/>
                    </w:rPr>
                    <w:t>微通道板及光纤元件抛光（以新带老）</w:t>
                  </w:r>
                </w:p>
              </w:tc>
              <w:tc>
                <w:tcPr>
                  <w:tcW w:w="620" w:type="pct"/>
                  <w:vMerge w:val="continue"/>
                  <w:vAlign w:val="center"/>
                </w:tcPr>
                <w:p>
                  <w:pPr>
                    <w:jc w:val="center"/>
                    <w:rPr>
                      <w:color w:val="auto"/>
                      <w:kern w:val="0"/>
                      <w:szCs w:val="21"/>
                      <w:highlight w:val="none"/>
                    </w:rPr>
                  </w:pPr>
                </w:p>
              </w:tc>
              <w:tc>
                <w:tcPr>
                  <w:tcW w:w="1047" w:type="pct"/>
                  <w:vAlign w:val="center"/>
                </w:tcPr>
                <w:p>
                  <w:pPr>
                    <w:jc w:val="center"/>
                    <w:rPr>
                      <w:color w:val="auto"/>
                      <w:szCs w:val="21"/>
                      <w:highlight w:val="none"/>
                    </w:rPr>
                  </w:pPr>
                  <w:r>
                    <w:rPr>
                      <w:rFonts w:hint="eastAsia"/>
                      <w:color w:val="auto"/>
                      <w:szCs w:val="21"/>
                      <w:highlight w:val="none"/>
                    </w:rPr>
                    <w:t>99</w:t>
                  </w:r>
                  <w:r>
                    <w:rPr>
                      <w:color w:val="auto"/>
                      <w:szCs w:val="21"/>
                      <w:highlight w:val="none"/>
                    </w:rPr>
                    <w:t>*</w:t>
                  </w:r>
                </w:p>
              </w:tc>
              <w:tc>
                <w:tcPr>
                  <w:tcW w:w="497" w:type="pct"/>
                  <w:vAlign w:val="center"/>
                </w:tcPr>
                <w:p>
                  <w:pPr>
                    <w:jc w:val="center"/>
                    <w:rPr>
                      <w:color w:val="auto"/>
                      <w:szCs w:val="21"/>
                      <w:highlight w:val="none"/>
                    </w:rPr>
                  </w:pPr>
                  <w:r>
                    <w:rPr>
                      <w:rFonts w:hint="eastAsia"/>
                      <w:color w:val="auto"/>
                      <w:szCs w:val="21"/>
                      <w:highlight w:val="none"/>
                    </w:rPr>
                    <w:t>4</w:t>
                  </w:r>
                </w:p>
              </w:tc>
              <w:tc>
                <w:tcPr>
                  <w:tcW w:w="496" w:type="pct"/>
                  <w:vMerge w:val="continue"/>
                  <w:vAlign w:val="center"/>
                </w:tcPr>
                <w:p>
                  <w:pPr>
                    <w:jc w:val="center"/>
                    <w:rPr>
                      <w:color w:val="auto"/>
                      <w:kern w:val="0"/>
                      <w:szCs w:val="21"/>
                      <w:highlight w:val="none"/>
                    </w:rPr>
                  </w:pPr>
                </w:p>
              </w:tc>
              <w:tc>
                <w:tcPr>
                  <w:tcW w:w="585" w:type="pct"/>
                  <w:vMerge w:val="continue"/>
                  <w:vAlign w:val="center"/>
                </w:tcPr>
                <w:p>
                  <w:pPr>
                    <w:jc w:val="center"/>
                    <w:rPr>
                      <w:color w:val="auto"/>
                      <w:szCs w:val="21"/>
                      <w:highlight w:val="none"/>
                    </w:rPr>
                  </w:pPr>
                </w:p>
              </w:tc>
            </w:tr>
          </w:tbl>
          <w:p>
            <w:pPr>
              <w:pStyle w:val="101"/>
              <w:jc w:val="left"/>
              <w:rPr>
                <w:color w:val="auto"/>
                <w:highlight w:val="none"/>
              </w:rPr>
            </w:pPr>
            <w:r>
              <w:rPr>
                <w:color w:val="auto"/>
                <w:highlight w:val="none"/>
              </w:rPr>
              <w:t>注：*此代码来源于《一般固体废物分类与代码》（GB/T39198-2020）。</w:t>
            </w:r>
          </w:p>
          <w:p>
            <w:pPr>
              <w:spacing w:beforeLines="50" w:line="360" w:lineRule="auto"/>
              <w:jc w:val="center"/>
              <w:rPr>
                <w:b/>
                <w:bCs/>
                <w:color w:val="auto"/>
                <w:sz w:val="24"/>
                <w:highlight w:val="none"/>
                <w:shd w:val="clear" w:color="auto" w:fill="FFFFFF"/>
              </w:rPr>
            </w:pPr>
            <w:r>
              <w:rPr>
                <w:b/>
                <w:bCs/>
                <w:color w:val="auto"/>
                <w:sz w:val="24"/>
                <w:highlight w:val="none"/>
                <w:shd w:val="clear" w:color="auto" w:fill="FFFFFF"/>
              </w:rPr>
              <w:t>表4-</w:t>
            </w:r>
            <w:r>
              <w:rPr>
                <w:rFonts w:hint="eastAsia"/>
                <w:b/>
                <w:bCs/>
                <w:color w:val="auto"/>
                <w:sz w:val="24"/>
                <w:highlight w:val="none"/>
                <w:shd w:val="clear" w:color="auto" w:fill="FFFFFF"/>
              </w:rPr>
              <w:t xml:space="preserve">24 </w:t>
            </w:r>
            <w:r>
              <w:rPr>
                <w:b/>
                <w:bCs/>
                <w:color w:val="auto"/>
                <w:sz w:val="24"/>
                <w:highlight w:val="none"/>
                <w:shd w:val="clear" w:color="auto" w:fill="FFFFFF"/>
              </w:rPr>
              <w:t xml:space="preserve"> 固体废物种类判断表</w:t>
            </w:r>
          </w:p>
          <w:tbl>
            <w:tblPr>
              <w:tblStyle w:val="34"/>
              <w:tblW w:w="4998" w:type="pct"/>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0" w:type="dxa"/>
                <w:bottom w:w="0" w:type="dxa"/>
                <w:right w:w="0" w:type="dxa"/>
              </w:tblCellMar>
            </w:tblPr>
            <w:tblGrid>
              <w:gridCol w:w="801"/>
              <w:gridCol w:w="1254"/>
              <w:gridCol w:w="1129"/>
              <w:gridCol w:w="1378"/>
              <w:gridCol w:w="943"/>
              <w:gridCol w:w="752"/>
              <w:gridCol w:w="754"/>
              <w:gridCol w:w="851"/>
              <w:gridCol w:w="81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20" w:hRule="atLeast"/>
              </w:trPr>
              <w:tc>
                <w:tcPr>
                  <w:tcW w:w="461" w:type="pct"/>
                  <w:vMerge w:val="restart"/>
                  <w:vAlign w:val="center"/>
                </w:tcPr>
                <w:p>
                  <w:pPr>
                    <w:jc w:val="center"/>
                    <w:rPr>
                      <w:color w:val="auto"/>
                      <w:szCs w:val="21"/>
                      <w:highlight w:val="none"/>
                    </w:rPr>
                  </w:pPr>
                  <w:r>
                    <w:rPr>
                      <w:color w:val="auto"/>
                      <w:szCs w:val="21"/>
                      <w:highlight w:val="none"/>
                    </w:rPr>
                    <w:t>序号</w:t>
                  </w:r>
                </w:p>
              </w:tc>
              <w:tc>
                <w:tcPr>
                  <w:tcW w:w="722" w:type="pct"/>
                  <w:vMerge w:val="restart"/>
                  <w:vAlign w:val="center"/>
                </w:tcPr>
                <w:p>
                  <w:pPr>
                    <w:jc w:val="center"/>
                    <w:rPr>
                      <w:color w:val="auto"/>
                      <w:szCs w:val="21"/>
                      <w:highlight w:val="none"/>
                    </w:rPr>
                  </w:pPr>
                  <w:r>
                    <w:rPr>
                      <w:color w:val="auto"/>
                      <w:szCs w:val="21"/>
                      <w:highlight w:val="none"/>
                    </w:rPr>
                    <w:t>副产物</w:t>
                  </w:r>
                </w:p>
                <w:p>
                  <w:pPr>
                    <w:jc w:val="center"/>
                    <w:rPr>
                      <w:color w:val="auto"/>
                      <w:szCs w:val="21"/>
                      <w:highlight w:val="none"/>
                    </w:rPr>
                  </w:pPr>
                  <w:r>
                    <w:rPr>
                      <w:color w:val="auto"/>
                      <w:szCs w:val="21"/>
                      <w:highlight w:val="none"/>
                    </w:rPr>
                    <w:t>名称</w:t>
                  </w:r>
                </w:p>
              </w:tc>
              <w:tc>
                <w:tcPr>
                  <w:tcW w:w="650" w:type="pct"/>
                  <w:vMerge w:val="restart"/>
                  <w:vAlign w:val="center"/>
                </w:tcPr>
                <w:p>
                  <w:pPr>
                    <w:jc w:val="center"/>
                    <w:rPr>
                      <w:color w:val="auto"/>
                      <w:szCs w:val="21"/>
                      <w:highlight w:val="none"/>
                    </w:rPr>
                  </w:pPr>
                  <w:r>
                    <w:rPr>
                      <w:color w:val="auto"/>
                      <w:szCs w:val="21"/>
                      <w:highlight w:val="none"/>
                    </w:rPr>
                    <w:t>产生</w:t>
                  </w:r>
                </w:p>
                <w:p>
                  <w:pPr>
                    <w:jc w:val="center"/>
                    <w:rPr>
                      <w:color w:val="auto"/>
                      <w:szCs w:val="21"/>
                      <w:highlight w:val="none"/>
                    </w:rPr>
                  </w:pPr>
                  <w:r>
                    <w:rPr>
                      <w:color w:val="auto"/>
                      <w:szCs w:val="21"/>
                      <w:highlight w:val="none"/>
                    </w:rPr>
                    <w:t>工序</w:t>
                  </w:r>
                </w:p>
              </w:tc>
              <w:tc>
                <w:tcPr>
                  <w:tcW w:w="793" w:type="pct"/>
                  <w:vMerge w:val="restart"/>
                  <w:vAlign w:val="center"/>
                </w:tcPr>
                <w:p>
                  <w:pPr>
                    <w:jc w:val="center"/>
                    <w:rPr>
                      <w:color w:val="auto"/>
                      <w:szCs w:val="21"/>
                      <w:highlight w:val="none"/>
                    </w:rPr>
                  </w:pPr>
                  <w:r>
                    <w:rPr>
                      <w:color w:val="auto"/>
                      <w:szCs w:val="21"/>
                      <w:highlight w:val="none"/>
                    </w:rPr>
                    <w:t>主要成分</w:t>
                  </w:r>
                </w:p>
              </w:tc>
              <w:tc>
                <w:tcPr>
                  <w:tcW w:w="543" w:type="pct"/>
                  <w:vMerge w:val="restart"/>
                  <w:vAlign w:val="center"/>
                </w:tcPr>
                <w:p>
                  <w:pPr>
                    <w:jc w:val="center"/>
                    <w:rPr>
                      <w:color w:val="auto"/>
                      <w:szCs w:val="21"/>
                      <w:highlight w:val="none"/>
                    </w:rPr>
                  </w:pPr>
                  <w:r>
                    <w:rPr>
                      <w:color w:val="auto"/>
                      <w:szCs w:val="21"/>
                      <w:highlight w:val="none"/>
                    </w:rPr>
                    <w:t>预测产生量（t/a）</w:t>
                  </w:r>
                </w:p>
              </w:tc>
              <w:tc>
                <w:tcPr>
                  <w:tcW w:w="1828" w:type="pct"/>
                  <w:gridSpan w:val="4"/>
                  <w:vAlign w:val="center"/>
                </w:tcPr>
                <w:p>
                  <w:pPr>
                    <w:jc w:val="center"/>
                    <w:rPr>
                      <w:color w:val="auto"/>
                      <w:szCs w:val="21"/>
                      <w:highlight w:val="none"/>
                    </w:rPr>
                  </w:pPr>
                  <w:r>
                    <w:rPr>
                      <w:color w:val="auto"/>
                      <w:szCs w:val="21"/>
                      <w:highlight w:val="none"/>
                    </w:rPr>
                    <w:t>种类判断*</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20" w:hRule="atLeast"/>
              </w:trPr>
              <w:tc>
                <w:tcPr>
                  <w:tcW w:w="461" w:type="pct"/>
                  <w:vMerge w:val="continue"/>
                  <w:vAlign w:val="center"/>
                </w:tcPr>
                <w:p>
                  <w:pPr>
                    <w:jc w:val="center"/>
                    <w:rPr>
                      <w:color w:val="auto"/>
                      <w:szCs w:val="21"/>
                      <w:highlight w:val="none"/>
                    </w:rPr>
                  </w:pPr>
                </w:p>
              </w:tc>
              <w:tc>
                <w:tcPr>
                  <w:tcW w:w="722" w:type="pct"/>
                  <w:vMerge w:val="continue"/>
                  <w:vAlign w:val="center"/>
                </w:tcPr>
                <w:p>
                  <w:pPr>
                    <w:jc w:val="center"/>
                    <w:rPr>
                      <w:color w:val="auto"/>
                      <w:szCs w:val="21"/>
                      <w:highlight w:val="none"/>
                    </w:rPr>
                  </w:pPr>
                </w:p>
              </w:tc>
              <w:tc>
                <w:tcPr>
                  <w:tcW w:w="650" w:type="pct"/>
                  <w:vMerge w:val="continue"/>
                  <w:vAlign w:val="center"/>
                </w:tcPr>
                <w:p>
                  <w:pPr>
                    <w:jc w:val="center"/>
                    <w:rPr>
                      <w:color w:val="auto"/>
                      <w:szCs w:val="21"/>
                      <w:highlight w:val="none"/>
                    </w:rPr>
                  </w:pPr>
                </w:p>
              </w:tc>
              <w:tc>
                <w:tcPr>
                  <w:tcW w:w="793" w:type="pct"/>
                  <w:vMerge w:val="continue"/>
                  <w:vAlign w:val="center"/>
                </w:tcPr>
                <w:p>
                  <w:pPr>
                    <w:jc w:val="center"/>
                    <w:rPr>
                      <w:color w:val="auto"/>
                      <w:szCs w:val="21"/>
                      <w:highlight w:val="none"/>
                    </w:rPr>
                  </w:pPr>
                </w:p>
              </w:tc>
              <w:tc>
                <w:tcPr>
                  <w:tcW w:w="543" w:type="pct"/>
                  <w:vMerge w:val="continue"/>
                  <w:vAlign w:val="center"/>
                </w:tcPr>
                <w:p>
                  <w:pPr>
                    <w:jc w:val="center"/>
                    <w:rPr>
                      <w:color w:val="auto"/>
                      <w:szCs w:val="21"/>
                      <w:highlight w:val="none"/>
                    </w:rPr>
                  </w:pPr>
                </w:p>
              </w:tc>
              <w:tc>
                <w:tcPr>
                  <w:tcW w:w="433" w:type="pct"/>
                  <w:vMerge w:val="restart"/>
                  <w:vAlign w:val="center"/>
                </w:tcPr>
                <w:p>
                  <w:pPr>
                    <w:jc w:val="center"/>
                    <w:rPr>
                      <w:color w:val="auto"/>
                      <w:szCs w:val="21"/>
                      <w:highlight w:val="none"/>
                    </w:rPr>
                  </w:pPr>
                  <w:r>
                    <w:rPr>
                      <w:color w:val="auto"/>
                      <w:szCs w:val="21"/>
                      <w:highlight w:val="none"/>
                    </w:rPr>
                    <w:t>固体</w:t>
                  </w:r>
                </w:p>
                <w:p>
                  <w:pPr>
                    <w:jc w:val="center"/>
                    <w:rPr>
                      <w:color w:val="auto"/>
                      <w:szCs w:val="21"/>
                      <w:highlight w:val="none"/>
                    </w:rPr>
                  </w:pPr>
                  <w:r>
                    <w:rPr>
                      <w:color w:val="auto"/>
                      <w:szCs w:val="21"/>
                      <w:highlight w:val="none"/>
                    </w:rPr>
                    <w:t>废物</w:t>
                  </w:r>
                </w:p>
              </w:tc>
              <w:tc>
                <w:tcPr>
                  <w:tcW w:w="434" w:type="pct"/>
                  <w:vMerge w:val="restart"/>
                  <w:vAlign w:val="center"/>
                </w:tcPr>
                <w:p>
                  <w:pPr>
                    <w:jc w:val="center"/>
                    <w:rPr>
                      <w:color w:val="auto"/>
                      <w:szCs w:val="21"/>
                      <w:highlight w:val="none"/>
                    </w:rPr>
                  </w:pPr>
                  <w:r>
                    <w:rPr>
                      <w:color w:val="auto"/>
                      <w:szCs w:val="21"/>
                      <w:highlight w:val="none"/>
                    </w:rPr>
                    <w:t>副产品</w:t>
                  </w:r>
                </w:p>
              </w:tc>
              <w:tc>
                <w:tcPr>
                  <w:tcW w:w="959" w:type="pct"/>
                  <w:gridSpan w:val="2"/>
                  <w:tcBorders>
                    <w:bottom w:val="single" w:color="auto" w:sz="4" w:space="0"/>
                  </w:tcBorders>
                  <w:vAlign w:val="center"/>
                </w:tcPr>
                <w:p>
                  <w:pPr>
                    <w:jc w:val="center"/>
                    <w:rPr>
                      <w:color w:val="auto"/>
                      <w:szCs w:val="21"/>
                      <w:highlight w:val="none"/>
                    </w:rPr>
                  </w:pPr>
                  <w:r>
                    <w:rPr>
                      <w:color w:val="auto"/>
                      <w:szCs w:val="21"/>
                      <w:highlight w:val="none"/>
                    </w:rPr>
                    <w:t>判定依据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20" w:hRule="atLeast"/>
              </w:trPr>
              <w:tc>
                <w:tcPr>
                  <w:tcW w:w="461" w:type="pct"/>
                  <w:vMerge w:val="continue"/>
                  <w:vAlign w:val="center"/>
                </w:tcPr>
                <w:p>
                  <w:pPr>
                    <w:jc w:val="center"/>
                    <w:rPr>
                      <w:color w:val="auto"/>
                      <w:szCs w:val="21"/>
                      <w:highlight w:val="none"/>
                    </w:rPr>
                  </w:pPr>
                </w:p>
              </w:tc>
              <w:tc>
                <w:tcPr>
                  <w:tcW w:w="722" w:type="pct"/>
                  <w:vMerge w:val="continue"/>
                  <w:vAlign w:val="center"/>
                </w:tcPr>
                <w:p>
                  <w:pPr>
                    <w:jc w:val="center"/>
                    <w:rPr>
                      <w:color w:val="auto"/>
                      <w:szCs w:val="21"/>
                      <w:highlight w:val="none"/>
                    </w:rPr>
                  </w:pPr>
                </w:p>
              </w:tc>
              <w:tc>
                <w:tcPr>
                  <w:tcW w:w="650" w:type="pct"/>
                  <w:vMerge w:val="continue"/>
                  <w:vAlign w:val="center"/>
                </w:tcPr>
                <w:p>
                  <w:pPr>
                    <w:jc w:val="center"/>
                    <w:rPr>
                      <w:color w:val="auto"/>
                      <w:szCs w:val="21"/>
                      <w:highlight w:val="none"/>
                    </w:rPr>
                  </w:pPr>
                </w:p>
              </w:tc>
              <w:tc>
                <w:tcPr>
                  <w:tcW w:w="793" w:type="pct"/>
                  <w:vMerge w:val="continue"/>
                  <w:vAlign w:val="center"/>
                </w:tcPr>
                <w:p>
                  <w:pPr>
                    <w:jc w:val="center"/>
                    <w:rPr>
                      <w:color w:val="auto"/>
                      <w:szCs w:val="21"/>
                      <w:highlight w:val="none"/>
                    </w:rPr>
                  </w:pPr>
                </w:p>
              </w:tc>
              <w:tc>
                <w:tcPr>
                  <w:tcW w:w="543" w:type="pct"/>
                  <w:vMerge w:val="continue"/>
                  <w:vAlign w:val="center"/>
                </w:tcPr>
                <w:p>
                  <w:pPr>
                    <w:jc w:val="center"/>
                    <w:rPr>
                      <w:color w:val="auto"/>
                      <w:szCs w:val="21"/>
                      <w:highlight w:val="none"/>
                    </w:rPr>
                  </w:pPr>
                </w:p>
              </w:tc>
              <w:tc>
                <w:tcPr>
                  <w:tcW w:w="433" w:type="pct"/>
                  <w:vMerge w:val="continue"/>
                  <w:vAlign w:val="center"/>
                </w:tcPr>
                <w:p>
                  <w:pPr>
                    <w:jc w:val="center"/>
                    <w:rPr>
                      <w:color w:val="auto"/>
                      <w:szCs w:val="21"/>
                      <w:highlight w:val="none"/>
                    </w:rPr>
                  </w:pPr>
                </w:p>
              </w:tc>
              <w:tc>
                <w:tcPr>
                  <w:tcW w:w="434" w:type="pct"/>
                  <w:vMerge w:val="continue"/>
                  <w:vAlign w:val="center"/>
                </w:tcPr>
                <w:p>
                  <w:pPr>
                    <w:jc w:val="center"/>
                    <w:rPr>
                      <w:color w:val="auto"/>
                      <w:szCs w:val="21"/>
                      <w:highlight w:val="none"/>
                    </w:rPr>
                  </w:pPr>
                </w:p>
              </w:tc>
              <w:tc>
                <w:tcPr>
                  <w:tcW w:w="490" w:type="pct"/>
                  <w:tcBorders>
                    <w:top w:val="single" w:color="auto" w:sz="4" w:space="0"/>
                    <w:right w:val="single" w:color="auto" w:sz="4" w:space="0"/>
                  </w:tcBorders>
                  <w:vAlign w:val="center"/>
                </w:tcPr>
                <w:p>
                  <w:pPr>
                    <w:jc w:val="center"/>
                    <w:rPr>
                      <w:color w:val="auto"/>
                      <w:szCs w:val="21"/>
                      <w:highlight w:val="none"/>
                    </w:rPr>
                  </w:pPr>
                  <w:r>
                    <w:rPr>
                      <w:color w:val="auto"/>
                      <w:szCs w:val="21"/>
                      <w:highlight w:val="none"/>
                    </w:rPr>
                    <w:t>产生</w:t>
                  </w:r>
                </w:p>
                <w:p>
                  <w:pPr>
                    <w:jc w:val="center"/>
                    <w:rPr>
                      <w:color w:val="auto"/>
                      <w:szCs w:val="21"/>
                      <w:highlight w:val="none"/>
                    </w:rPr>
                  </w:pPr>
                  <w:r>
                    <w:rPr>
                      <w:color w:val="auto"/>
                      <w:szCs w:val="21"/>
                      <w:highlight w:val="none"/>
                    </w:rPr>
                    <w:t>来源</w:t>
                  </w:r>
                </w:p>
              </w:tc>
              <w:tc>
                <w:tcPr>
                  <w:tcW w:w="469" w:type="pct"/>
                  <w:tcBorders>
                    <w:top w:val="single" w:color="auto" w:sz="4" w:space="0"/>
                    <w:left w:val="single" w:color="auto" w:sz="4" w:space="0"/>
                  </w:tcBorders>
                  <w:vAlign w:val="center"/>
                </w:tcPr>
                <w:p>
                  <w:pPr>
                    <w:jc w:val="center"/>
                    <w:rPr>
                      <w:color w:val="auto"/>
                      <w:szCs w:val="21"/>
                      <w:highlight w:val="none"/>
                    </w:rPr>
                  </w:pPr>
                  <w:r>
                    <w:rPr>
                      <w:color w:val="auto"/>
                      <w:szCs w:val="21"/>
                      <w:highlight w:val="none"/>
                    </w:rPr>
                    <w:t>利用</w:t>
                  </w:r>
                </w:p>
                <w:p>
                  <w:pPr>
                    <w:jc w:val="center"/>
                    <w:rPr>
                      <w:color w:val="auto"/>
                      <w:szCs w:val="21"/>
                      <w:highlight w:val="none"/>
                    </w:rPr>
                  </w:pPr>
                  <w:r>
                    <w:rPr>
                      <w:color w:val="auto"/>
                      <w:szCs w:val="21"/>
                      <w:highlight w:val="none"/>
                    </w:rPr>
                    <w:t>处置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20" w:hRule="atLeast"/>
              </w:trPr>
              <w:tc>
                <w:tcPr>
                  <w:tcW w:w="461" w:type="pct"/>
                  <w:tcBorders>
                    <w:bottom w:val="single" w:color="auto" w:sz="4" w:space="0"/>
                  </w:tcBorders>
                  <w:shd w:val="clear" w:color="auto" w:fill="FFFFFF"/>
                  <w:vAlign w:val="center"/>
                </w:tcPr>
                <w:p>
                  <w:pPr>
                    <w:jc w:val="center"/>
                    <w:rPr>
                      <w:bCs/>
                      <w:color w:val="auto"/>
                      <w:szCs w:val="21"/>
                      <w:highlight w:val="none"/>
                    </w:rPr>
                  </w:pPr>
                  <w:r>
                    <w:rPr>
                      <w:bCs/>
                      <w:color w:val="auto"/>
                      <w:szCs w:val="21"/>
                      <w:highlight w:val="none"/>
                    </w:rPr>
                    <w:t>S1-</w:t>
                  </w:r>
                  <w:r>
                    <w:rPr>
                      <w:rFonts w:hint="eastAsia"/>
                      <w:bCs/>
                      <w:color w:val="auto"/>
                      <w:szCs w:val="21"/>
                      <w:highlight w:val="none"/>
                    </w:rPr>
                    <w:t>5</w:t>
                  </w:r>
                </w:p>
              </w:tc>
              <w:tc>
                <w:tcPr>
                  <w:tcW w:w="722" w:type="pct"/>
                  <w:tcBorders>
                    <w:bottom w:val="single" w:color="auto" w:sz="4" w:space="0"/>
                  </w:tcBorders>
                  <w:shd w:val="clear" w:color="auto" w:fill="FFFFFF"/>
                  <w:vAlign w:val="center"/>
                </w:tcPr>
                <w:p>
                  <w:pPr>
                    <w:jc w:val="center"/>
                    <w:rPr>
                      <w:bCs/>
                      <w:color w:val="auto"/>
                      <w:szCs w:val="21"/>
                      <w:highlight w:val="none"/>
                    </w:rPr>
                  </w:pPr>
                  <w:r>
                    <w:rPr>
                      <w:bCs/>
                      <w:color w:val="auto"/>
                      <w:szCs w:val="21"/>
                      <w:highlight w:val="none"/>
                    </w:rPr>
                    <w:t>清洗废液</w:t>
                  </w:r>
                </w:p>
              </w:tc>
              <w:tc>
                <w:tcPr>
                  <w:tcW w:w="650" w:type="pct"/>
                  <w:vMerge w:val="restart"/>
                  <w:vAlign w:val="center"/>
                </w:tcPr>
                <w:p>
                  <w:pPr>
                    <w:jc w:val="center"/>
                    <w:rPr>
                      <w:bCs/>
                      <w:color w:val="auto"/>
                      <w:szCs w:val="21"/>
                      <w:highlight w:val="none"/>
                    </w:rPr>
                  </w:pPr>
                  <w:r>
                    <w:rPr>
                      <w:bCs/>
                      <w:color w:val="auto"/>
                      <w:szCs w:val="21"/>
                      <w:highlight w:val="none"/>
                    </w:rPr>
                    <w:t>零部件清洗</w:t>
                  </w:r>
                </w:p>
              </w:tc>
              <w:tc>
                <w:tcPr>
                  <w:tcW w:w="793" w:type="pct"/>
                  <w:tcBorders>
                    <w:bottom w:val="single" w:color="auto" w:sz="4" w:space="0"/>
                  </w:tcBorders>
                  <w:vAlign w:val="center"/>
                </w:tcPr>
                <w:p>
                  <w:pPr>
                    <w:jc w:val="center"/>
                    <w:rPr>
                      <w:color w:val="auto"/>
                      <w:kern w:val="0"/>
                      <w:szCs w:val="21"/>
                      <w:highlight w:val="none"/>
                    </w:rPr>
                  </w:pPr>
                  <w:r>
                    <w:rPr>
                      <w:color w:val="auto"/>
                      <w:kern w:val="0"/>
                      <w:szCs w:val="21"/>
                      <w:highlight w:val="none"/>
                    </w:rPr>
                    <w:t>乙醇、丙酮</w:t>
                  </w:r>
                </w:p>
              </w:tc>
              <w:tc>
                <w:tcPr>
                  <w:tcW w:w="543" w:type="pct"/>
                  <w:tcBorders>
                    <w:bottom w:val="single" w:color="auto" w:sz="4" w:space="0"/>
                  </w:tcBorders>
                  <w:vAlign w:val="center"/>
                </w:tcPr>
                <w:p>
                  <w:pPr>
                    <w:jc w:val="center"/>
                    <w:rPr>
                      <w:color w:val="auto"/>
                      <w:kern w:val="0"/>
                      <w:szCs w:val="21"/>
                      <w:highlight w:val="none"/>
                    </w:rPr>
                  </w:pPr>
                  <w:r>
                    <w:rPr>
                      <w:color w:val="auto"/>
                      <w:kern w:val="0"/>
                      <w:szCs w:val="21"/>
                      <w:highlight w:val="none"/>
                    </w:rPr>
                    <w:t>5.4</w:t>
                  </w:r>
                </w:p>
              </w:tc>
              <w:tc>
                <w:tcPr>
                  <w:tcW w:w="433" w:type="pct"/>
                  <w:tcBorders>
                    <w:bottom w:val="single" w:color="auto" w:sz="4" w:space="0"/>
                  </w:tcBorders>
                  <w:vAlign w:val="center"/>
                </w:tcPr>
                <w:p>
                  <w:pPr>
                    <w:jc w:val="center"/>
                    <w:rPr>
                      <w:color w:val="auto"/>
                      <w:szCs w:val="21"/>
                      <w:highlight w:val="none"/>
                    </w:rPr>
                  </w:pPr>
                  <w:r>
                    <w:rPr>
                      <w:color w:val="auto"/>
                      <w:szCs w:val="21"/>
                      <w:highlight w:val="none"/>
                    </w:rPr>
                    <w:t>√</w:t>
                  </w:r>
                </w:p>
              </w:tc>
              <w:tc>
                <w:tcPr>
                  <w:tcW w:w="434" w:type="pct"/>
                  <w:tcBorders>
                    <w:bottom w:val="single" w:color="auto" w:sz="4" w:space="0"/>
                  </w:tcBorders>
                  <w:vAlign w:val="center"/>
                </w:tcPr>
                <w:p>
                  <w:pPr>
                    <w:jc w:val="center"/>
                    <w:rPr>
                      <w:color w:val="auto"/>
                      <w:szCs w:val="21"/>
                      <w:highlight w:val="none"/>
                    </w:rPr>
                  </w:pPr>
                  <w:r>
                    <w:rPr>
                      <w:color w:val="auto"/>
                      <w:szCs w:val="21"/>
                      <w:highlight w:val="none"/>
                    </w:rPr>
                    <w:t>--</w:t>
                  </w:r>
                </w:p>
              </w:tc>
              <w:tc>
                <w:tcPr>
                  <w:tcW w:w="490" w:type="pct"/>
                  <w:tcBorders>
                    <w:top w:val="single" w:color="auto" w:sz="4" w:space="0"/>
                    <w:bottom w:val="single" w:color="auto" w:sz="4" w:space="0"/>
                    <w:right w:val="single" w:color="auto" w:sz="4" w:space="0"/>
                  </w:tcBorders>
                  <w:vAlign w:val="center"/>
                </w:tcPr>
                <w:p>
                  <w:pPr>
                    <w:jc w:val="center"/>
                    <w:rPr>
                      <w:color w:val="auto"/>
                      <w:szCs w:val="21"/>
                      <w:highlight w:val="none"/>
                    </w:rPr>
                  </w:pPr>
                  <w:r>
                    <w:rPr>
                      <w:color w:val="auto"/>
                      <w:szCs w:val="21"/>
                      <w:highlight w:val="none"/>
                    </w:rPr>
                    <w:t>4.1-(c)</w:t>
                  </w:r>
                </w:p>
              </w:tc>
              <w:tc>
                <w:tcPr>
                  <w:tcW w:w="469" w:type="pct"/>
                  <w:tcBorders>
                    <w:top w:val="single" w:color="auto" w:sz="4" w:space="0"/>
                    <w:left w:val="single" w:color="auto" w:sz="4" w:space="0"/>
                    <w:bottom w:val="single" w:color="auto" w:sz="4" w:space="0"/>
                  </w:tcBorders>
                  <w:vAlign w:val="center"/>
                </w:tcPr>
                <w:p>
                  <w:pPr>
                    <w:jc w:val="center"/>
                    <w:rPr>
                      <w:color w:val="auto"/>
                      <w:szCs w:val="21"/>
                      <w:highlight w:val="none"/>
                    </w:rPr>
                  </w:pPr>
                  <w:r>
                    <w:rPr>
                      <w:color w:val="auto"/>
                      <w:szCs w:val="21"/>
                      <w:highlight w:val="none"/>
                    </w:rPr>
                    <w:t>5.1-(e)</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20" w:hRule="atLeast"/>
              </w:trPr>
              <w:tc>
                <w:tcPr>
                  <w:tcW w:w="461" w:type="pct"/>
                  <w:tcBorders>
                    <w:top w:val="single" w:color="auto" w:sz="4" w:space="0"/>
                  </w:tcBorders>
                  <w:shd w:val="clear" w:color="auto" w:fill="FFFFFF"/>
                  <w:vAlign w:val="center"/>
                </w:tcPr>
                <w:p>
                  <w:pPr>
                    <w:jc w:val="center"/>
                    <w:rPr>
                      <w:bCs/>
                      <w:color w:val="auto"/>
                      <w:szCs w:val="21"/>
                      <w:highlight w:val="none"/>
                    </w:rPr>
                  </w:pPr>
                  <w:r>
                    <w:rPr>
                      <w:bCs/>
                      <w:color w:val="auto"/>
                      <w:szCs w:val="21"/>
                      <w:highlight w:val="none"/>
                    </w:rPr>
                    <w:t>S</w:t>
                  </w:r>
                  <w:r>
                    <w:rPr>
                      <w:rFonts w:hint="eastAsia"/>
                      <w:bCs/>
                      <w:color w:val="auto"/>
                      <w:szCs w:val="21"/>
                      <w:highlight w:val="none"/>
                    </w:rPr>
                    <w:t>8</w:t>
                  </w:r>
                </w:p>
              </w:tc>
              <w:tc>
                <w:tcPr>
                  <w:tcW w:w="722" w:type="pct"/>
                  <w:tcBorders>
                    <w:top w:val="single" w:color="auto" w:sz="4" w:space="0"/>
                  </w:tcBorders>
                  <w:shd w:val="clear" w:color="auto" w:fill="FFFFFF"/>
                  <w:vAlign w:val="center"/>
                </w:tcPr>
                <w:p>
                  <w:pPr>
                    <w:jc w:val="center"/>
                    <w:rPr>
                      <w:bCs/>
                      <w:color w:val="auto"/>
                      <w:szCs w:val="21"/>
                      <w:highlight w:val="none"/>
                    </w:rPr>
                  </w:pPr>
                  <w:r>
                    <w:rPr>
                      <w:bCs/>
                      <w:color w:val="auto"/>
                      <w:szCs w:val="21"/>
                      <w:highlight w:val="none"/>
                    </w:rPr>
                    <w:t>废包装瓶</w:t>
                  </w:r>
                </w:p>
              </w:tc>
              <w:tc>
                <w:tcPr>
                  <w:tcW w:w="650" w:type="pct"/>
                  <w:vMerge w:val="continue"/>
                  <w:vAlign w:val="center"/>
                </w:tcPr>
                <w:p>
                  <w:pPr>
                    <w:jc w:val="center"/>
                    <w:rPr>
                      <w:bCs/>
                      <w:color w:val="auto"/>
                      <w:szCs w:val="21"/>
                      <w:highlight w:val="none"/>
                    </w:rPr>
                  </w:pPr>
                </w:p>
              </w:tc>
              <w:tc>
                <w:tcPr>
                  <w:tcW w:w="793" w:type="pct"/>
                  <w:tcBorders>
                    <w:top w:val="single" w:color="auto" w:sz="4" w:space="0"/>
                  </w:tcBorders>
                  <w:vAlign w:val="center"/>
                </w:tcPr>
                <w:p>
                  <w:pPr>
                    <w:jc w:val="center"/>
                    <w:rPr>
                      <w:color w:val="auto"/>
                      <w:kern w:val="0"/>
                      <w:szCs w:val="21"/>
                      <w:highlight w:val="none"/>
                    </w:rPr>
                  </w:pPr>
                  <w:r>
                    <w:rPr>
                      <w:color w:val="auto"/>
                      <w:kern w:val="0"/>
                      <w:szCs w:val="21"/>
                      <w:highlight w:val="none"/>
                    </w:rPr>
                    <w:t>乙醇、丙酮</w:t>
                  </w:r>
                </w:p>
              </w:tc>
              <w:tc>
                <w:tcPr>
                  <w:tcW w:w="543" w:type="pct"/>
                  <w:tcBorders>
                    <w:top w:val="single" w:color="auto" w:sz="4" w:space="0"/>
                  </w:tcBorders>
                  <w:vAlign w:val="center"/>
                </w:tcPr>
                <w:p>
                  <w:pPr>
                    <w:jc w:val="center"/>
                    <w:rPr>
                      <w:color w:val="auto"/>
                      <w:kern w:val="0"/>
                      <w:szCs w:val="21"/>
                      <w:highlight w:val="none"/>
                    </w:rPr>
                  </w:pPr>
                  <w:r>
                    <w:rPr>
                      <w:color w:val="auto"/>
                      <w:kern w:val="0"/>
                      <w:szCs w:val="21"/>
                      <w:highlight w:val="none"/>
                    </w:rPr>
                    <w:t>0.5</w:t>
                  </w:r>
                </w:p>
              </w:tc>
              <w:tc>
                <w:tcPr>
                  <w:tcW w:w="433" w:type="pct"/>
                  <w:tcBorders>
                    <w:top w:val="single" w:color="auto" w:sz="4" w:space="0"/>
                  </w:tcBorders>
                  <w:vAlign w:val="center"/>
                </w:tcPr>
                <w:p>
                  <w:pPr>
                    <w:jc w:val="center"/>
                    <w:rPr>
                      <w:color w:val="auto"/>
                      <w:szCs w:val="21"/>
                      <w:highlight w:val="none"/>
                    </w:rPr>
                  </w:pPr>
                  <w:r>
                    <w:rPr>
                      <w:color w:val="auto"/>
                      <w:szCs w:val="21"/>
                      <w:highlight w:val="none"/>
                    </w:rPr>
                    <w:t>√</w:t>
                  </w:r>
                </w:p>
              </w:tc>
              <w:tc>
                <w:tcPr>
                  <w:tcW w:w="434" w:type="pct"/>
                  <w:tcBorders>
                    <w:top w:val="single" w:color="auto" w:sz="4" w:space="0"/>
                  </w:tcBorders>
                  <w:vAlign w:val="center"/>
                </w:tcPr>
                <w:p>
                  <w:pPr>
                    <w:jc w:val="center"/>
                    <w:rPr>
                      <w:color w:val="auto"/>
                      <w:szCs w:val="21"/>
                      <w:highlight w:val="none"/>
                    </w:rPr>
                  </w:pPr>
                  <w:r>
                    <w:rPr>
                      <w:color w:val="auto"/>
                      <w:szCs w:val="21"/>
                      <w:highlight w:val="none"/>
                    </w:rPr>
                    <w:t>--</w:t>
                  </w:r>
                </w:p>
              </w:tc>
              <w:tc>
                <w:tcPr>
                  <w:tcW w:w="490" w:type="pct"/>
                  <w:tcBorders>
                    <w:top w:val="single" w:color="auto" w:sz="4" w:space="0"/>
                    <w:bottom w:val="single" w:color="auto" w:sz="4" w:space="0"/>
                    <w:right w:val="single" w:color="auto" w:sz="4" w:space="0"/>
                  </w:tcBorders>
                  <w:vAlign w:val="center"/>
                </w:tcPr>
                <w:p>
                  <w:pPr>
                    <w:jc w:val="center"/>
                    <w:rPr>
                      <w:color w:val="auto"/>
                      <w:szCs w:val="21"/>
                      <w:highlight w:val="none"/>
                    </w:rPr>
                  </w:pPr>
                  <w:r>
                    <w:rPr>
                      <w:color w:val="auto"/>
                      <w:szCs w:val="21"/>
                      <w:highlight w:val="none"/>
                    </w:rPr>
                    <w:t>4.1-(c)</w:t>
                  </w:r>
                </w:p>
              </w:tc>
              <w:tc>
                <w:tcPr>
                  <w:tcW w:w="469" w:type="pct"/>
                  <w:tcBorders>
                    <w:top w:val="single" w:color="auto" w:sz="4" w:space="0"/>
                    <w:left w:val="single" w:color="auto" w:sz="4" w:space="0"/>
                    <w:bottom w:val="single" w:color="auto" w:sz="4" w:space="0"/>
                  </w:tcBorders>
                  <w:vAlign w:val="center"/>
                </w:tcPr>
                <w:p>
                  <w:pPr>
                    <w:jc w:val="center"/>
                    <w:rPr>
                      <w:color w:val="auto"/>
                      <w:szCs w:val="21"/>
                      <w:highlight w:val="none"/>
                    </w:rPr>
                  </w:pPr>
                  <w:r>
                    <w:rPr>
                      <w:color w:val="auto"/>
                      <w:szCs w:val="21"/>
                      <w:highlight w:val="none"/>
                    </w:rPr>
                    <w:t>5.1-(e)</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20" w:hRule="atLeast"/>
              </w:trPr>
              <w:tc>
                <w:tcPr>
                  <w:tcW w:w="461" w:type="pct"/>
                  <w:shd w:val="clear" w:color="auto" w:fill="FFFFFF"/>
                  <w:vAlign w:val="center"/>
                </w:tcPr>
                <w:p>
                  <w:pPr>
                    <w:jc w:val="center"/>
                    <w:rPr>
                      <w:bCs/>
                      <w:color w:val="auto"/>
                      <w:szCs w:val="21"/>
                      <w:highlight w:val="none"/>
                    </w:rPr>
                  </w:pPr>
                  <w:r>
                    <w:rPr>
                      <w:bCs/>
                      <w:color w:val="auto"/>
                      <w:szCs w:val="21"/>
                      <w:highlight w:val="none"/>
                    </w:rPr>
                    <w:t>S</w:t>
                  </w:r>
                  <w:r>
                    <w:rPr>
                      <w:rFonts w:hint="eastAsia"/>
                      <w:bCs/>
                      <w:color w:val="auto"/>
                      <w:szCs w:val="21"/>
                      <w:highlight w:val="none"/>
                    </w:rPr>
                    <w:t>9</w:t>
                  </w:r>
                </w:p>
              </w:tc>
              <w:tc>
                <w:tcPr>
                  <w:tcW w:w="722" w:type="pct"/>
                  <w:shd w:val="clear" w:color="auto" w:fill="FFFFFF"/>
                  <w:vAlign w:val="center"/>
                </w:tcPr>
                <w:p>
                  <w:pPr>
                    <w:jc w:val="center"/>
                    <w:rPr>
                      <w:bCs/>
                      <w:color w:val="auto"/>
                      <w:szCs w:val="21"/>
                      <w:highlight w:val="none"/>
                    </w:rPr>
                  </w:pPr>
                  <w:r>
                    <w:rPr>
                      <w:bCs/>
                      <w:color w:val="auto"/>
                      <w:szCs w:val="21"/>
                      <w:highlight w:val="none"/>
                    </w:rPr>
                    <w:t>废润滑油</w:t>
                  </w:r>
                </w:p>
              </w:tc>
              <w:tc>
                <w:tcPr>
                  <w:tcW w:w="650" w:type="pct"/>
                  <w:vMerge w:val="continue"/>
                  <w:vAlign w:val="center"/>
                </w:tcPr>
                <w:p>
                  <w:pPr>
                    <w:jc w:val="center"/>
                    <w:rPr>
                      <w:bCs/>
                      <w:color w:val="auto"/>
                      <w:szCs w:val="21"/>
                      <w:highlight w:val="none"/>
                    </w:rPr>
                  </w:pPr>
                </w:p>
              </w:tc>
              <w:tc>
                <w:tcPr>
                  <w:tcW w:w="793" w:type="pct"/>
                  <w:vAlign w:val="center"/>
                </w:tcPr>
                <w:p>
                  <w:pPr>
                    <w:jc w:val="center"/>
                    <w:rPr>
                      <w:color w:val="auto"/>
                      <w:kern w:val="0"/>
                      <w:szCs w:val="21"/>
                      <w:highlight w:val="none"/>
                    </w:rPr>
                  </w:pPr>
                  <w:r>
                    <w:rPr>
                      <w:color w:val="auto"/>
                      <w:kern w:val="0"/>
                      <w:szCs w:val="21"/>
                      <w:highlight w:val="none"/>
                    </w:rPr>
                    <w:t>矿物油</w:t>
                  </w:r>
                </w:p>
              </w:tc>
              <w:tc>
                <w:tcPr>
                  <w:tcW w:w="543" w:type="pct"/>
                  <w:vAlign w:val="center"/>
                </w:tcPr>
                <w:p>
                  <w:pPr>
                    <w:jc w:val="center"/>
                    <w:rPr>
                      <w:color w:val="auto"/>
                      <w:kern w:val="0"/>
                      <w:szCs w:val="21"/>
                      <w:highlight w:val="none"/>
                    </w:rPr>
                  </w:pPr>
                  <w:r>
                    <w:rPr>
                      <w:color w:val="auto"/>
                      <w:kern w:val="0"/>
                      <w:szCs w:val="21"/>
                      <w:highlight w:val="none"/>
                    </w:rPr>
                    <w:t>0.1</w:t>
                  </w:r>
                </w:p>
              </w:tc>
              <w:tc>
                <w:tcPr>
                  <w:tcW w:w="433" w:type="pct"/>
                  <w:vAlign w:val="center"/>
                </w:tcPr>
                <w:p>
                  <w:pPr>
                    <w:jc w:val="center"/>
                    <w:rPr>
                      <w:color w:val="auto"/>
                      <w:szCs w:val="21"/>
                      <w:highlight w:val="none"/>
                    </w:rPr>
                  </w:pPr>
                  <w:r>
                    <w:rPr>
                      <w:color w:val="auto"/>
                      <w:szCs w:val="21"/>
                      <w:highlight w:val="none"/>
                    </w:rPr>
                    <w:t>√</w:t>
                  </w:r>
                </w:p>
              </w:tc>
              <w:tc>
                <w:tcPr>
                  <w:tcW w:w="434" w:type="pct"/>
                  <w:vAlign w:val="center"/>
                </w:tcPr>
                <w:p>
                  <w:pPr>
                    <w:jc w:val="center"/>
                    <w:rPr>
                      <w:color w:val="auto"/>
                      <w:szCs w:val="21"/>
                      <w:highlight w:val="none"/>
                    </w:rPr>
                  </w:pPr>
                  <w:r>
                    <w:rPr>
                      <w:color w:val="auto"/>
                      <w:szCs w:val="21"/>
                      <w:highlight w:val="none"/>
                    </w:rPr>
                    <w:t>--</w:t>
                  </w:r>
                </w:p>
              </w:tc>
              <w:tc>
                <w:tcPr>
                  <w:tcW w:w="490" w:type="pct"/>
                  <w:tcBorders>
                    <w:top w:val="single" w:color="auto" w:sz="4" w:space="0"/>
                    <w:right w:val="single" w:color="auto" w:sz="4" w:space="0"/>
                  </w:tcBorders>
                  <w:vAlign w:val="center"/>
                </w:tcPr>
                <w:p>
                  <w:pPr>
                    <w:jc w:val="center"/>
                    <w:rPr>
                      <w:color w:val="auto"/>
                      <w:szCs w:val="21"/>
                      <w:highlight w:val="none"/>
                    </w:rPr>
                  </w:pPr>
                  <w:r>
                    <w:rPr>
                      <w:color w:val="auto"/>
                      <w:szCs w:val="21"/>
                      <w:highlight w:val="none"/>
                    </w:rPr>
                    <w:t>4.1-(c)</w:t>
                  </w:r>
                </w:p>
              </w:tc>
              <w:tc>
                <w:tcPr>
                  <w:tcW w:w="469" w:type="pct"/>
                  <w:tcBorders>
                    <w:top w:val="single" w:color="auto" w:sz="4" w:space="0"/>
                    <w:left w:val="single" w:color="auto" w:sz="4" w:space="0"/>
                  </w:tcBorders>
                  <w:vAlign w:val="center"/>
                </w:tcPr>
                <w:p>
                  <w:pPr>
                    <w:jc w:val="center"/>
                    <w:rPr>
                      <w:color w:val="auto"/>
                      <w:szCs w:val="21"/>
                      <w:highlight w:val="none"/>
                    </w:rPr>
                  </w:pPr>
                  <w:r>
                    <w:rPr>
                      <w:color w:val="auto"/>
                      <w:szCs w:val="21"/>
                      <w:highlight w:val="none"/>
                    </w:rPr>
                    <w:t>5.1-(e)</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20" w:hRule="atLeast"/>
              </w:trPr>
              <w:tc>
                <w:tcPr>
                  <w:tcW w:w="461" w:type="pct"/>
                  <w:tcBorders>
                    <w:top w:val="single" w:color="auto" w:sz="4" w:space="0"/>
                    <w:bottom w:val="single" w:color="auto" w:sz="4" w:space="0"/>
                  </w:tcBorders>
                  <w:shd w:val="clear" w:color="auto" w:fill="FFFFFF"/>
                  <w:vAlign w:val="center"/>
                </w:tcPr>
                <w:p>
                  <w:pPr>
                    <w:jc w:val="center"/>
                    <w:rPr>
                      <w:bCs/>
                      <w:color w:val="auto"/>
                      <w:szCs w:val="21"/>
                      <w:highlight w:val="none"/>
                    </w:rPr>
                  </w:pPr>
                  <w:r>
                    <w:rPr>
                      <w:bCs/>
                      <w:color w:val="auto"/>
                      <w:szCs w:val="21"/>
                      <w:highlight w:val="none"/>
                    </w:rPr>
                    <w:t>S1</w:t>
                  </w:r>
                  <w:r>
                    <w:rPr>
                      <w:rFonts w:hint="eastAsia"/>
                      <w:bCs/>
                      <w:color w:val="auto"/>
                      <w:szCs w:val="21"/>
                      <w:highlight w:val="none"/>
                    </w:rPr>
                    <w:t>0</w:t>
                  </w:r>
                </w:p>
              </w:tc>
              <w:tc>
                <w:tcPr>
                  <w:tcW w:w="722" w:type="pct"/>
                  <w:tcBorders>
                    <w:top w:val="single" w:color="auto" w:sz="4" w:space="0"/>
                    <w:bottom w:val="single" w:color="auto" w:sz="4" w:space="0"/>
                  </w:tcBorders>
                  <w:shd w:val="clear" w:color="auto" w:fill="FFFFFF"/>
                  <w:vAlign w:val="center"/>
                </w:tcPr>
                <w:p>
                  <w:pPr>
                    <w:jc w:val="center"/>
                    <w:rPr>
                      <w:bCs/>
                      <w:color w:val="auto"/>
                      <w:szCs w:val="21"/>
                      <w:highlight w:val="none"/>
                    </w:rPr>
                  </w:pPr>
                  <w:r>
                    <w:rPr>
                      <w:bCs/>
                      <w:color w:val="auto"/>
                      <w:szCs w:val="21"/>
                      <w:highlight w:val="none"/>
                    </w:rPr>
                    <w:t>废活性炭</w:t>
                  </w:r>
                </w:p>
              </w:tc>
              <w:tc>
                <w:tcPr>
                  <w:tcW w:w="650" w:type="pct"/>
                  <w:tcBorders>
                    <w:top w:val="single" w:color="auto" w:sz="4" w:space="0"/>
                    <w:bottom w:val="single" w:color="auto" w:sz="4" w:space="0"/>
                  </w:tcBorders>
                  <w:vAlign w:val="center"/>
                </w:tcPr>
                <w:p>
                  <w:pPr>
                    <w:jc w:val="center"/>
                    <w:rPr>
                      <w:bCs/>
                      <w:color w:val="auto"/>
                      <w:szCs w:val="21"/>
                      <w:highlight w:val="none"/>
                    </w:rPr>
                  </w:pPr>
                  <w:r>
                    <w:rPr>
                      <w:bCs/>
                      <w:color w:val="auto"/>
                      <w:szCs w:val="21"/>
                      <w:highlight w:val="none"/>
                    </w:rPr>
                    <w:t>废气处理</w:t>
                  </w:r>
                </w:p>
              </w:tc>
              <w:tc>
                <w:tcPr>
                  <w:tcW w:w="793" w:type="pct"/>
                  <w:tcBorders>
                    <w:top w:val="single" w:color="auto" w:sz="4" w:space="0"/>
                    <w:bottom w:val="single" w:color="auto" w:sz="4" w:space="0"/>
                  </w:tcBorders>
                  <w:vAlign w:val="center"/>
                </w:tcPr>
                <w:p>
                  <w:pPr>
                    <w:jc w:val="center"/>
                    <w:rPr>
                      <w:color w:val="auto"/>
                      <w:kern w:val="0"/>
                      <w:szCs w:val="21"/>
                      <w:highlight w:val="none"/>
                    </w:rPr>
                  </w:pPr>
                  <w:r>
                    <w:rPr>
                      <w:color w:val="auto"/>
                      <w:kern w:val="0"/>
                      <w:szCs w:val="21"/>
                      <w:highlight w:val="none"/>
                    </w:rPr>
                    <w:t>乙醇、丙酮</w:t>
                  </w:r>
                </w:p>
              </w:tc>
              <w:tc>
                <w:tcPr>
                  <w:tcW w:w="543" w:type="pct"/>
                  <w:tcBorders>
                    <w:top w:val="single" w:color="auto" w:sz="4" w:space="0"/>
                    <w:bottom w:val="single" w:color="auto" w:sz="4" w:space="0"/>
                  </w:tcBorders>
                  <w:vAlign w:val="center"/>
                </w:tcPr>
                <w:p>
                  <w:pPr>
                    <w:jc w:val="center"/>
                    <w:rPr>
                      <w:color w:val="auto"/>
                      <w:szCs w:val="21"/>
                      <w:highlight w:val="none"/>
                    </w:rPr>
                  </w:pPr>
                  <w:r>
                    <w:rPr>
                      <w:color w:val="auto"/>
                      <w:szCs w:val="21"/>
                      <w:highlight w:val="none"/>
                    </w:rPr>
                    <w:t>4</w:t>
                  </w:r>
                </w:p>
              </w:tc>
              <w:tc>
                <w:tcPr>
                  <w:tcW w:w="433" w:type="pct"/>
                  <w:tcBorders>
                    <w:top w:val="single" w:color="auto" w:sz="4" w:space="0"/>
                    <w:bottom w:val="single" w:color="auto" w:sz="4" w:space="0"/>
                  </w:tcBorders>
                  <w:vAlign w:val="center"/>
                </w:tcPr>
                <w:p>
                  <w:pPr>
                    <w:jc w:val="center"/>
                    <w:rPr>
                      <w:color w:val="auto"/>
                      <w:szCs w:val="21"/>
                      <w:highlight w:val="none"/>
                    </w:rPr>
                  </w:pPr>
                  <w:r>
                    <w:rPr>
                      <w:color w:val="auto"/>
                      <w:szCs w:val="21"/>
                      <w:highlight w:val="none"/>
                    </w:rPr>
                    <w:t>√</w:t>
                  </w:r>
                </w:p>
              </w:tc>
              <w:tc>
                <w:tcPr>
                  <w:tcW w:w="434" w:type="pct"/>
                  <w:tcBorders>
                    <w:top w:val="single" w:color="auto" w:sz="4" w:space="0"/>
                    <w:bottom w:val="single" w:color="auto" w:sz="4" w:space="0"/>
                  </w:tcBorders>
                  <w:vAlign w:val="center"/>
                </w:tcPr>
                <w:p>
                  <w:pPr>
                    <w:jc w:val="center"/>
                    <w:rPr>
                      <w:color w:val="auto"/>
                      <w:szCs w:val="21"/>
                      <w:highlight w:val="none"/>
                    </w:rPr>
                  </w:pPr>
                </w:p>
              </w:tc>
              <w:tc>
                <w:tcPr>
                  <w:tcW w:w="490" w:type="pct"/>
                  <w:tcBorders>
                    <w:top w:val="single" w:color="auto" w:sz="4" w:space="0"/>
                    <w:bottom w:val="single" w:color="auto" w:sz="4" w:space="0"/>
                    <w:right w:val="single" w:color="auto" w:sz="4" w:space="0"/>
                  </w:tcBorders>
                  <w:vAlign w:val="center"/>
                </w:tcPr>
                <w:p>
                  <w:pPr>
                    <w:jc w:val="center"/>
                    <w:rPr>
                      <w:color w:val="auto"/>
                      <w:szCs w:val="21"/>
                      <w:highlight w:val="none"/>
                    </w:rPr>
                  </w:pPr>
                  <w:r>
                    <w:rPr>
                      <w:color w:val="auto"/>
                      <w:szCs w:val="21"/>
                      <w:highlight w:val="none"/>
                    </w:rPr>
                    <w:t>4.1-(c)</w:t>
                  </w:r>
                </w:p>
              </w:tc>
              <w:tc>
                <w:tcPr>
                  <w:tcW w:w="469" w:type="pct"/>
                  <w:tcBorders>
                    <w:top w:val="single" w:color="auto" w:sz="4" w:space="0"/>
                    <w:left w:val="single" w:color="auto" w:sz="4" w:space="0"/>
                    <w:bottom w:val="single" w:color="auto" w:sz="4" w:space="0"/>
                  </w:tcBorders>
                  <w:vAlign w:val="center"/>
                </w:tcPr>
                <w:p>
                  <w:pPr>
                    <w:jc w:val="center"/>
                    <w:rPr>
                      <w:color w:val="auto"/>
                      <w:szCs w:val="21"/>
                      <w:highlight w:val="none"/>
                    </w:rPr>
                  </w:pPr>
                  <w:r>
                    <w:rPr>
                      <w:color w:val="auto"/>
                      <w:szCs w:val="21"/>
                      <w:highlight w:val="none"/>
                    </w:rPr>
                    <w:t>5.1-(e)</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20" w:hRule="atLeast"/>
              </w:trPr>
              <w:tc>
                <w:tcPr>
                  <w:tcW w:w="461" w:type="pct"/>
                  <w:tcBorders>
                    <w:top w:val="single" w:color="auto" w:sz="4" w:space="0"/>
                    <w:bottom w:val="single" w:color="auto" w:sz="4" w:space="0"/>
                  </w:tcBorders>
                  <w:shd w:val="clear" w:color="auto" w:fill="FFFFFF"/>
                  <w:vAlign w:val="center"/>
                </w:tcPr>
                <w:p>
                  <w:pPr>
                    <w:jc w:val="center"/>
                    <w:rPr>
                      <w:bCs/>
                      <w:color w:val="auto"/>
                      <w:szCs w:val="21"/>
                      <w:highlight w:val="none"/>
                    </w:rPr>
                  </w:pPr>
                  <w:r>
                    <w:rPr>
                      <w:bCs/>
                      <w:color w:val="auto"/>
                      <w:szCs w:val="21"/>
                      <w:highlight w:val="none"/>
                    </w:rPr>
                    <w:t>S</w:t>
                  </w:r>
                  <w:r>
                    <w:rPr>
                      <w:rFonts w:hint="eastAsia"/>
                      <w:bCs/>
                      <w:color w:val="auto"/>
                      <w:szCs w:val="21"/>
                      <w:highlight w:val="none"/>
                    </w:rPr>
                    <w:t>7</w:t>
                  </w:r>
                </w:p>
              </w:tc>
              <w:tc>
                <w:tcPr>
                  <w:tcW w:w="722" w:type="pct"/>
                  <w:tcBorders>
                    <w:top w:val="single" w:color="auto" w:sz="4" w:space="0"/>
                    <w:bottom w:val="single" w:color="auto" w:sz="4" w:space="0"/>
                  </w:tcBorders>
                  <w:shd w:val="clear" w:color="auto" w:fill="FFFFFF"/>
                  <w:vAlign w:val="center"/>
                </w:tcPr>
                <w:p>
                  <w:pPr>
                    <w:jc w:val="center"/>
                    <w:rPr>
                      <w:bCs/>
                      <w:color w:val="auto"/>
                      <w:szCs w:val="21"/>
                      <w:highlight w:val="none"/>
                    </w:rPr>
                  </w:pPr>
                  <w:r>
                    <w:rPr>
                      <w:bCs/>
                      <w:color w:val="auto"/>
                      <w:szCs w:val="21"/>
                      <w:highlight w:val="none"/>
                    </w:rPr>
                    <w:t>废过滤筒</w:t>
                  </w:r>
                </w:p>
              </w:tc>
              <w:tc>
                <w:tcPr>
                  <w:tcW w:w="650" w:type="pct"/>
                  <w:tcBorders>
                    <w:top w:val="single" w:color="auto" w:sz="4" w:space="0"/>
                    <w:bottom w:val="single" w:color="auto" w:sz="4" w:space="0"/>
                  </w:tcBorders>
                  <w:vAlign w:val="center"/>
                </w:tcPr>
                <w:p>
                  <w:pPr>
                    <w:jc w:val="center"/>
                    <w:rPr>
                      <w:bCs/>
                      <w:color w:val="auto"/>
                      <w:szCs w:val="21"/>
                      <w:highlight w:val="none"/>
                    </w:rPr>
                  </w:pPr>
                  <w:r>
                    <w:rPr>
                      <w:bCs/>
                      <w:color w:val="auto"/>
                      <w:szCs w:val="21"/>
                      <w:highlight w:val="none"/>
                    </w:rPr>
                    <w:t>纯水制备</w:t>
                  </w:r>
                </w:p>
              </w:tc>
              <w:tc>
                <w:tcPr>
                  <w:tcW w:w="793" w:type="pct"/>
                  <w:tcBorders>
                    <w:top w:val="single" w:color="auto" w:sz="4" w:space="0"/>
                    <w:bottom w:val="single" w:color="auto" w:sz="4" w:space="0"/>
                  </w:tcBorders>
                  <w:vAlign w:val="center"/>
                </w:tcPr>
                <w:p>
                  <w:pPr>
                    <w:jc w:val="center"/>
                    <w:rPr>
                      <w:color w:val="auto"/>
                      <w:kern w:val="0"/>
                      <w:szCs w:val="21"/>
                      <w:highlight w:val="none"/>
                    </w:rPr>
                  </w:pPr>
                  <w:r>
                    <w:rPr>
                      <w:color w:val="auto"/>
                      <w:kern w:val="0"/>
                      <w:szCs w:val="21"/>
                      <w:highlight w:val="none"/>
                    </w:rPr>
                    <w:t>--</w:t>
                  </w:r>
                </w:p>
              </w:tc>
              <w:tc>
                <w:tcPr>
                  <w:tcW w:w="543" w:type="pct"/>
                  <w:tcBorders>
                    <w:top w:val="single" w:color="auto" w:sz="4" w:space="0"/>
                    <w:bottom w:val="single" w:color="auto" w:sz="4" w:space="0"/>
                  </w:tcBorders>
                  <w:vAlign w:val="center"/>
                </w:tcPr>
                <w:p>
                  <w:pPr>
                    <w:jc w:val="center"/>
                    <w:rPr>
                      <w:color w:val="auto"/>
                      <w:kern w:val="0"/>
                      <w:szCs w:val="21"/>
                      <w:highlight w:val="none"/>
                    </w:rPr>
                  </w:pPr>
                  <w:r>
                    <w:rPr>
                      <w:color w:val="auto"/>
                      <w:kern w:val="0"/>
                      <w:szCs w:val="21"/>
                      <w:highlight w:val="none"/>
                    </w:rPr>
                    <w:t>0.2</w:t>
                  </w:r>
                </w:p>
              </w:tc>
              <w:tc>
                <w:tcPr>
                  <w:tcW w:w="433" w:type="pct"/>
                  <w:tcBorders>
                    <w:top w:val="single" w:color="auto" w:sz="4" w:space="0"/>
                    <w:bottom w:val="single" w:color="auto" w:sz="4" w:space="0"/>
                  </w:tcBorders>
                  <w:vAlign w:val="center"/>
                </w:tcPr>
                <w:p>
                  <w:pPr>
                    <w:jc w:val="center"/>
                    <w:rPr>
                      <w:color w:val="auto"/>
                      <w:szCs w:val="21"/>
                      <w:highlight w:val="none"/>
                    </w:rPr>
                  </w:pPr>
                  <w:r>
                    <w:rPr>
                      <w:color w:val="auto"/>
                      <w:szCs w:val="21"/>
                      <w:highlight w:val="none"/>
                    </w:rPr>
                    <w:t>√</w:t>
                  </w:r>
                </w:p>
              </w:tc>
              <w:tc>
                <w:tcPr>
                  <w:tcW w:w="434" w:type="pct"/>
                  <w:tcBorders>
                    <w:top w:val="single" w:color="auto" w:sz="4" w:space="0"/>
                    <w:bottom w:val="single" w:color="auto" w:sz="4" w:space="0"/>
                  </w:tcBorders>
                  <w:vAlign w:val="center"/>
                </w:tcPr>
                <w:p>
                  <w:pPr>
                    <w:jc w:val="center"/>
                    <w:rPr>
                      <w:color w:val="auto"/>
                      <w:szCs w:val="21"/>
                      <w:highlight w:val="none"/>
                    </w:rPr>
                  </w:pPr>
                  <w:r>
                    <w:rPr>
                      <w:color w:val="auto"/>
                      <w:szCs w:val="21"/>
                      <w:highlight w:val="none"/>
                    </w:rPr>
                    <w:t>--</w:t>
                  </w:r>
                </w:p>
              </w:tc>
              <w:tc>
                <w:tcPr>
                  <w:tcW w:w="490" w:type="pct"/>
                  <w:tcBorders>
                    <w:top w:val="single" w:color="auto" w:sz="4" w:space="0"/>
                    <w:bottom w:val="single" w:color="auto" w:sz="4" w:space="0"/>
                    <w:right w:val="single" w:color="auto" w:sz="4" w:space="0"/>
                  </w:tcBorders>
                  <w:vAlign w:val="center"/>
                </w:tcPr>
                <w:p>
                  <w:pPr>
                    <w:jc w:val="center"/>
                    <w:rPr>
                      <w:color w:val="auto"/>
                      <w:szCs w:val="21"/>
                      <w:highlight w:val="none"/>
                    </w:rPr>
                  </w:pPr>
                  <w:r>
                    <w:rPr>
                      <w:color w:val="auto"/>
                      <w:szCs w:val="21"/>
                      <w:highlight w:val="none"/>
                    </w:rPr>
                    <w:t>4.1-(c)</w:t>
                  </w:r>
                </w:p>
              </w:tc>
              <w:tc>
                <w:tcPr>
                  <w:tcW w:w="469" w:type="pct"/>
                  <w:tcBorders>
                    <w:top w:val="single" w:color="auto" w:sz="4" w:space="0"/>
                    <w:left w:val="single" w:color="auto" w:sz="4" w:space="0"/>
                    <w:bottom w:val="single" w:color="auto" w:sz="4" w:space="0"/>
                  </w:tcBorders>
                  <w:vAlign w:val="center"/>
                </w:tcPr>
                <w:p>
                  <w:pPr>
                    <w:jc w:val="center"/>
                    <w:rPr>
                      <w:color w:val="auto"/>
                      <w:szCs w:val="21"/>
                      <w:highlight w:val="none"/>
                    </w:rPr>
                  </w:pPr>
                  <w:r>
                    <w:rPr>
                      <w:color w:val="auto"/>
                      <w:szCs w:val="21"/>
                      <w:highlight w:val="none"/>
                    </w:rPr>
                    <w:t>5.1-(e)</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201" w:hRule="atLeast"/>
              </w:trPr>
              <w:tc>
                <w:tcPr>
                  <w:tcW w:w="461" w:type="pct"/>
                  <w:tcBorders>
                    <w:top w:val="single" w:color="auto" w:sz="4" w:space="0"/>
                    <w:bottom w:val="single" w:color="auto" w:sz="4" w:space="0"/>
                  </w:tcBorders>
                  <w:shd w:val="clear" w:color="auto" w:fill="FFFFFF"/>
                  <w:vAlign w:val="center"/>
                </w:tcPr>
                <w:p>
                  <w:pPr>
                    <w:jc w:val="center"/>
                    <w:rPr>
                      <w:bCs/>
                      <w:color w:val="auto"/>
                      <w:szCs w:val="21"/>
                      <w:highlight w:val="none"/>
                    </w:rPr>
                  </w:pPr>
                  <w:r>
                    <w:rPr>
                      <w:bCs/>
                      <w:color w:val="auto"/>
                      <w:szCs w:val="21"/>
                      <w:highlight w:val="none"/>
                    </w:rPr>
                    <w:t>S</w:t>
                  </w:r>
                  <w:r>
                    <w:rPr>
                      <w:rFonts w:hint="eastAsia"/>
                      <w:bCs/>
                      <w:color w:val="auto"/>
                      <w:szCs w:val="21"/>
                      <w:highlight w:val="none"/>
                    </w:rPr>
                    <w:t>6</w:t>
                  </w:r>
                </w:p>
              </w:tc>
              <w:tc>
                <w:tcPr>
                  <w:tcW w:w="722" w:type="pct"/>
                  <w:tcBorders>
                    <w:top w:val="single" w:color="auto" w:sz="4" w:space="0"/>
                    <w:bottom w:val="single" w:color="auto" w:sz="4" w:space="0"/>
                  </w:tcBorders>
                  <w:shd w:val="clear" w:color="auto" w:fill="FFFFFF"/>
                  <w:vAlign w:val="center"/>
                </w:tcPr>
                <w:p>
                  <w:pPr>
                    <w:jc w:val="center"/>
                    <w:rPr>
                      <w:bCs/>
                      <w:color w:val="auto"/>
                      <w:szCs w:val="21"/>
                      <w:highlight w:val="none"/>
                    </w:rPr>
                  </w:pPr>
                  <w:r>
                    <w:rPr>
                      <w:bCs/>
                      <w:color w:val="auto"/>
                      <w:szCs w:val="21"/>
                      <w:highlight w:val="none"/>
                    </w:rPr>
                    <w:t>不合格件</w:t>
                  </w:r>
                </w:p>
              </w:tc>
              <w:tc>
                <w:tcPr>
                  <w:tcW w:w="650" w:type="pct"/>
                  <w:tcBorders>
                    <w:top w:val="single" w:color="auto" w:sz="4" w:space="0"/>
                    <w:bottom w:val="single" w:color="auto" w:sz="4" w:space="0"/>
                  </w:tcBorders>
                  <w:vAlign w:val="center"/>
                </w:tcPr>
                <w:p>
                  <w:pPr>
                    <w:jc w:val="center"/>
                    <w:rPr>
                      <w:bCs/>
                      <w:color w:val="auto"/>
                      <w:szCs w:val="21"/>
                      <w:highlight w:val="none"/>
                    </w:rPr>
                  </w:pPr>
                  <w:r>
                    <w:rPr>
                      <w:bCs/>
                      <w:color w:val="auto"/>
                      <w:szCs w:val="21"/>
                      <w:highlight w:val="none"/>
                    </w:rPr>
                    <w:t>产品制作</w:t>
                  </w:r>
                </w:p>
              </w:tc>
              <w:tc>
                <w:tcPr>
                  <w:tcW w:w="793" w:type="pct"/>
                  <w:tcBorders>
                    <w:top w:val="single" w:color="auto" w:sz="4" w:space="0"/>
                    <w:bottom w:val="single" w:color="auto" w:sz="4" w:space="0"/>
                  </w:tcBorders>
                  <w:vAlign w:val="center"/>
                </w:tcPr>
                <w:p>
                  <w:pPr>
                    <w:jc w:val="center"/>
                    <w:rPr>
                      <w:color w:val="auto"/>
                      <w:kern w:val="0"/>
                      <w:szCs w:val="21"/>
                      <w:highlight w:val="none"/>
                    </w:rPr>
                  </w:pPr>
                  <w:r>
                    <w:rPr>
                      <w:color w:val="auto"/>
                      <w:kern w:val="0"/>
                      <w:szCs w:val="21"/>
                      <w:highlight w:val="none"/>
                    </w:rPr>
                    <w:t>--</w:t>
                  </w:r>
                </w:p>
              </w:tc>
              <w:tc>
                <w:tcPr>
                  <w:tcW w:w="543" w:type="pct"/>
                  <w:tcBorders>
                    <w:top w:val="single" w:color="auto" w:sz="4" w:space="0"/>
                    <w:bottom w:val="single" w:color="auto" w:sz="4" w:space="0"/>
                  </w:tcBorders>
                  <w:vAlign w:val="center"/>
                </w:tcPr>
                <w:p>
                  <w:pPr>
                    <w:jc w:val="center"/>
                    <w:rPr>
                      <w:color w:val="auto"/>
                      <w:kern w:val="0"/>
                      <w:szCs w:val="21"/>
                      <w:highlight w:val="none"/>
                    </w:rPr>
                  </w:pPr>
                  <w:r>
                    <w:rPr>
                      <w:color w:val="auto"/>
                      <w:kern w:val="0"/>
                      <w:szCs w:val="21"/>
                      <w:highlight w:val="none"/>
                    </w:rPr>
                    <w:t>0.2</w:t>
                  </w:r>
                </w:p>
              </w:tc>
              <w:tc>
                <w:tcPr>
                  <w:tcW w:w="433" w:type="pct"/>
                  <w:tcBorders>
                    <w:top w:val="single" w:color="auto" w:sz="4" w:space="0"/>
                    <w:bottom w:val="single" w:color="auto" w:sz="4" w:space="0"/>
                  </w:tcBorders>
                  <w:vAlign w:val="center"/>
                </w:tcPr>
                <w:p>
                  <w:pPr>
                    <w:jc w:val="center"/>
                    <w:rPr>
                      <w:color w:val="auto"/>
                      <w:szCs w:val="21"/>
                      <w:highlight w:val="none"/>
                    </w:rPr>
                  </w:pPr>
                  <w:r>
                    <w:rPr>
                      <w:color w:val="auto"/>
                      <w:szCs w:val="21"/>
                      <w:highlight w:val="none"/>
                    </w:rPr>
                    <w:t>√</w:t>
                  </w:r>
                </w:p>
              </w:tc>
              <w:tc>
                <w:tcPr>
                  <w:tcW w:w="434" w:type="pct"/>
                  <w:tcBorders>
                    <w:top w:val="single" w:color="auto" w:sz="4" w:space="0"/>
                    <w:bottom w:val="single" w:color="auto" w:sz="4" w:space="0"/>
                  </w:tcBorders>
                  <w:vAlign w:val="center"/>
                </w:tcPr>
                <w:p>
                  <w:pPr>
                    <w:jc w:val="center"/>
                    <w:rPr>
                      <w:color w:val="auto"/>
                      <w:szCs w:val="21"/>
                      <w:highlight w:val="none"/>
                    </w:rPr>
                  </w:pPr>
                  <w:r>
                    <w:rPr>
                      <w:color w:val="auto"/>
                      <w:szCs w:val="21"/>
                      <w:highlight w:val="none"/>
                    </w:rPr>
                    <w:t>--</w:t>
                  </w:r>
                </w:p>
              </w:tc>
              <w:tc>
                <w:tcPr>
                  <w:tcW w:w="490" w:type="pct"/>
                  <w:tcBorders>
                    <w:top w:val="single" w:color="auto" w:sz="4" w:space="0"/>
                    <w:bottom w:val="single" w:color="auto" w:sz="4" w:space="0"/>
                    <w:right w:val="single" w:color="auto" w:sz="4" w:space="0"/>
                  </w:tcBorders>
                  <w:vAlign w:val="center"/>
                </w:tcPr>
                <w:p>
                  <w:pPr>
                    <w:jc w:val="center"/>
                    <w:rPr>
                      <w:color w:val="auto"/>
                      <w:szCs w:val="21"/>
                      <w:highlight w:val="none"/>
                    </w:rPr>
                  </w:pPr>
                  <w:r>
                    <w:rPr>
                      <w:color w:val="auto"/>
                      <w:szCs w:val="21"/>
                      <w:highlight w:val="none"/>
                    </w:rPr>
                    <w:t>4.1-(c)</w:t>
                  </w:r>
                </w:p>
              </w:tc>
              <w:tc>
                <w:tcPr>
                  <w:tcW w:w="469" w:type="pct"/>
                  <w:tcBorders>
                    <w:top w:val="single" w:color="auto" w:sz="4" w:space="0"/>
                    <w:left w:val="single" w:color="auto" w:sz="4" w:space="0"/>
                    <w:bottom w:val="single" w:color="auto" w:sz="4" w:space="0"/>
                  </w:tcBorders>
                  <w:vAlign w:val="center"/>
                </w:tcPr>
                <w:p>
                  <w:pPr>
                    <w:jc w:val="center"/>
                    <w:rPr>
                      <w:color w:val="auto"/>
                      <w:szCs w:val="21"/>
                      <w:highlight w:val="none"/>
                    </w:rPr>
                  </w:pPr>
                  <w:r>
                    <w:rPr>
                      <w:color w:val="auto"/>
                      <w:szCs w:val="21"/>
                      <w:highlight w:val="none"/>
                    </w:rPr>
                    <w:t>5.1-(e)</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70" w:hRule="atLeast"/>
              </w:trPr>
              <w:tc>
                <w:tcPr>
                  <w:tcW w:w="461" w:type="pct"/>
                  <w:tcBorders>
                    <w:top w:val="single" w:color="auto" w:sz="4" w:space="0"/>
                  </w:tcBorders>
                  <w:shd w:val="clear" w:color="auto" w:fill="FFFFFF"/>
                  <w:vAlign w:val="center"/>
                </w:tcPr>
                <w:p>
                  <w:pPr>
                    <w:jc w:val="center"/>
                    <w:rPr>
                      <w:bCs/>
                      <w:color w:val="auto"/>
                      <w:szCs w:val="21"/>
                      <w:highlight w:val="none"/>
                    </w:rPr>
                  </w:pPr>
                  <w:r>
                    <w:rPr>
                      <w:rFonts w:hint="eastAsia"/>
                      <w:bCs/>
                      <w:color w:val="auto"/>
                      <w:szCs w:val="21"/>
                      <w:highlight w:val="none"/>
                    </w:rPr>
                    <w:t>S11</w:t>
                  </w:r>
                </w:p>
              </w:tc>
              <w:tc>
                <w:tcPr>
                  <w:tcW w:w="722" w:type="pct"/>
                  <w:tcBorders>
                    <w:top w:val="single" w:color="auto" w:sz="4" w:space="0"/>
                  </w:tcBorders>
                  <w:shd w:val="clear" w:color="auto" w:fill="FFFFFF"/>
                  <w:vAlign w:val="center"/>
                </w:tcPr>
                <w:p>
                  <w:pPr>
                    <w:jc w:val="center"/>
                    <w:rPr>
                      <w:bCs/>
                      <w:color w:val="auto"/>
                      <w:szCs w:val="21"/>
                      <w:highlight w:val="none"/>
                    </w:rPr>
                  </w:pPr>
                  <w:r>
                    <w:rPr>
                      <w:rFonts w:hint="eastAsia"/>
                      <w:bCs/>
                      <w:color w:val="auto"/>
                      <w:szCs w:val="21"/>
                      <w:highlight w:val="none"/>
                    </w:rPr>
                    <w:t>抛光粉沉淀物</w:t>
                  </w:r>
                </w:p>
              </w:tc>
              <w:tc>
                <w:tcPr>
                  <w:tcW w:w="650" w:type="pct"/>
                  <w:tcBorders>
                    <w:top w:val="single" w:color="auto" w:sz="4" w:space="0"/>
                  </w:tcBorders>
                  <w:vAlign w:val="center"/>
                </w:tcPr>
                <w:p>
                  <w:pPr>
                    <w:jc w:val="center"/>
                    <w:rPr>
                      <w:bCs/>
                      <w:color w:val="auto"/>
                      <w:szCs w:val="21"/>
                      <w:highlight w:val="none"/>
                    </w:rPr>
                  </w:pPr>
                  <w:r>
                    <w:rPr>
                      <w:rFonts w:hint="eastAsia"/>
                      <w:bCs/>
                      <w:color w:val="auto"/>
                      <w:szCs w:val="21"/>
                      <w:highlight w:val="none"/>
                    </w:rPr>
                    <w:t>微通道板及光纤元件抛光（以新带老）</w:t>
                  </w:r>
                </w:p>
              </w:tc>
              <w:tc>
                <w:tcPr>
                  <w:tcW w:w="793" w:type="pct"/>
                  <w:tcBorders>
                    <w:top w:val="single" w:color="auto" w:sz="4" w:space="0"/>
                  </w:tcBorders>
                  <w:vAlign w:val="center"/>
                </w:tcPr>
                <w:p>
                  <w:pPr>
                    <w:jc w:val="center"/>
                    <w:rPr>
                      <w:color w:val="auto"/>
                      <w:kern w:val="0"/>
                      <w:szCs w:val="21"/>
                      <w:highlight w:val="none"/>
                    </w:rPr>
                  </w:pPr>
                  <w:r>
                    <w:rPr>
                      <w:rFonts w:hint="eastAsia"/>
                      <w:color w:val="auto"/>
                      <w:kern w:val="0"/>
                      <w:szCs w:val="21"/>
                      <w:highlight w:val="none"/>
                    </w:rPr>
                    <w:t>氧化镧和氧化铈</w:t>
                  </w:r>
                </w:p>
              </w:tc>
              <w:tc>
                <w:tcPr>
                  <w:tcW w:w="543" w:type="pct"/>
                  <w:tcBorders>
                    <w:top w:val="single" w:color="auto" w:sz="4" w:space="0"/>
                  </w:tcBorders>
                  <w:vAlign w:val="center"/>
                </w:tcPr>
                <w:p>
                  <w:pPr>
                    <w:jc w:val="center"/>
                    <w:rPr>
                      <w:color w:val="auto"/>
                      <w:kern w:val="0"/>
                      <w:szCs w:val="21"/>
                      <w:highlight w:val="none"/>
                    </w:rPr>
                  </w:pPr>
                  <w:r>
                    <w:rPr>
                      <w:rFonts w:hint="eastAsia"/>
                      <w:color w:val="auto"/>
                      <w:kern w:val="0"/>
                      <w:szCs w:val="21"/>
                      <w:highlight w:val="none"/>
                    </w:rPr>
                    <w:t>4</w:t>
                  </w:r>
                </w:p>
              </w:tc>
              <w:tc>
                <w:tcPr>
                  <w:tcW w:w="433" w:type="pct"/>
                  <w:tcBorders>
                    <w:top w:val="single" w:color="auto" w:sz="4" w:space="0"/>
                  </w:tcBorders>
                  <w:vAlign w:val="center"/>
                </w:tcPr>
                <w:p>
                  <w:pPr>
                    <w:jc w:val="center"/>
                    <w:rPr>
                      <w:color w:val="auto"/>
                      <w:szCs w:val="21"/>
                      <w:highlight w:val="none"/>
                    </w:rPr>
                  </w:pPr>
                  <w:r>
                    <w:rPr>
                      <w:color w:val="auto"/>
                      <w:szCs w:val="21"/>
                      <w:highlight w:val="none"/>
                    </w:rPr>
                    <w:t>√</w:t>
                  </w:r>
                </w:p>
              </w:tc>
              <w:tc>
                <w:tcPr>
                  <w:tcW w:w="434" w:type="pct"/>
                  <w:tcBorders>
                    <w:top w:val="single" w:color="auto" w:sz="4" w:space="0"/>
                  </w:tcBorders>
                  <w:vAlign w:val="center"/>
                </w:tcPr>
                <w:p>
                  <w:pPr>
                    <w:jc w:val="center"/>
                    <w:rPr>
                      <w:color w:val="auto"/>
                      <w:szCs w:val="21"/>
                      <w:highlight w:val="none"/>
                    </w:rPr>
                  </w:pPr>
                  <w:r>
                    <w:rPr>
                      <w:color w:val="auto"/>
                      <w:szCs w:val="21"/>
                      <w:highlight w:val="none"/>
                    </w:rPr>
                    <w:t>--</w:t>
                  </w:r>
                </w:p>
              </w:tc>
              <w:tc>
                <w:tcPr>
                  <w:tcW w:w="490" w:type="pct"/>
                  <w:tcBorders>
                    <w:top w:val="single" w:color="auto" w:sz="4" w:space="0"/>
                    <w:right w:val="single" w:color="auto" w:sz="4" w:space="0"/>
                  </w:tcBorders>
                  <w:vAlign w:val="center"/>
                </w:tcPr>
                <w:p>
                  <w:pPr>
                    <w:jc w:val="center"/>
                    <w:rPr>
                      <w:color w:val="auto"/>
                      <w:szCs w:val="21"/>
                      <w:highlight w:val="none"/>
                    </w:rPr>
                  </w:pPr>
                  <w:r>
                    <w:rPr>
                      <w:color w:val="auto"/>
                      <w:szCs w:val="21"/>
                      <w:highlight w:val="none"/>
                    </w:rPr>
                    <w:t>4.1-(c)</w:t>
                  </w:r>
                </w:p>
              </w:tc>
              <w:tc>
                <w:tcPr>
                  <w:tcW w:w="469" w:type="pct"/>
                  <w:tcBorders>
                    <w:top w:val="single" w:color="auto" w:sz="4" w:space="0"/>
                    <w:left w:val="single" w:color="auto" w:sz="4" w:space="0"/>
                  </w:tcBorders>
                  <w:vAlign w:val="center"/>
                </w:tcPr>
                <w:p>
                  <w:pPr>
                    <w:jc w:val="center"/>
                    <w:rPr>
                      <w:color w:val="auto"/>
                      <w:szCs w:val="21"/>
                      <w:highlight w:val="none"/>
                    </w:rPr>
                  </w:pPr>
                  <w:r>
                    <w:rPr>
                      <w:color w:val="auto"/>
                      <w:szCs w:val="21"/>
                      <w:highlight w:val="none"/>
                    </w:rPr>
                    <w:t>5.1-(e)</w:t>
                  </w:r>
                </w:p>
              </w:tc>
            </w:tr>
          </w:tbl>
          <w:p>
            <w:pPr>
              <w:widowControl/>
              <w:jc w:val="left"/>
              <w:rPr>
                <w:color w:val="auto"/>
                <w:szCs w:val="21"/>
                <w:highlight w:val="none"/>
              </w:rPr>
            </w:pPr>
            <w:r>
              <w:rPr>
                <w:color w:val="auto"/>
                <w:kern w:val="0"/>
                <w:szCs w:val="21"/>
                <w:highlight w:val="none"/>
              </w:rPr>
              <w:t>*依据《固体废物鉴别标准通则》（GB34330-2017）</w:t>
            </w:r>
          </w:p>
          <w:p>
            <w:pPr>
              <w:spacing w:beforeLines="50" w:line="360" w:lineRule="auto"/>
              <w:jc w:val="center"/>
              <w:rPr>
                <w:b/>
                <w:bCs/>
                <w:color w:val="auto"/>
                <w:sz w:val="24"/>
                <w:highlight w:val="none"/>
                <w:shd w:val="clear" w:color="auto" w:fill="FFFFFF"/>
              </w:rPr>
            </w:pPr>
            <w:r>
              <w:rPr>
                <w:b/>
                <w:bCs/>
                <w:color w:val="auto"/>
                <w:sz w:val="24"/>
                <w:highlight w:val="none"/>
                <w:shd w:val="clear" w:color="auto" w:fill="FFFFFF"/>
              </w:rPr>
              <w:t>表4-2</w:t>
            </w:r>
            <w:r>
              <w:rPr>
                <w:rFonts w:hint="eastAsia"/>
                <w:b/>
                <w:bCs/>
                <w:color w:val="auto"/>
                <w:sz w:val="24"/>
                <w:highlight w:val="none"/>
                <w:shd w:val="clear" w:color="auto" w:fill="FFFFFF"/>
              </w:rPr>
              <w:t>5</w:t>
            </w:r>
            <w:r>
              <w:rPr>
                <w:b/>
                <w:bCs/>
                <w:color w:val="auto"/>
                <w:sz w:val="24"/>
                <w:highlight w:val="none"/>
                <w:shd w:val="clear" w:color="auto" w:fill="FFFFFF"/>
              </w:rPr>
              <w:t xml:space="preserve">  营运期固体废物分析结果汇总表</w:t>
            </w:r>
          </w:p>
          <w:tbl>
            <w:tblPr>
              <w:tblStyle w:val="34"/>
              <w:tblW w:w="4997" w:type="pct"/>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0" w:type="dxa"/>
                <w:bottom w:w="0" w:type="dxa"/>
                <w:right w:w="0" w:type="dxa"/>
              </w:tblCellMar>
            </w:tblPr>
            <w:tblGrid>
              <w:gridCol w:w="750"/>
              <w:gridCol w:w="1038"/>
              <w:gridCol w:w="590"/>
              <w:gridCol w:w="1002"/>
              <w:gridCol w:w="366"/>
              <w:gridCol w:w="1041"/>
              <w:gridCol w:w="710"/>
              <w:gridCol w:w="620"/>
              <w:gridCol w:w="670"/>
              <w:gridCol w:w="1177"/>
              <w:gridCol w:w="71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20" w:hRule="atLeast"/>
              </w:trPr>
              <w:tc>
                <w:tcPr>
                  <w:tcW w:w="432" w:type="pct"/>
                  <w:vAlign w:val="center"/>
                </w:tcPr>
                <w:p>
                  <w:pPr>
                    <w:adjustRightInd w:val="0"/>
                    <w:snapToGrid w:val="0"/>
                    <w:jc w:val="center"/>
                    <w:rPr>
                      <w:color w:val="auto"/>
                      <w:szCs w:val="21"/>
                      <w:highlight w:val="none"/>
                    </w:rPr>
                  </w:pPr>
                  <w:r>
                    <w:rPr>
                      <w:color w:val="auto"/>
                      <w:szCs w:val="21"/>
                      <w:highlight w:val="none"/>
                    </w:rPr>
                    <w:t>编号</w:t>
                  </w:r>
                </w:p>
              </w:tc>
              <w:tc>
                <w:tcPr>
                  <w:tcW w:w="598" w:type="pct"/>
                  <w:vAlign w:val="center"/>
                </w:tcPr>
                <w:p>
                  <w:pPr>
                    <w:adjustRightInd w:val="0"/>
                    <w:snapToGrid w:val="0"/>
                    <w:jc w:val="center"/>
                    <w:rPr>
                      <w:color w:val="auto"/>
                      <w:szCs w:val="21"/>
                      <w:highlight w:val="none"/>
                    </w:rPr>
                  </w:pPr>
                  <w:r>
                    <w:rPr>
                      <w:color w:val="auto"/>
                      <w:szCs w:val="21"/>
                      <w:highlight w:val="none"/>
                    </w:rPr>
                    <w:t>固废</w:t>
                  </w:r>
                </w:p>
                <w:p>
                  <w:pPr>
                    <w:adjustRightInd w:val="0"/>
                    <w:snapToGrid w:val="0"/>
                    <w:jc w:val="center"/>
                    <w:rPr>
                      <w:color w:val="auto"/>
                      <w:szCs w:val="21"/>
                      <w:highlight w:val="none"/>
                    </w:rPr>
                  </w:pPr>
                  <w:r>
                    <w:rPr>
                      <w:color w:val="auto"/>
                      <w:szCs w:val="21"/>
                      <w:highlight w:val="none"/>
                    </w:rPr>
                    <w:t>名称</w:t>
                  </w:r>
                </w:p>
              </w:tc>
              <w:tc>
                <w:tcPr>
                  <w:tcW w:w="340" w:type="pct"/>
                  <w:vAlign w:val="center"/>
                </w:tcPr>
                <w:p>
                  <w:pPr>
                    <w:adjustRightInd w:val="0"/>
                    <w:snapToGrid w:val="0"/>
                    <w:jc w:val="center"/>
                    <w:rPr>
                      <w:color w:val="auto"/>
                      <w:szCs w:val="21"/>
                      <w:highlight w:val="none"/>
                    </w:rPr>
                  </w:pPr>
                  <w:r>
                    <w:rPr>
                      <w:color w:val="auto"/>
                      <w:szCs w:val="21"/>
                      <w:highlight w:val="none"/>
                    </w:rPr>
                    <w:t>属性</w:t>
                  </w:r>
                </w:p>
              </w:tc>
              <w:tc>
                <w:tcPr>
                  <w:tcW w:w="577" w:type="pct"/>
                  <w:vAlign w:val="center"/>
                </w:tcPr>
                <w:p>
                  <w:pPr>
                    <w:adjustRightInd w:val="0"/>
                    <w:snapToGrid w:val="0"/>
                    <w:jc w:val="center"/>
                    <w:rPr>
                      <w:color w:val="auto"/>
                      <w:szCs w:val="21"/>
                      <w:highlight w:val="none"/>
                    </w:rPr>
                  </w:pPr>
                  <w:r>
                    <w:rPr>
                      <w:color w:val="auto"/>
                      <w:szCs w:val="21"/>
                      <w:highlight w:val="none"/>
                    </w:rPr>
                    <w:t>产生</w:t>
                  </w:r>
                </w:p>
                <w:p>
                  <w:pPr>
                    <w:adjustRightInd w:val="0"/>
                    <w:snapToGrid w:val="0"/>
                    <w:jc w:val="center"/>
                    <w:rPr>
                      <w:color w:val="auto"/>
                      <w:szCs w:val="21"/>
                      <w:highlight w:val="none"/>
                    </w:rPr>
                  </w:pPr>
                  <w:r>
                    <w:rPr>
                      <w:color w:val="auto"/>
                      <w:szCs w:val="21"/>
                      <w:highlight w:val="none"/>
                    </w:rPr>
                    <w:t>工序</w:t>
                  </w:r>
                </w:p>
              </w:tc>
              <w:tc>
                <w:tcPr>
                  <w:tcW w:w="211" w:type="pct"/>
                  <w:vAlign w:val="center"/>
                </w:tcPr>
                <w:p>
                  <w:pPr>
                    <w:adjustRightInd w:val="0"/>
                    <w:snapToGrid w:val="0"/>
                    <w:jc w:val="center"/>
                    <w:rPr>
                      <w:color w:val="auto"/>
                      <w:szCs w:val="21"/>
                      <w:highlight w:val="none"/>
                    </w:rPr>
                  </w:pPr>
                  <w:r>
                    <w:rPr>
                      <w:color w:val="auto"/>
                      <w:szCs w:val="21"/>
                      <w:highlight w:val="none"/>
                    </w:rPr>
                    <w:t>形态</w:t>
                  </w:r>
                </w:p>
              </w:tc>
              <w:tc>
                <w:tcPr>
                  <w:tcW w:w="600" w:type="pct"/>
                  <w:vAlign w:val="center"/>
                </w:tcPr>
                <w:p>
                  <w:pPr>
                    <w:adjustRightInd w:val="0"/>
                    <w:snapToGrid w:val="0"/>
                    <w:jc w:val="center"/>
                    <w:rPr>
                      <w:color w:val="auto"/>
                      <w:szCs w:val="21"/>
                      <w:highlight w:val="none"/>
                    </w:rPr>
                  </w:pPr>
                  <w:r>
                    <w:rPr>
                      <w:color w:val="auto"/>
                      <w:szCs w:val="21"/>
                      <w:highlight w:val="none"/>
                    </w:rPr>
                    <w:t>主要</w:t>
                  </w:r>
                </w:p>
                <w:p>
                  <w:pPr>
                    <w:adjustRightInd w:val="0"/>
                    <w:snapToGrid w:val="0"/>
                    <w:jc w:val="center"/>
                    <w:rPr>
                      <w:color w:val="auto"/>
                      <w:szCs w:val="21"/>
                      <w:highlight w:val="none"/>
                    </w:rPr>
                  </w:pPr>
                  <w:r>
                    <w:rPr>
                      <w:color w:val="auto"/>
                      <w:szCs w:val="21"/>
                      <w:highlight w:val="none"/>
                    </w:rPr>
                    <w:t>成分</w:t>
                  </w:r>
                </w:p>
              </w:tc>
              <w:tc>
                <w:tcPr>
                  <w:tcW w:w="409" w:type="pct"/>
                  <w:vAlign w:val="center"/>
                </w:tcPr>
                <w:p>
                  <w:pPr>
                    <w:adjustRightInd w:val="0"/>
                    <w:snapToGrid w:val="0"/>
                    <w:jc w:val="center"/>
                    <w:rPr>
                      <w:color w:val="auto"/>
                      <w:szCs w:val="21"/>
                      <w:highlight w:val="none"/>
                    </w:rPr>
                  </w:pPr>
                  <w:r>
                    <w:rPr>
                      <w:color w:val="auto"/>
                      <w:szCs w:val="21"/>
                      <w:highlight w:val="none"/>
                    </w:rPr>
                    <w:t>危险特性鉴别方法</w:t>
                  </w:r>
                </w:p>
              </w:tc>
              <w:tc>
                <w:tcPr>
                  <w:tcW w:w="357" w:type="pct"/>
                  <w:vAlign w:val="center"/>
                </w:tcPr>
                <w:p>
                  <w:pPr>
                    <w:adjustRightInd w:val="0"/>
                    <w:snapToGrid w:val="0"/>
                    <w:jc w:val="center"/>
                    <w:rPr>
                      <w:color w:val="auto"/>
                      <w:szCs w:val="21"/>
                      <w:highlight w:val="none"/>
                    </w:rPr>
                  </w:pPr>
                  <w:r>
                    <w:rPr>
                      <w:color w:val="auto"/>
                      <w:szCs w:val="21"/>
                      <w:highlight w:val="none"/>
                    </w:rPr>
                    <w:t>危险</w:t>
                  </w:r>
                </w:p>
                <w:p>
                  <w:pPr>
                    <w:adjustRightInd w:val="0"/>
                    <w:snapToGrid w:val="0"/>
                    <w:jc w:val="center"/>
                    <w:rPr>
                      <w:color w:val="auto"/>
                      <w:szCs w:val="21"/>
                      <w:highlight w:val="none"/>
                    </w:rPr>
                  </w:pPr>
                  <w:r>
                    <w:rPr>
                      <w:color w:val="auto"/>
                      <w:szCs w:val="21"/>
                      <w:highlight w:val="none"/>
                    </w:rPr>
                    <w:t>特性</w:t>
                  </w:r>
                </w:p>
              </w:tc>
              <w:tc>
                <w:tcPr>
                  <w:tcW w:w="386" w:type="pct"/>
                  <w:vAlign w:val="center"/>
                </w:tcPr>
                <w:p>
                  <w:pPr>
                    <w:adjustRightInd w:val="0"/>
                    <w:snapToGrid w:val="0"/>
                    <w:jc w:val="center"/>
                    <w:rPr>
                      <w:color w:val="auto"/>
                      <w:szCs w:val="21"/>
                      <w:highlight w:val="none"/>
                    </w:rPr>
                  </w:pPr>
                  <w:r>
                    <w:rPr>
                      <w:color w:val="auto"/>
                      <w:szCs w:val="21"/>
                      <w:highlight w:val="none"/>
                    </w:rPr>
                    <w:t>废物</w:t>
                  </w:r>
                </w:p>
                <w:p>
                  <w:pPr>
                    <w:adjustRightInd w:val="0"/>
                    <w:snapToGrid w:val="0"/>
                    <w:jc w:val="center"/>
                    <w:rPr>
                      <w:color w:val="auto"/>
                      <w:szCs w:val="21"/>
                      <w:highlight w:val="none"/>
                    </w:rPr>
                  </w:pPr>
                  <w:r>
                    <w:rPr>
                      <w:color w:val="auto"/>
                      <w:szCs w:val="21"/>
                      <w:highlight w:val="none"/>
                    </w:rPr>
                    <w:t>类别</w:t>
                  </w:r>
                </w:p>
              </w:tc>
              <w:tc>
                <w:tcPr>
                  <w:tcW w:w="678" w:type="pct"/>
                  <w:vAlign w:val="center"/>
                </w:tcPr>
                <w:p>
                  <w:pPr>
                    <w:adjustRightInd w:val="0"/>
                    <w:snapToGrid w:val="0"/>
                    <w:jc w:val="center"/>
                    <w:rPr>
                      <w:color w:val="auto"/>
                      <w:szCs w:val="21"/>
                      <w:highlight w:val="none"/>
                    </w:rPr>
                  </w:pPr>
                  <w:r>
                    <w:rPr>
                      <w:color w:val="auto"/>
                      <w:szCs w:val="21"/>
                      <w:highlight w:val="none"/>
                    </w:rPr>
                    <w:t>废物</w:t>
                  </w:r>
                </w:p>
                <w:p>
                  <w:pPr>
                    <w:adjustRightInd w:val="0"/>
                    <w:snapToGrid w:val="0"/>
                    <w:jc w:val="center"/>
                    <w:rPr>
                      <w:color w:val="auto"/>
                      <w:szCs w:val="21"/>
                      <w:highlight w:val="none"/>
                    </w:rPr>
                  </w:pPr>
                  <w:r>
                    <w:rPr>
                      <w:color w:val="auto"/>
                      <w:szCs w:val="21"/>
                      <w:highlight w:val="none"/>
                    </w:rPr>
                    <w:t>代码</w:t>
                  </w:r>
                </w:p>
              </w:tc>
              <w:tc>
                <w:tcPr>
                  <w:tcW w:w="412" w:type="pct"/>
                  <w:vAlign w:val="center"/>
                </w:tcPr>
                <w:p>
                  <w:pPr>
                    <w:adjustRightInd w:val="0"/>
                    <w:snapToGrid w:val="0"/>
                    <w:jc w:val="center"/>
                    <w:rPr>
                      <w:color w:val="auto"/>
                      <w:szCs w:val="21"/>
                      <w:highlight w:val="none"/>
                    </w:rPr>
                  </w:pPr>
                  <w:r>
                    <w:rPr>
                      <w:color w:val="auto"/>
                      <w:szCs w:val="21"/>
                      <w:highlight w:val="none"/>
                    </w:rPr>
                    <w:t>估算产生量（t/a）</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20" w:hRule="atLeast"/>
              </w:trPr>
              <w:tc>
                <w:tcPr>
                  <w:tcW w:w="432" w:type="pct"/>
                  <w:shd w:val="clear" w:color="auto" w:fill="FFFFFF"/>
                  <w:vAlign w:val="center"/>
                </w:tcPr>
                <w:p>
                  <w:pPr>
                    <w:jc w:val="center"/>
                    <w:rPr>
                      <w:bCs/>
                      <w:color w:val="auto"/>
                      <w:szCs w:val="21"/>
                      <w:highlight w:val="none"/>
                    </w:rPr>
                  </w:pPr>
                  <w:r>
                    <w:rPr>
                      <w:bCs/>
                      <w:color w:val="auto"/>
                      <w:szCs w:val="21"/>
                      <w:highlight w:val="none"/>
                    </w:rPr>
                    <w:t>S1-</w:t>
                  </w:r>
                  <w:r>
                    <w:rPr>
                      <w:rFonts w:hint="eastAsia"/>
                      <w:bCs/>
                      <w:color w:val="auto"/>
                      <w:szCs w:val="21"/>
                      <w:highlight w:val="none"/>
                    </w:rPr>
                    <w:t>5</w:t>
                  </w:r>
                </w:p>
              </w:tc>
              <w:tc>
                <w:tcPr>
                  <w:tcW w:w="598" w:type="pct"/>
                  <w:shd w:val="clear" w:color="auto" w:fill="FFFFFF"/>
                  <w:vAlign w:val="center"/>
                </w:tcPr>
                <w:p>
                  <w:pPr>
                    <w:jc w:val="center"/>
                    <w:rPr>
                      <w:bCs/>
                      <w:color w:val="auto"/>
                      <w:szCs w:val="21"/>
                      <w:highlight w:val="none"/>
                    </w:rPr>
                  </w:pPr>
                  <w:r>
                    <w:rPr>
                      <w:bCs/>
                      <w:color w:val="auto"/>
                      <w:szCs w:val="21"/>
                      <w:highlight w:val="none"/>
                    </w:rPr>
                    <w:t>清洗废液</w:t>
                  </w:r>
                </w:p>
              </w:tc>
              <w:tc>
                <w:tcPr>
                  <w:tcW w:w="340" w:type="pct"/>
                  <w:vMerge w:val="restart"/>
                  <w:tcBorders>
                    <w:top w:val="single" w:color="auto" w:sz="4" w:space="0"/>
                  </w:tcBorders>
                  <w:vAlign w:val="center"/>
                </w:tcPr>
                <w:p>
                  <w:pPr>
                    <w:jc w:val="center"/>
                    <w:rPr>
                      <w:color w:val="auto"/>
                      <w:szCs w:val="21"/>
                      <w:highlight w:val="none"/>
                    </w:rPr>
                  </w:pPr>
                  <w:r>
                    <w:rPr>
                      <w:color w:val="auto"/>
                      <w:szCs w:val="21"/>
                      <w:highlight w:val="none"/>
                    </w:rPr>
                    <w:t>危险</w:t>
                  </w:r>
                </w:p>
                <w:p>
                  <w:pPr>
                    <w:jc w:val="center"/>
                    <w:rPr>
                      <w:color w:val="auto"/>
                      <w:szCs w:val="21"/>
                      <w:highlight w:val="none"/>
                    </w:rPr>
                  </w:pPr>
                  <w:r>
                    <w:rPr>
                      <w:color w:val="auto"/>
                      <w:szCs w:val="21"/>
                      <w:highlight w:val="none"/>
                    </w:rPr>
                    <w:t>固废</w:t>
                  </w:r>
                </w:p>
              </w:tc>
              <w:tc>
                <w:tcPr>
                  <w:tcW w:w="577" w:type="pct"/>
                  <w:vMerge w:val="restart"/>
                  <w:vAlign w:val="center"/>
                </w:tcPr>
                <w:p>
                  <w:pPr>
                    <w:jc w:val="center"/>
                    <w:rPr>
                      <w:bCs/>
                      <w:color w:val="auto"/>
                      <w:szCs w:val="21"/>
                      <w:highlight w:val="none"/>
                    </w:rPr>
                  </w:pPr>
                  <w:r>
                    <w:rPr>
                      <w:bCs/>
                      <w:color w:val="auto"/>
                      <w:szCs w:val="21"/>
                      <w:highlight w:val="none"/>
                    </w:rPr>
                    <w:t>零部件清洗</w:t>
                  </w:r>
                </w:p>
              </w:tc>
              <w:tc>
                <w:tcPr>
                  <w:tcW w:w="211" w:type="pct"/>
                  <w:vAlign w:val="center"/>
                </w:tcPr>
                <w:p>
                  <w:pPr>
                    <w:jc w:val="center"/>
                    <w:rPr>
                      <w:color w:val="auto"/>
                      <w:szCs w:val="21"/>
                      <w:highlight w:val="none"/>
                    </w:rPr>
                  </w:pPr>
                  <w:r>
                    <w:rPr>
                      <w:color w:val="auto"/>
                      <w:szCs w:val="21"/>
                      <w:highlight w:val="none"/>
                    </w:rPr>
                    <w:t>液</w:t>
                  </w:r>
                </w:p>
              </w:tc>
              <w:tc>
                <w:tcPr>
                  <w:tcW w:w="600" w:type="pct"/>
                  <w:vAlign w:val="center"/>
                </w:tcPr>
                <w:p>
                  <w:pPr>
                    <w:jc w:val="center"/>
                    <w:rPr>
                      <w:color w:val="auto"/>
                      <w:kern w:val="0"/>
                      <w:szCs w:val="21"/>
                      <w:highlight w:val="none"/>
                    </w:rPr>
                  </w:pPr>
                  <w:r>
                    <w:rPr>
                      <w:color w:val="auto"/>
                      <w:kern w:val="0"/>
                      <w:szCs w:val="21"/>
                      <w:highlight w:val="none"/>
                    </w:rPr>
                    <w:t>乙醇、丙酮</w:t>
                  </w:r>
                </w:p>
              </w:tc>
              <w:tc>
                <w:tcPr>
                  <w:tcW w:w="409" w:type="pct"/>
                  <w:vMerge w:val="restart"/>
                  <w:vAlign w:val="center"/>
                </w:tcPr>
                <w:p>
                  <w:pPr>
                    <w:jc w:val="center"/>
                    <w:rPr>
                      <w:color w:val="auto"/>
                      <w:szCs w:val="21"/>
                      <w:highlight w:val="none"/>
                    </w:rPr>
                  </w:pPr>
                  <w:r>
                    <w:rPr>
                      <w:color w:val="auto"/>
                      <w:szCs w:val="21"/>
                      <w:highlight w:val="none"/>
                    </w:rPr>
                    <w:t>《国家危险废物名录》（2021年版）</w:t>
                  </w:r>
                </w:p>
              </w:tc>
              <w:tc>
                <w:tcPr>
                  <w:tcW w:w="357" w:type="pct"/>
                  <w:tcBorders>
                    <w:bottom w:val="single" w:color="auto" w:sz="4" w:space="0"/>
                  </w:tcBorders>
                  <w:vAlign w:val="center"/>
                </w:tcPr>
                <w:p>
                  <w:pPr>
                    <w:jc w:val="center"/>
                    <w:rPr>
                      <w:color w:val="auto"/>
                      <w:szCs w:val="21"/>
                      <w:highlight w:val="none"/>
                    </w:rPr>
                  </w:pPr>
                  <w:r>
                    <w:rPr>
                      <w:color w:val="auto"/>
                      <w:szCs w:val="21"/>
                      <w:highlight w:val="none"/>
                    </w:rPr>
                    <w:t>T.I.R</w:t>
                  </w:r>
                </w:p>
              </w:tc>
              <w:tc>
                <w:tcPr>
                  <w:tcW w:w="386" w:type="pct"/>
                  <w:tcBorders>
                    <w:bottom w:val="single" w:color="auto" w:sz="4" w:space="0"/>
                  </w:tcBorders>
                  <w:vAlign w:val="center"/>
                </w:tcPr>
                <w:p>
                  <w:pPr>
                    <w:adjustRightInd w:val="0"/>
                    <w:snapToGrid w:val="0"/>
                    <w:jc w:val="center"/>
                    <w:rPr>
                      <w:color w:val="auto"/>
                      <w:szCs w:val="21"/>
                      <w:highlight w:val="none"/>
                    </w:rPr>
                  </w:pPr>
                  <w:r>
                    <w:rPr>
                      <w:color w:val="auto"/>
                      <w:szCs w:val="21"/>
                      <w:highlight w:val="none"/>
                    </w:rPr>
                    <w:t>HW06</w:t>
                  </w:r>
                </w:p>
              </w:tc>
              <w:tc>
                <w:tcPr>
                  <w:tcW w:w="678" w:type="pct"/>
                  <w:tcBorders>
                    <w:bottom w:val="single" w:color="auto" w:sz="4" w:space="0"/>
                  </w:tcBorders>
                  <w:vAlign w:val="center"/>
                </w:tcPr>
                <w:p>
                  <w:pPr>
                    <w:adjustRightInd w:val="0"/>
                    <w:snapToGrid w:val="0"/>
                    <w:jc w:val="center"/>
                    <w:rPr>
                      <w:color w:val="auto"/>
                      <w:szCs w:val="21"/>
                      <w:highlight w:val="none"/>
                    </w:rPr>
                  </w:pPr>
                  <w:r>
                    <w:rPr>
                      <w:color w:val="auto"/>
                      <w:szCs w:val="21"/>
                      <w:highlight w:val="none"/>
                    </w:rPr>
                    <w:t>900-402-06</w:t>
                  </w:r>
                </w:p>
              </w:tc>
              <w:tc>
                <w:tcPr>
                  <w:tcW w:w="412" w:type="pct"/>
                  <w:vAlign w:val="center"/>
                </w:tcPr>
                <w:p>
                  <w:pPr>
                    <w:jc w:val="center"/>
                    <w:rPr>
                      <w:color w:val="auto"/>
                      <w:szCs w:val="21"/>
                      <w:highlight w:val="none"/>
                    </w:rPr>
                  </w:pPr>
                  <w:r>
                    <w:rPr>
                      <w:color w:val="auto"/>
                      <w:szCs w:val="21"/>
                      <w:highlight w:val="none"/>
                    </w:rPr>
                    <w:t>5.4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20" w:hRule="atLeast"/>
              </w:trPr>
              <w:tc>
                <w:tcPr>
                  <w:tcW w:w="432" w:type="pct"/>
                  <w:tcBorders>
                    <w:bottom w:val="single" w:color="auto" w:sz="4" w:space="0"/>
                  </w:tcBorders>
                  <w:shd w:val="clear" w:color="auto" w:fill="FFFFFF"/>
                  <w:vAlign w:val="center"/>
                </w:tcPr>
                <w:p>
                  <w:pPr>
                    <w:jc w:val="center"/>
                    <w:rPr>
                      <w:bCs/>
                      <w:color w:val="auto"/>
                      <w:szCs w:val="21"/>
                      <w:highlight w:val="none"/>
                    </w:rPr>
                  </w:pPr>
                  <w:r>
                    <w:rPr>
                      <w:bCs/>
                      <w:color w:val="auto"/>
                      <w:szCs w:val="21"/>
                      <w:highlight w:val="none"/>
                    </w:rPr>
                    <w:t>S</w:t>
                  </w:r>
                  <w:r>
                    <w:rPr>
                      <w:rFonts w:hint="eastAsia"/>
                      <w:bCs/>
                      <w:color w:val="auto"/>
                      <w:szCs w:val="21"/>
                      <w:highlight w:val="none"/>
                    </w:rPr>
                    <w:t>8</w:t>
                  </w:r>
                </w:p>
              </w:tc>
              <w:tc>
                <w:tcPr>
                  <w:tcW w:w="598" w:type="pct"/>
                  <w:tcBorders>
                    <w:bottom w:val="single" w:color="auto" w:sz="4" w:space="0"/>
                  </w:tcBorders>
                  <w:shd w:val="clear" w:color="auto" w:fill="FFFFFF"/>
                  <w:vAlign w:val="center"/>
                </w:tcPr>
                <w:p>
                  <w:pPr>
                    <w:jc w:val="center"/>
                    <w:rPr>
                      <w:bCs/>
                      <w:color w:val="auto"/>
                      <w:szCs w:val="21"/>
                      <w:highlight w:val="none"/>
                    </w:rPr>
                  </w:pPr>
                  <w:r>
                    <w:rPr>
                      <w:bCs/>
                      <w:color w:val="auto"/>
                      <w:szCs w:val="21"/>
                      <w:highlight w:val="none"/>
                    </w:rPr>
                    <w:t>废包装瓶</w:t>
                  </w:r>
                </w:p>
              </w:tc>
              <w:tc>
                <w:tcPr>
                  <w:tcW w:w="340" w:type="pct"/>
                  <w:vMerge w:val="continue"/>
                  <w:vAlign w:val="center"/>
                </w:tcPr>
                <w:p>
                  <w:pPr>
                    <w:jc w:val="center"/>
                    <w:rPr>
                      <w:color w:val="auto"/>
                      <w:szCs w:val="21"/>
                      <w:highlight w:val="none"/>
                    </w:rPr>
                  </w:pPr>
                </w:p>
              </w:tc>
              <w:tc>
                <w:tcPr>
                  <w:tcW w:w="577" w:type="pct"/>
                  <w:vMerge w:val="continue"/>
                  <w:vAlign w:val="center"/>
                </w:tcPr>
                <w:p>
                  <w:pPr>
                    <w:jc w:val="center"/>
                    <w:rPr>
                      <w:bCs/>
                      <w:color w:val="auto"/>
                      <w:szCs w:val="21"/>
                      <w:highlight w:val="none"/>
                    </w:rPr>
                  </w:pPr>
                </w:p>
              </w:tc>
              <w:tc>
                <w:tcPr>
                  <w:tcW w:w="211" w:type="pct"/>
                  <w:tcBorders>
                    <w:bottom w:val="single" w:color="auto" w:sz="4" w:space="0"/>
                  </w:tcBorders>
                  <w:vAlign w:val="center"/>
                </w:tcPr>
                <w:p>
                  <w:pPr>
                    <w:jc w:val="center"/>
                    <w:rPr>
                      <w:color w:val="auto"/>
                      <w:szCs w:val="21"/>
                      <w:highlight w:val="none"/>
                    </w:rPr>
                  </w:pPr>
                  <w:r>
                    <w:rPr>
                      <w:color w:val="auto"/>
                      <w:szCs w:val="21"/>
                      <w:highlight w:val="none"/>
                    </w:rPr>
                    <w:t>固</w:t>
                  </w:r>
                </w:p>
              </w:tc>
              <w:tc>
                <w:tcPr>
                  <w:tcW w:w="600" w:type="pct"/>
                  <w:tcBorders>
                    <w:bottom w:val="single" w:color="auto" w:sz="4" w:space="0"/>
                  </w:tcBorders>
                  <w:vAlign w:val="center"/>
                </w:tcPr>
                <w:p>
                  <w:pPr>
                    <w:jc w:val="center"/>
                    <w:rPr>
                      <w:color w:val="auto"/>
                      <w:spacing w:val="-10"/>
                      <w:szCs w:val="21"/>
                      <w:highlight w:val="none"/>
                    </w:rPr>
                  </w:pPr>
                  <w:r>
                    <w:rPr>
                      <w:color w:val="auto"/>
                      <w:spacing w:val="-10"/>
                      <w:szCs w:val="21"/>
                      <w:highlight w:val="none"/>
                    </w:rPr>
                    <w:t>乙醇、丙酮</w:t>
                  </w:r>
                </w:p>
              </w:tc>
              <w:tc>
                <w:tcPr>
                  <w:tcW w:w="409" w:type="pct"/>
                  <w:vMerge w:val="continue"/>
                  <w:vAlign w:val="center"/>
                </w:tcPr>
                <w:p>
                  <w:pPr>
                    <w:jc w:val="center"/>
                    <w:rPr>
                      <w:color w:val="auto"/>
                      <w:szCs w:val="21"/>
                      <w:highlight w:val="none"/>
                    </w:rPr>
                  </w:pPr>
                </w:p>
              </w:tc>
              <w:tc>
                <w:tcPr>
                  <w:tcW w:w="357" w:type="pct"/>
                  <w:tcBorders>
                    <w:top w:val="single" w:color="auto" w:sz="4" w:space="0"/>
                    <w:bottom w:val="single" w:color="auto" w:sz="4" w:space="0"/>
                  </w:tcBorders>
                  <w:vAlign w:val="center"/>
                </w:tcPr>
                <w:p>
                  <w:pPr>
                    <w:jc w:val="center"/>
                    <w:rPr>
                      <w:color w:val="auto"/>
                      <w:highlight w:val="none"/>
                    </w:rPr>
                  </w:pPr>
                  <w:r>
                    <w:rPr>
                      <w:color w:val="auto"/>
                      <w:szCs w:val="21"/>
                      <w:highlight w:val="none"/>
                    </w:rPr>
                    <w:t>T/In</w:t>
                  </w:r>
                </w:p>
              </w:tc>
              <w:tc>
                <w:tcPr>
                  <w:tcW w:w="386" w:type="pct"/>
                  <w:tcBorders>
                    <w:top w:val="single" w:color="auto" w:sz="4" w:space="0"/>
                    <w:bottom w:val="single" w:color="auto" w:sz="4" w:space="0"/>
                  </w:tcBorders>
                  <w:vAlign w:val="center"/>
                </w:tcPr>
                <w:p>
                  <w:pPr>
                    <w:adjustRightInd w:val="0"/>
                    <w:snapToGrid w:val="0"/>
                    <w:jc w:val="center"/>
                    <w:rPr>
                      <w:color w:val="auto"/>
                      <w:highlight w:val="none"/>
                    </w:rPr>
                  </w:pPr>
                  <w:r>
                    <w:rPr>
                      <w:color w:val="auto"/>
                      <w:szCs w:val="21"/>
                      <w:highlight w:val="none"/>
                    </w:rPr>
                    <w:t>HW49</w:t>
                  </w:r>
                </w:p>
              </w:tc>
              <w:tc>
                <w:tcPr>
                  <w:tcW w:w="678" w:type="pct"/>
                  <w:tcBorders>
                    <w:top w:val="single" w:color="auto" w:sz="4" w:space="0"/>
                    <w:bottom w:val="single" w:color="auto" w:sz="4" w:space="0"/>
                  </w:tcBorders>
                  <w:vAlign w:val="center"/>
                </w:tcPr>
                <w:p>
                  <w:pPr>
                    <w:adjustRightInd w:val="0"/>
                    <w:snapToGrid w:val="0"/>
                    <w:jc w:val="center"/>
                    <w:rPr>
                      <w:color w:val="auto"/>
                      <w:highlight w:val="none"/>
                    </w:rPr>
                  </w:pPr>
                  <w:r>
                    <w:rPr>
                      <w:color w:val="auto"/>
                      <w:szCs w:val="21"/>
                      <w:highlight w:val="none"/>
                    </w:rPr>
                    <w:t>900-041-49</w:t>
                  </w:r>
                </w:p>
              </w:tc>
              <w:tc>
                <w:tcPr>
                  <w:tcW w:w="412" w:type="pct"/>
                  <w:tcBorders>
                    <w:bottom w:val="single" w:color="auto" w:sz="4" w:space="0"/>
                  </w:tcBorders>
                  <w:vAlign w:val="center"/>
                </w:tcPr>
                <w:p>
                  <w:pPr>
                    <w:jc w:val="center"/>
                    <w:rPr>
                      <w:color w:val="auto"/>
                      <w:szCs w:val="21"/>
                      <w:highlight w:val="none"/>
                    </w:rPr>
                  </w:pPr>
                  <w:r>
                    <w:rPr>
                      <w:color w:val="auto"/>
                      <w:szCs w:val="21"/>
                      <w:highlight w:val="none"/>
                    </w:rPr>
                    <w:t>0.5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20" w:hRule="atLeast"/>
              </w:trPr>
              <w:tc>
                <w:tcPr>
                  <w:tcW w:w="432" w:type="pct"/>
                  <w:tcBorders>
                    <w:top w:val="single" w:color="auto" w:sz="4" w:space="0"/>
                  </w:tcBorders>
                  <w:shd w:val="clear" w:color="auto" w:fill="FFFFFF"/>
                  <w:vAlign w:val="center"/>
                </w:tcPr>
                <w:p>
                  <w:pPr>
                    <w:jc w:val="center"/>
                    <w:rPr>
                      <w:bCs/>
                      <w:color w:val="auto"/>
                      <w:szCs w:val="21"/>
                      <w:highlight w:val="none"/>
                    </w:rPr>
                  </w:pPr>
                  <w:r>
                    <w:rPr>
                      <w:bCs/>
                      <w:color w:val="auto"/>
                      <w:szCs w:val="21"/>
                      <w:highlight w:val="none"/>
                    </w:rPr>
                    <w:t>S</w:t>
                  </w:r>
                  <w:r>
                    <w:rPr>
                      <w:rFonts w:hint="eastAsia"/>
                      <w:bCs/>
                      <w:color w:val="auto"/>
                      <w:szCs w:val="21"/>
                      <w:highlight w:val="none"/>
                    </w:rPr>
                    <w:t>9</w:t>
                  </w:r>
                </w:p>
              </w:tc>
              <w:tc>
                <w:tcPr>
                  <w:tcW w:w="598" w:type="pct"/>
                  <w:tcBorders>
                    <w:top w:val="single" w:color="auto" w:sz="4" w:space="0"/>
                  </w:tcBorders>
                  <w:shd w:val="clear" w:color="auto" w:fill="FFFFFF"/>
                  <w:vAlign w:val="center"/>
                </w:tcPr>
                <w:p>
                  <w:pPr>
                    <w:jc w:val="center"/>
                    <w:rPr>
                      <w:bCs/>
                      <w:color w:val="auto"/>
                      <w:szCs w:val="21"/>
                      <w:highlight w:val="none"/>
                    </w:rPr>
                  </w:pPr>
                  <w:r>
                    <w:rPr>
                      <w:bCs/>
                      <w:color w:val="auto"/>
                      <w:szCs w:val="21"/>
                      <w:highlight w:val="none"/>
                    </w:rPr>
                    <w:t>废润滑油</w:t>
                  </w:r>
                </w:p>
              </w:tc>
              <w:tc>
                <w:tcPr>
                  <w:tcW w:w="340" w:type="pct"/>
                  <w:vMerge w:val="continue"/>
                  <w:vAlign w:val="center"/>
                </w:tcPr>
                <w:p>
                  <w:pPr>
                    <w:jc w:val="center"/>
                    <w:rPr>
                      <w:color w:val="auto"/>
                      <w:szCs w:val="21"/>
                      <w:highlight w:val="none"/>
                    </w:rPr>
                  </w:pPr>
                </w:p>
              </w:tc>
              <w:tc>
                <w:tcPr>
                  <w:tcW w:w="577" w:type="pct"/>
                  <w:vMerge w:val="continue"/>
                  <w:vAlign w:val="center"/>
                </w:tcPr>
                <w:p>
                  <w:pPr>
                    <w:jc w:val="center"/>
                    <w:rPr>
                      <w:bCs/>
                      <w:color w:val="auto"/>
                      <w:szCs w:val="21"/>
                      <w:highlight w:val="none"/>
                    </w:rPr>
                  </w:pPr>
                </w:p>
              </w:tc>
              <w:tc>
                <w:tcPr>
                  <w:tcW w:w="211" w:type="pct"/>
                  <w:tcBorders>
                    <w:top w:val="single" w:color="auto" w:sz="4" w:space="0"/>
                  </w:tcBorders>
                  <w:vAlign w:val="center"/>
                </w:tcPr>
                <w:p>
                  <w:pPr>
                    <w:jc w:val="center"/>
                    <w:rPr>
                      <w:color w:val="auto"/>
                      <w:szCs w:val="21"/>
                      <w:highlight w:val="none"/>
                    </w:rPr>
                  </w:pPr>
                  <w:r>
                    <w:rPr>
                      <w:color w:val="auto"/>
                      <w:szCs w:val="21"/>
                      <w:highlight w:val="none"/>
                    </w:rPr>
                    <w:t>液</w:t>
                  </w:r>
                </w:p>
              </w:tc>
              <w:tc>
                <w:tcPr>
                  <w:tcW w:w="600" w:type="pct"/>
                  <w:tcBorders>
                    <w:top w:val="single" w:color="auto" w:sz="4" w:space="0"/>
                  </w:tcBorders>
                  <w:vAlign w:val="center"/>
                </w:tcPr>
                <w:p>
                  <w:pPr>
                    <w:jc w:val="center"/>
                    <w:rPr>
                      <w:color w:val="auto"/>
                      <w:spacing w:val="-10"/>
                      <w:szCs w:val="21"/>
                      <w:highlight w:val="none"/>
                    </w:rPr>
                  </w:pPr>
                  <w:r>
                    <w:rPr>
                      <w:color w:val="auto"/>
                      <w:spacing w:val="-10"/>
                      <w:szCs w:val="21"/>
                      <w:highlight w:val="none"/>
                    </w:rPr>
                    <w:t>矿物油</w:t>
                  </w:r>
                </w:p>
              </w:tc>
              <w:tc>
                <w:tcPr>
                  <w:tcW w:w="409" w:type="pct"/>
                  <w:vMerge w:val="continue"/>
                  <w:vAlign w:val="center"/>
                </w:tcPr>
                <w:p>
                  <w:pPr>
                    <w:jc w:val="center"/>
                    <w:rPr>
                      <w:color w:val="auto"/>
                      <w:szCs w:val="21"/>
                      <w:highlight w:val="none"/>
                    </w:rPr>
                  </w:pPr>
                </w:p>
              </w:tc>
              <w:tc>
                <w:tcPr>
                  <w:tcW w:w="357" w:type="pct"/>
                  <w:tcBorders>
                    <w:top w:val="single" w:color="auto" w:sz="4" w:space="0"/>
                  </w:tcBorders>
                  <w:vAlign w:val="center"/>
                </w:tcPr>
                <w:p>
                  <w:pPr>
                    <w:jc w:val="center"/>
                    <w:rPr>
                      <w:color w:val="auto"/>
                      <w:highlight w:val="none"/>
                    </w:rPr>
                  </w:pPr>
                  <w:r>
                    <w:rPr>
                      <w:color w:val="auto"/>
                      <w:szCs w:val="21"/>
                      <w:highlight w:val="none"/>
                    </w:rPr>
                    <w:t>T.I</w:t>
                  </w:r>
                </w:p>
              </w:tc>
              <w:tc>
                <w:tcPr>
                  <w:tcW w:w="386" w:type="pct"/>
                  <w:tcBorders>
                    <w:top w:val="single" w:color="auto" w:sz="4" w:space="0"/>
                  </w:tcBorders>
                  <w:vAlign w:val="center"/>
                </w:tcPr>
                <w:p>
                  <w:pPr>
                    <w:jc w:val="center"/>
                    <w:rPr>
                      <w:color w:val="auto"/>
                      <w:highlight w:val="none"/>
                    </w:rPr>
                  </w:pPr>
                  <w:r>
                    <w:rPr>
                      <w:color w:val="auto"/>
                      <w:szCs w:val="21"/>
                      <w:highlight w:val="none"/>
                    </w:rPr>
                    <w:t>HW08</w:t>
                  </w:r>
                </w:p>
              </w:tc>
              <w:tc>
                <w:tcPr>
                  <w:tcW w:w="678" w:type="pct"/>
                  <w:tcBorders>
                    <w:top w:val="single" w:color="auto" w:sz="4" w:space="0"/>
                  </w:tcBorders>
                  <w:vAlign w:val="center"/>
                </w:tcPr>
                <w:p>
                  <w:pPr>
                    <w:jc w:val="center"/>
                    <w:rPr>
                      <w:color w:val="auto"/>
                      <w:highlight w:val="none"/>
                    </w:rPr>
                  </w:pPr>
                  <w:r>
                    <w:rPr>
                      <w:color w:val="auto"/>
                      <w:highlight w:val="none"/>
                    </w:rPr>
                    <w:t>900-200-08</w:t>
                  </w:r>
                </w:p>
              </w:tc>
              <w:tc>
                <w:tcPr>
                  <w:tcW w:w="412" w:type="pct"/>
                  <w:tcBorders>
                    <w:top w:val="single" w:color="auto" w:sz="4" w:space="0"/>
                  </w:tcBorders>
                  <w:vAlign w:val="center"/>
                </w:tcPr>
                <w:p>
                  <w:pPr>
                    <w:jc w:val="center"/>
                    <w:rPr>
                      <w:color w:val="auto"/>
                      <w:szCs w:val="21"/>
                      <w:highlight w:val="none"/>
                    </w:rPr>
                  </w:pPr>
                  <w:r>
                    <w:rPr>
                      <w:color w:val="auto"/>
                      <w:szCs w:val="21"/>
                      <w:highlight w:val="none"/>
                    </w:rPr>
                    <w:t>0.1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20" w:hRule="atLeast"/>
              </w:trPr>
              <w:tc>
                <w:tcPr>
                  <w:tcW w:w="432" w:type="pct"/>
                  <w:tcBorders>
                    <w:top w:val="single" w:color="auto" w:sz="4" w:space="0"/>
                    <w:bottom w:val="single" w:color="auto" w:sz="4" w:space="0"/>
                  </w:tcBorders>
                  <w:shd w:val="clear" w:color="auto" w:fill="FFFFFF"/>
                  <w:vAlign w:val="center"/>
                </w:tcPr>
                <w:p>
                  <w:pPr>
                    <w:jc w:val="center"/>
                    <w:rPr>
                      <w:bCs/>
                      <w:color w:val="auto"/>
                      <w:szCs w:val="21"/>
                      <w:highlight w:val="none"/>
                    </w:rPr>
                  </w:pPr>
                  <w:r>
                    <w:rPr>
                      <w:bCs/>
                      <w:color w:val="auto"/>
                      <w:szCs w:val="21"/>
                      <w:highlight w:val="none"/>
                    </w:rPr>
                    <w:t>S1</w:t>
                  </w:r>
                  <w:r>
                    <w:rPr>
                      <w:rFonts w:hint="eastAsia"/>
                      <w:bCs/>
                      <w:color w:val="auto"/>
                      <w:szCs w:val="21"/>
                      <w:highlight w:val="none"/>
                    </w:rPr>
                    <w:t>0</w:t>
                  </w:r>
                </w:p>
              </w:tc>
              <w:tc>
                <w:tcPr>
                  <w:tcW w:w="598" w:type="pct"/>
                  <w:tcBorders>
                    <w:top w:val="single" w:color="auto" w:sz="4" w:space="0"/>
                    <w:bottom w:val="single" w:color="auto" w:sz="4" w:space="0"/>
                  </w:tcBorders>
                  <w:shd w:val="clear" w:color="auto" w:fill="FFFFFF"/>
                  <w:vAlign w:val="center"/>
                </w:tcPr>
                <w:p>
                  <w:pPr>
                    <w:jc w:val="center"/>
                    <w:rPr>
                      <w:bCs/>
                      <w:color w:val="auto"/>
                      <w:szCs w:val="21"/>
                      <w:highlight w:val="none"/>
                    </w:rPr>
                  </w:pPr>
                  <w:r>
                    <w:rPr>
                      <w:bCs/>
                      <w:color w:val="auto"/>
                      <w:szCs w:val="21"/>
                      <w:highlight w:val="none"/>
                    </w:rPr>
                    <w:t>废活性炭</w:t>
                  </w:r>
                </w:p>
              </w:tc>
              <w:tc>
                <w:tcPr>
                  <w:tcW w:w="340" w:type="pct"/>
                  <w:vMerge w:val="continue"/>
                  <w:tcBorders>
                    <w:bottom w:val="single" w:color="auto" w:sz="4" w:space="0"/>
                  </w:tcBorders>
                  <w:vAlign w:val="center"/>
                </w:tcPr>
                <w:p>
                  <w:pPr>
                    <w:jc w:val="center"/>
                    <w:rPr>
                      <w:color w:val="auto"/>
                      <w:szCs w:val="21"/>
                      <w:highlight w:val="none"/>
                    </w:rPr>
                  </w:pPr>
                </w:p>
              </w:tc>
              <w:tc>
                <w:tcPr>
                  <w:tcW w:w="577" w:type="pct"/>
                  <w:tcBorders>
                    <w:top w:val="single" w:color="auto" w:sz="4" w:space="0"/>
                    <w:bottom w:val="single" w:color="auto" w:sz="4" w:space="0"/>
                  </w:tcBorders>
                  <w:vAlign w:val="center"/>
                </w:tcPr>
                <w:p>
                  <w:pPr>
                    <w:jc w:val="center"/>
                    <w:rPr>
                      <w:bCs/>
                      <w:color w:val="auto"/>
                      <w:szCs w:val="21"/>
                      <w:highlight w:val="none"/>
                    </w:rPr>
                  </w:pPr>
                  <w:r>
                    <w:rPr>
                      <w:bCs/>
                      <w:color w:val="auto"/>
                      <w:szCs w:val="21"/>
                      <w:highlight w:val="none"/>
                    </w:rPr>
                    <w:t>废气处理</w:t>
                  </w:r>
                </w:p>
              </w:tc>
              <w:tc>
                <w:tcPr>
                  <w:tcW w:w="211" w:type="pct"/>
                  <w:tcBorders>
                    <w:top w:val="single" w:color="auto" w:sz="4" w:space="0"/>
                    <w:bottom w:val="single" w:color="auto" w:sz="4" w:space="0"/>
                  </w:tcBorders>
                  <w:vAlign w:val="center"/>
                </w:tcPr>
                <w:p>
                  <w:pPr>
                    <w:jc w:val="center"/>
                    <w:rPr>
                      <w:color w:val="auto"/>
                      <w:szCs w:val="21"/>
                      <w:highlight w:val="none"/>
                    </w:rPr>
                  </w:pPr>
                  <w:r>
                    <w:rPr>
                      <w:color w:val="auto"/>
                      <w:szCs w:val="21"/>
                      <w:highlight w:val="none"/>
                    </w:rPr>
                    <w:t>固</w:t>
                  </w:r>
                </w:p>
              </w:tc>
              <w:tc>
                <w:tcPr>
                  <w:tcW w:w="600" w:type="pct"/>
                  <w:tcBorders>
                    <w:top w:val="single" w:color="auto" w:sz="4" w:space="0"/>
                    <w:bottom w:val="single" w:color="auto" w:sz="4" w:space="0"/>
                  </w:tcBorders>
                  <w:vAlign w:val="center"/>
                </w:tcPr>
                <w:p>
                  <w:pPr>
                    <w:jc w:val="center"/>
                    <w:rPr>
                      <w:color w:val="auto"/>
                      <w:spacing w:val="-10"/>
                      <w:szCs w:val="21"/>
                      <w:highlight w:val="none"/>
                    </w:rPr>
                  </w:pPr>
                  <w:r>
                    <w:rPr>
                      <w:color w:val="auto"/>
                      <w:spacing w:val="-10"/>
                      <w:szCs w:val="21"/>
                      <w:highlight w:val="none"/>
                    </w:rPr>
                    <w:t>乙醇、丙酮</w:t>
                  </w:r>
                </w:p>
              </w:tc>
              <w:tc>
                <w:tcPr>
                  <w:tcW w:w="409" w:type="pct"/>
                  <w:vMerge w:val="continue"/>
                  <w:tcBorders>
                    <w:bottom w:val="single" w:color="auto" w:sz="4" w:space="0"/>
                  </w:tcBorders>
                  <w:vAlign w:val="center"/>
                </w:tcPr>
                <w:p>
                  <w:pPr>
                    <w:jc w:val="center"/>
                    <w:rPr>
                      <w:color w:val="auto"/>
                      <w:szCs w:val="21"/>
                      <w:highlight w:val="none"/>
                    </w:rPr>
                  </w:pPr>
                </w:p>
              </w:tc>
              <w:tc>
                <w:tcPr>
                  <w:tcW w:w="357" w:type="pct"/>
                  <w:tcBorders>
                    <w:top w:val="single" w:color="auto" w:sz="4" w:space="0"/>
                    <w:bottom w:val="single" w:color="auto" w:sz="4" w:space="0"/>
                  </w:tcBorders>
                  <w:vAlign w:val="center"/>
                </w:tcPr>
                <w:p>
                  <w:pPr>
                    <w:jc w:val="center"/>
                    <w:rPr>
                      <w:color w:val="auto"/>
                      <w:highlight w:val="none"/>
                    </w:rPr>
                  </w:pPr>
                  <w:r>
                    <w:rPr>
                      <w:color w:val="auto"/>
                      <w:highlight w:val="none"/>
                    </w:rPr>
                    <w:t>T</w:t>
                  </w:r>
                </w:p>
              </w:tc>
              <w:tc>
                <w:tcPr>
                  <w:tcW w:w="386" w:type="pct"/>
                  <w:tcBorders>
                    <w:top w:val="single" w:color="auto" w:sz="4" w:space="0"/>
                    <w:bottom w:val="single" w:color="auto" w:sz="4" w:space="0"/>
                  </w:tcBorders>
                  <w:vAlign w:val="center"/>
                </w:tcPr>
                <w:p>
                  <w:pPr>
                    <w:jc w:val="center"/>
                    <w:rPr>
                      <w:color w:val="auto"/>
                      <w:szCs w:val="21"/>
                      <w:highlight w:val="none"/>
                    </w:rPr>
                  </w:pPr>
                  <w:r>
                    <w:rPr>
                      <w:color w:val="auto"/>
                      <w:szCs w:val="21"/>
                      <w:highlight w:val="none"/>
                    </w:rPr>
                    <w:t>HW49</w:t>
                  </w:r>
                </w:p>
              </w:tc>
              <w:tc>
                <w:tcPr>
                  <w:tcW w:w="678" w:type="pct"/>
                  <w:tcBorders>
                    <w:top w:val="single" w:color="auto" w:sz="4" w:space="0"/>
                    <w:bottom w:val="single" w:color="auto" w:sz="4" w:space="0"/>
                  </w:tcBorders>
                  <w:vAlign w:val="center"/>
                </w:tcPr>
                <w:p>
                  <w:pPr>
                    <w:jc w:val="center"/>
                    <w:rPr>
                      <w:color w:val="auto"/>
                      <w:highlight w:val="none"/>
                    </w:rPr>
                  </w:pPr>
                  <w:r>
                    <w:rPr>
                      <w:color w:val="auto"/>
                      <w:highlight w:val="none"/>
                    </w:rPr>
                    <w:t>900-039-49</w:t>
                  </w:r>
                </w:p>
              </w:tc>
              <w:tc>
                <w:tcPr>
                  <w:tcW w:w="412" w:type="pct"/>
                  <w:tcBorders>
                    <w:top w:val="single" w:color="auto" w:sz="4" w:space="0"/>
                    <w:bottom w:val="single" w:color="auto" w:sz="4" w:space="0"/>
                  </w:tcBorders>
                  <w:vAlign w:val="center"/>
                </w:tcPr>
                <w:p>
                  <w:pPr>
                    <w:jc w:val="center"/>
                    <w:rPr>
                      <w:color w:val="auto"/>
                      <w:szCs w:val="21"/>
                      <w:highlight w:val="none"/>
                    </w:rPr>
                  </w:pPr>
                  <w:r>
                    <w:rPr>
                      <w:color w:val="auto"/>
                      <w:szCs w:val="21"/>
                      <w:highlight w:val="none"/>
                    </w:rPr>
                    <w:t>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20" w:hRule="atLeast"/>
              </w:trPr>
              <w:tc>
                <w:tcPr>
                  <w:tcW w:w="432" w:type="pct"/>
                  <w:tcBorders>
                    <w:top w:val="single" w:color="auto" w:sz="4" w:space="0"/>
                    <w:bottom w:val="single" w:color="auto" w:sz="4" w:space="0"/>
                  </w:tcBorders>
                  <w:shd w:val="clear" w:color="auto" w:fill="FFFFFF"/>
                  <w:vAlign w:val="center"/>
                </w:tcPr>
                <w:p>
                  <w:pPr>
                    <w:jc w:val="center"/>
                    <w:rPr>
                      <w:bCs/>
                      <w:color w:val="auto"/>
                      <w:szCs w:val="21"/>
                      <w:highlight w:val="none"/>
                    </w:rPr>
                  </w:pPr>
                  <w:r>
                    <w:rPr>
                      <w:bCs/>
                      <w:color w:val="auto"/>
                      <w:szCs w:val="21"/>
                      <w:highlight w:val="none"/>
                    </w:rPr>
                    <w:t>S</w:t>
                  </w:r>
                  <w:r>
                    <w:rPr>
                      <w:rFonts w:hint="eastAsia"/>
                      <w:bCs/>
                      <w:color w:val="auto"/>
                      <w:szCs w:val="21"/>
                      <w:highlight w:val="none"/>
                    </w:rPr>
                    <w:t>7</w:t>
                  </w:r>
                </w:p>
              </w:tc>
              <w:tc>
                <w:tcPr>
                  <w:tcW w:w="598" w:type="pct"/>
                  <w:tcBorders>
                    <w:top w:val="single" w:color="auto" w:sz="4" w:space="0"/>
                    <w:bottom w:val="single" w:color="auto" w:sz="4" w:space="0"/>
                  </w:tcBorders>
                  <w:shd w:val="clear" w:color="auto" w:fill="FFFFFF"/>
                  <w:vAlign w:val="center"/>
                </w:tcPr>
                <w:p>
                  <w:pPr>
                    <w:jc w:val="center"/>
                    <w:rPr>
                      <w:bCs/>
                      <w:color w:val="auto"/>
                      <w:szCs w:val="21"/>
                      <w:highlight w:val="none"/>
                    </w:rPr>
                  </w:pPr>
                  <w:r>
                    <w:rPr>
                      <w:bCs/>
                      <w:color w:val="auto"/>
                      <w:szCs w:val="21"/>
                      <w:highlight w:val="none"/>
                    </w:rPr>
                    <w:t>废过滤筒</w:t>
                  </w:r>
                </w:p>
              </w:tc>
              <w:tc>
                <w:tcPr>
                  <w:tcW w:w="340" w:type="pct"/>
                  <w:vMerge w:val="restart"/>
                  <w:tcBorders>
                    <w:top w:val="single" w:color="auto" w:sz="4" w:space="0"/>
                  </w:tcBorders>
                  <w:vAlign w:val="center"/>
                </w:tcPr>
                <w:p>
                  <w:pPr>
                    <w:jc w:val="center"/>
                    <w:rPr>
                      <w:color w:val="auto"/>
                      <w:szCs w:val="21"/>
                      <w:highlight w:val="none"/>
                    </w:rPr>
                  </w:pPr>
                  <w:r>
                    <w:rPr>
                      <w:color w:val="auto"/>
                      <w:szCs w:val="21"/>
                      <w:highlight w:val="none"/>
                    </w:rPr>
                    <w:t>一般工业固废</w:t>
                  </w:r>
                </w:p>
              </w:tc>
              <w:tc>
                <w:tcPr>
                  <w:tcW w:w="577" w:type="pct"/>
                  <w:tcBorders>
                    <w:top w:val="single" w:color="auto" w:sz="4" w:space="0"/>
                    <w:bottom w:val="single" w:color="auto" w:sz="4" w:space="0"/>
                  </w:tcBorders>
                  <w:vAlign w:val="center"/>
                </w:tcPr>
                <w:p>
                  <w:pPr>
                    <w:jc w:val="center"/>
                    <w:rPr>
                      <w:bCs/>
                      <w:color w:val="auto"/>
                      <w:szCs w:val="21"/>
                      <w:highlight w:val="none"/>
                    </w:rPr>
                  </w:pPr>
                  <w:r>
                    <w:rPr>
                      <w:bCs/>
                      <w:color w:val="auto"/>
                      <w:szCs w:val="21"/>
                      <w:highlight w:val="none"/>
                    </w:rPr>
                    <w:t>装箱</w:t>
                  </w:r>
                </w:p>
              </w:tc>
              <w:tc>
                <w:tcPr>
                  <w:tcW w:w="211" w:type="pct"/>
                  <w:tcBorders>
                    <w:top w:val="single" w:color="auto" w:sz="4" w:space="0"/>
                    <w:bottom w:val="single" w:color="auto" w:sz="4" w:space="0"/>
                  </w:tcBorders>
                  <w:vAlign w:val="center"/>
                </w:tcPr>
                <w:p>
                  <w:pPr>
                    <w:jc w:val="center"/>
                    <w:rPr>
                      <w:color w:val="auto"/>
                      <w:szCs w:val="21"/>
                      <w:highlight w:val="none"/>
                    </w:rPr>
                  </w:pPr>
                  <w:r>
                    <w:rPr>
                      <w:color w:val="auto"/>
                      <w:szCs w:val="21"/>
                      <w:highlight w:val="none"/>
                    </w:rPr>
                    <w:t>固</w:t>
                  </w:r>
                </w:p>
              </w:tc>
              <w:tc>
                <w:tcPr>
                  <w:tcW w:w="600" w:type="pct"/>
                  <w:tcBorders>
                    <w:top w:val="single" w:color="auto" w:sz="4" w:space="0"/>
                    <w:bottom w:val="single" w:color="auto" w:sz="4" w:space="0"/>
                  </w:tcBorders>
                  <w:vAlign w:val="center"/>
                </w:tcPr>
                <w:p>
                  <w:pPr>
                    <w:jc w:val="center"/>
                    <w:rPr>
                      <w:color w:val="auto"/>
                      <w:kern w:val="0"/>
                      <w:szCs w:val="21"/>
                      <w:highlight w:val="none"/>
                    </w:rPr>
                  </w:pPr>
                  <w:r>
                    <w:rPr>
                      <w:color w:val="auto"/>
                      <w:spacing w:val="-10"/>
                      <w:szCs w:val="21"/>
                      <w:highlight w:val="none"/>
                    </w:rPr>
                    <w:t>--</w:t>
                  </w:r>
                </w:p>
              </w:tc>
              <w:tc>
                <w:tcPr>
                  <w:tcW w:w="409" w:type="pct"/>
                  <w:tcBorders>
                    <w:top w:val="single" w:color="auto" w:sz="4" w:space="0"/>
                    <w:bottom w:val="single" w:color="auto" w:sz="4" w:space="0"/>
                  </w:tcBorders>
                  <w:vAlign w:val="center"/>
                </w:tcPr>
                <w:p>
                  <w:pPr>
                    <w:jc w:val="center"/>
                    <w:rPr>
                      <w:color w:val="auto"/>
                      <w:szCs w:val="21"/>
                      <w:highlight w:val="none"/>
                    </w:rPr>
                  </w:pPr>
                  <w:r>
                    <w:rPr>
                      <w:color w:val="auto"/>
                      <w:szCs w:val="21"/>
                      <w:highlight w:val="none"/>
                    </w:rPr>
                    <w:t>--</w:t>
                  </w:r>
                </w:p>
              </w:tc>
              <w:tc>
                <w:tcPr>
                  <w:tcW w:w="357" w:type="pct"/>
                  <w:tcBorders>
                    <w:top w:val="single" w:color="auto" w:sz="4" w:space="0"/>
                    <w:bottom w:val="single" w:color="auto" w:sz="4" w:space="0"/>
                  </w:tcBorders>
                  <w:vAlign w:val="center"/>
                </w:tcPr>
                <w:p>
                  <w:pPr>
                    <w:jc w:val="center"/>
                    <w:rPr>
                      <w:color w:val="auto"/>
                      <w:highlight w:val="none"/>
                    </w:rPr>
                  </w:pPr>
                  <w:r>
                    <w:rPr>
                      <w:color w:val="auto"/>
                      <w:szCs w:val="21"/>
                      <w:highlight w:val="none"/>
                    </w:rPr>
                    <w:t>--</w:t>
                  </w:r>
                </w:p>
              </w:tc>
              <w:tc>
                <w:tcPr>
                  <w:tcW w:w="386" w:type="pct"/>
                  <w:tcBorders>
                    <w:top w:val="single" w:color="auto" w:sz="4" w:space="0"/>
                    <w:bottom w:val="single" w:color="auto" w:sz="4" w:space="0"/>
                  </w:tcBorders>
                  <w:vAlign w:val="center"/>
                </w:tcPr>
                <w:p>
                  <w:pPr>
                    <w:jc w:val="center"/>
                    <w:rPr>
                      <w:color w:val="auto"/>
                      <w:highlight w:val="none"/>
                    </w:rPr>
                  </w:pPr>
                  <w:r>
                    <w:rPr>
                      <w:color w:val="auto"/>
                      <w:szCs w:val="21"/>
                      <w:highlight w:val="none"/>
                    </w:rPr>
                    <w:t>--</w:t>
                  </w:r>
                </w:p>
              </w:tc>
              <w:tc>
                <w:tcPr>
                  <w:tcW w:w="678" w:type="pct"/>
                  <w:tcBorders>
                    <w:top w:val="single" w:color="auto" w:sz="4" w:space="0"/>
                    <w:bottom w:val="single" w:color="auto" w:sz="4" w:space="0"/>
                  </w:tcBorders>
                  <w:vAlign w:val="center"/>
                </w:tcPr>
                <w:p>
                  <w:pPr>
                    <w:jc w:val="center"/>
                    <w:rPr>
                      <w:color w:val="auto"/>
                      <w:highlight w:val="none"/>
                    </w:rPr>
                  </w:pPr>
                  <w:r>
                    <w:rPr>
                      <w:color w:val="auto"/>
                      <w:szCs w:val="21"/>
                      <w:highlight w:val="none"/>
                    </w:rPr>
                    <w:t>99*</w:t>
                  </w:r>
                </w:p>
              </w:tc>
              <w:tc>
                <w:tcPr>
                  <w:tcW w:w="412" w:type="pct"/>
                  <w:tcBorders>
                    <w:top w:val="single" w:color="auto" w:sz="4" w:space="0"/>
                    <w:bottom w:val="single" w:color="auto" w:sz="4" w:space="0"/>
                  </w:tcBorders>
                  <w:vAlign w:val="center"/>
                </w:tcPr>
                <w:p>
                  <w:pPr>
                    <w:jc w:val="center"/>
                    <w:rPr>
                      <w:color w:val="auto"/>
                      <w:szCs w:val="21"/>
                      <w:highlight w:val="none"/>
                    </w:rPr>
                  </w:pPr>
                  <w:r>
                    <w:rPr>
                      <w:color w:val="auto"/>
                      <w:szCs w:val="21"/>
                      <w:highlight w:val="none"/>
                    </w:rPr>
                    <w:t>0.2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43" w:hRule="atLeast"/>
              </w:trPr>
              <w:tc>
                <w:tcPr>
                  <w:tcW w:w="432" w:type="pct"/>
                  <w:tcBorders>
                    <w:top w:val="single" w:color="auto" w:sz="4" w:space="0"/>
                    <w:bottom w:val="single" w:color="auto" w:sz="4" w:space="0"/>
                  </w:tcBorders>
                  <w:shd w:val="clear" w:color="auto" w:fill="FFFFFF"/>
                  <w:vAlign w:val="center"/>
                </w:tcPr>
                <w:p>
                  <w:pPr>
                    <w:jc w:val="center"/>
                    <w:rPr>
                      <w:bCs/>
                      <w:color w:val="auto"/>
                      <w:szCs w:val="21"/>
                      <w:highlight w:val="none"/>
                    </w:rPr>
                  </w:pPr>
                  <w:r>
                    <w:rPr>
                      <w:bCs/>
                      <w:color w:val="auto"/>
                      <w:szCs w:val="21"/>
                      <w:highlight w:val="none"/>
                    </w:rPr>
                    <w:t>S</w:t>
                  </w:r>
                  <w:r>
                    <w:rPr>
                      <w:rFonts w:hint="eastAsia"/>
                      <w:bCs/>
                      <w:color w:val="auto"/>
                      <w:szCs w:val="21"/>
                      <w:highlight w:val="none"/>
                    </w:rPr>
                    <w:t>6</w:t>
                  </w:r>
                </w:p>
              </w:tc>
              <w:tc>
                <w:tcPr>
                  <w:tcW w:w="598" w:type="pct"/>
                  <w:tcBorders>
                    <w:top w:val="single" w:color="auto" w:sz="4" w:space="0"/>
                    <w:bottom w:val="single" w:color="auto" w:sz="4" w:space="0"/>
                  </w:tcBorders>
                  <w:shd w:val="clear" w:color="auto" w:fill="FFFFFF"/>
                  <w:vAlign w:val="center"/>
                </w:tcPr>
                <w:p>
                  <w:pPr>
                    <w:jc w:val="center"/>
                    <w:rPr>
                      <w:bCs/>
                      <w:color w:val="auto"/>
                      <w:szCs w:val="21"/>
                      <w:highlight w:val="none"/>
                    </w:rPr>
                  </w:pPr>
                  <w:r>
                    <w:rPr>
                      <w:bCs/>
                      <w:color w:val="auto"/>
                      <w:szCs w:val="21"/>
                      <w:highlight w:val="none"/>
                    </w:rPr>
                    <w:t>不合格件</w:t>
                  </w:r>
                </w:p>
              </w:tc>
              <w:tc>
                <w:tcPr>
                  <w:tcW w:w="340" w:type="pct"/>
                  <w:vMerge w:val="continue"/>
                  <w:vAlign w:val="center"/>
                </w:tcPr>
                <w:p>
                  <w:pPr>
                    <w:jc w:val="center"/>
                    <w:rPr>
                      <w:color w:val="auto"/>
                      <w:szCs w:val="21"/>
                      <w:highlight w:val="none"/>
                    </w:rPr>
                  </w:pPr>
                </w:p>
              </w:tc>
              <w:tc>
                <w:tcPr>
                  <w:tcW w:w="577" w:type="pct"/>
                  <w:tcBorders>
                    <w:top w:val="single" w:color="auto" w:sz="4" w:space="0"/>
                    <w:bottom w:val="single" w:color="auto" w:sz="4" w:space="0"/>
                  </w:tcBorders>
                  <w:vAlign w:val="center"/>
                </w:tcPr>
                <w:p>
                  <w:pPr>
                    <w:jc w:val="center"/>
                    <w:rPr>
                      <w:bCs/>
                      <w:color w:val="auto"/>
                      <w:szCs w:val="21"/>
                      <w:highlight w:val="none"/>
                    </w:rPr>
                  </w:pPr>
                  <w:r>
                    <w:rPr>
                      <w:bCs/>
                      <w:color w:val="auto"/>
                      <w:szCs w:val="21"/>
                      <w:highlight w:val="none"/>
                    </w:rPr>
                    <w:t>产品制作</w:t>
                  </w:r>
                </w:p>
              </w:tc>
              <w:tc>
                <w:tcPr>
                  <w:tcW w:w="211" w:type="pct"/>
                  <w:tcBorders>
                    <w:top w:val="single" w:color="auto" w:sz="4" w:space="0"/>
                    <w:bottom w:val="single" w:color="auto" w:sz="4" w:space="0"/>
                  </w:tcBorders>
                  <w:vAlign w:val="center"/>
                </w:tcPr>
                <w:p>
                  <w:pPr>
                    <w:jc w:val="center"/>
                    <w:rPr>
                      <w:color w:val="auto"/>
                      <w:szCs w:val="21"/>
                      <w:highlight w:val="none"/>
                    </w:rPr>
                  </w:pPr>
                  <w:r>
                    <w:rPr>
                      <w:color w:val="auto"/>
                      <w:szCs w:val="21"/>
                      <w:highlight w:val="none"/>
                    </w:rPr>
                    <w:t>固</w:t>
                  </w:r>
                </w:p>
              </w:tc>
              <w:tc>
                <w:tcPr>
                  <w:tcW w:w="600" w:type="pct"/>
                  <w:tcBorders>
                    <w:top w:val="single" w:color="auto" w:sz="4" w:space="0"/>
                    <w:bottom w:val="single" w:color="auto" w:sz="4" w:space="0"/>
                  </w:tcBorders>
                  <w:vAlign w:val="center"/>
                </w:tcPr>
                <w:p>
                  <w:pPr>
                    <w:jc w:val="center"/>
                    <w:rPr>
                      <w:color w:val="auto"/>
                      <w:spacing w:val="-10"/>
                      <w:szCs w:val="21"/>
                      <w:highlight w:val="none"/>
                    </w:rPr>
                  </w:pPr>
                  <w:r>
                    <w:rPr>
                      <w:color w:val="auto"/>
                      <w:spacing w:val="-10"/>
                      <w:szCs w:val="21"/>
                      <w:highlight w:val="none"/>
                    </w:rPr>
                    <w:t>--</w:t>
                  </w:r>
                </w:p>
              </w:tc>
              <w:tc>
                <w:tcPr>
                  <w:tcW w:w="409" w:type="pct"/>
                  <w:tcBorders>
                    <w:top w:val="single" w:color="auto" w:sz="4" w:space="0"/>
                    <w:bottom w:val="single" w:color="auto" w:sz="4" w:space="0"/>
                  </w:tcBorders>
                  <w:vAlign w:val="center"/>
                </w:tcPr>
                <w:p>
                  <w:pPr>
                    <w:jc w:val="center"/>
                    <w:rPr>
                      <w:color w:val="auto"/>
                      <w:szCs w:val="21"/>
                      <w:highlight w:val="none"/>
                    </w:rPr>
                  </w:pPr>
                  <w:r>
                    <w:rPr>
                      <w:color w:val="auto"/>
                      <w:spacing w:val="-10"/>
                      <w:szCs w:val="21"/>
                      <w:highlight w:val="none"/>
                    </w:rPr>
                    <w:t>--</w:t>
                  </w:r>
                </w:p>
              </w:tc>
              <w:tc>
                <w:tcPr>
                  <w:tcW w:w="357" w:type="pct"/>
                  <w:tcBorders>
                    <w:top w:val="single" w:color="auto" w:sz="4" w:space="0"/>
                    <w:bottom w:val="single" w:color="auto" w:sz="4" w:space="0"/>
                  </w:tcBorders>
                  <w:vAlign w:val="center"/>
                </w:tcPr>
                <w:p>
                  <w:pPr>
                    <w:jc w:val="center"/>
                    <w:rPr>
                      <w:color w:val="auto"/>
                      <w:szCs w:val="21"/>
                      <w:highlight w:val="none"/>
                    </w:rPr>
                  </w:pPr>
                  <w:r>
                    <w:rPr>
                      <w:color w:val="auto"/>
                      <w:spacing w:val="-10"/>
                      <w:szCs w:val="21"/>
                      <w:highlight w:val="none"/>
                    </w:rPr>
                    <w:t>--</w:t>
                  </w:r>
                </w:p>
              </w:tc>
              <w:tc>
                <w:tcPr>
                  <w:tcW w:w="386" w:type="pct"/>
                  <w:tcBorders>
                    <w:top w:val="single" w:color="auto" w:sz="4" w:space="0"/>
                    <w:bottom w:val="single" w:color="auto" w:sz="4" w:space="0"/>
                  </w:tcBorders>
                  <w:vAlign w:val="center"/>
                </w:tcPr>
                <w:p>
                  <w:pPr>
                    <w:jc w:val="center"/>
                    <w:rPr>
                      <w:color w:val="auto"/>
                      <w:szCs w:val="21"/>
                      <w:highlight w:val="none"/>
                    </w:rPr>
                  </w:pPr>
                  <w:r>
                    <w:rPr>
                      <w:rFonts w:hint="eastAsia"/>
                      <w:color w:val="auto"/>
                      <w:szCs w:val="21"/>
                      <w:highlight w:val="none"/>
                    </w:rPr>
                    <w:t>--</w:t>
                  </w:r>
                </w:p>
              </w:tc>
              <w:tc>
                <w:tcPr>
                  <w:tcW w:w="678" w:type="pct"/>
                  <w:tcBorders>
                    <w:top w:val="single" w:color="auto" w:sz="4" w:space="0"/>
                    <w:bottom w:val="single" w:color="auto" w:sz="4" w:space="0"/>
                  </w:tcBorders>
                  <w:vAlign w:val="center"/>
                </w:tcPr>
                <w:p>
                  <w:pPr>
                    <w:jc w:val="center"/>
                    <w:rPr>
                      <w:color w:val="auto"/>
                      <w:szCs w:val="21"/>
                      <w:highlight w:val="none"/>
                    </w:rPr>
                  </w:pPr>
                  <w:r>
                    <w:rPr>
                      <w:color w:val="auto"/>
                      <w:szCs w:val="21"/>
                      <w:highlight w:val="none"/>
                    </w:rPr>
                    <w:t>14*</w:t>
                  </w:r>
                </w:p>
              </w:tc>
              <w:tc>
                <w:tcPr>
                  <w:tcW w:w="412" w:type="pct"/>
                  <w:tcBorders>
                    <w:top w:val="single" w:color="auto" w:sz="4" w:space="0"/>
                    <w:bottom w:val="single" w:color="auto" w:sz="4" w:space="0"/>
                  </w:tcBorders>
                  <w:vAlign w:val="center"/>
                </w:tcPr>
                <w:p>
                  <w:pPr>
                    <w:jc w:val="center"/>
                    <w:rPr>
                      <w:color w:val="auto"/>
                      <w:szCs w:val="21"/>
                      <w:highlight w:val="none"/>
                    </w:rPr>
                  </w:pPr>
                  <w:r>
                    <w:rPr>
                      <w:color w:val="auto"/>
                      <w:szCs w:val="21"/>
                      <w:highlight w:val="none"/>
                    </w:rPr>
                    <w:t>0.2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91" w:hRule="atLeast"/>
              </w:trPr>
              <w:tc>
                <w:tcPr>
                  <w:tcW w:w="432" w:type="pct"/>
                  <w:tcBorders>
                    <w:top w:val="single" w:color="auto" w:sz="4" w:space="0"/>
                    <w:bottom w:val="single" w:color="auto" w:sz="4" w:space="0"/>
                  </w:tcBorders>
                  <w:shd w:val="clear" w:color="auto" w:fill="FFFFFF"/>
                  <w:vAlign w:val="center"/>
                </w:tcPr>
                <w:p>
                  <w:pPr>
                    <w:jc w:val="center"/>
                    <w:rPr>
                      <w:bCs/>
                      <w:color w:val="auto"/>
                      <w:szCs w:val="21"/>
                      <w:highlight w:val="none"/>
                    </w:rPr>
                  </w:pPr>
                  <w:r>
                    <w:rPr>
                      <w:rFonts w:hint="eastAsia"/>
                      <w:bCs/>
                      <w:color w:val="auto"/>
                      <w:szCs w:val="21"/>
                      <w:highlight w:val="none"/>
                    </w:rPr>
                    <w:t>S11</w:t>
                  </w:r>
                </w:p>
              </w:tc>
              <w:tc>
                <w:tcPr>
                  <w:tcW w:w="598" w:type="pct"/>
                  <w:tcBorders>
                    <w:top w:val="single" w:color="auto" w:sz="4" w:space="0"/>
                    <w:bottom w:val="single" w:color="auto" w:sz="4" w:space="0"/>
                  </w:tcBorders>
                  <w:shd w:val="clear" w:color="auto" w:fill="FFFFFF"/>
                  <w:vAlign w:val="center"/>
                </w:tcPr>
                <w:p>
                  <w:pPr>
                    <w:jc w:val="center"/>
                    <w:rPr>
                      <w:bCs/>
                      <w:color w:val="auto"/>
                      <w:szCs w:val="21"/>
                      <w:highlight w:val="none"/>
                    </w:rPr>
                  </w:pPr>
                  <w:r>
                    <w:rPr>
                      <w:rFonts w:hint="eastAsia"/>
                      <w:bCs/>
                      <w:color w:val="auto"/>
                      <w:szCs w:val="21"/>
                      <w:highlight w:val="none"/>
                    </w:rPr>
                    <w:t>抛光粉沉淀物</w:t>
                  </w:r>
                </w:p>
              </w:tc>
              <w:tc>
                <w:tcPr>
                  <w:tcW w:w="340" w:type="pct"/>
                  <w:vMerge w:val="continue"/>
                  <w:tcBorders>
                    <w:bottom w:val="single" w:color="auto" w:sz="4" w:space="0"/>
                  </w:tcBorders>
                  <w:vAlign w:val="center"/>
                </w:tcPr>
                <w:p>
                  <w:pPr>
                    <w:jc w:val="center"/>
                    <w:rPr>
                      <w:color w:val="auto"/>
                      <w:szCs w:val="21"/>
                      <w:highlight w:val="none"/>
                    </w:rPr>
                  </w:pPr>
                </w:p>
              </w:tc>
              <w:tc>
                <w:tcPr>
                  <w:tcW w:w="577" w:type="pct"/>
                  <w:tcBorders>
                    <w:top w:val="single" w:color="auto" w:sz="4" w:space="0"/>
                    <w:bottom w:val="single" w:color="auto" w:sz="4" w:space="0"/>
                  </w:tcBorders>
                  <w:vAlign w:val="center"/>
                </w:tcPr>
                <w:p>
                  <w:pPr>
                    <w:jc w:val="center"/>
                    <w:rPr>
                      <w:bCs/>
                      <w:color w:val="auto"/>
                      <w:szCs w:val="21"/>
                      <w:highlight w:val="none"/>
                    </w:rPr>
                  </w:pPr>
                  <w:r>
                    <w:rPr>
                      <w:rFonts w:hint="eastAsia"/>
                      <w:bCs/>
                      <w:color w:val="auto"/>
                      <w:szCs w:val="21"/>
                      <w:highlight w:val="none"/>
                    </w:rPr>
                    <w:t>微通道板及光纤元件抛光（以新带老）</w:t>
                  </w:r>
                </w:p>
              </w:tc>
              <w:tc>
                <w:tcPr>
                  <w:tcW w:w="211" w:type="pct"/>
                  <w:tcBorders>
                    <w:top w:val="single" w:color="auto" w:sz="4" w:space="0"/>
                    <w:bottom w:val="single" w:color="auto" w:sz="4" w:space="0"/>
                  </w:tcBorders>
                  <w:vAlign w:val="center"/>
                </w:tcPr>
                <w:p>
                  <w:pPr>
                    <w:jc w:val="center"/>
                    <w:rPr>
                      <w:color w:val="auto"/>
                      <w:szCs w:val="21"/>
                      <w:highlight w:val="none"/>
                    </w:rPr>
                  </w:pPr>
                  <w:r>
                    <w:rPr>
                      <w:rFonts w:hint="eastAsia"/>
                      <w:color w:val="auto"/>
                      <w:szCs w:val="21"/>
                      <w:highlight w:val="none"/>
                    </w:rPr>
                    <w:t>固</w:t>
                  </w:r>
                </w:p>
              </w:tc>
              <w:tc>
                <w:tcPr>
                  <w:tcW w:w="600" w:type="pct"/>
                  <w:tcBorders>
                    <w:top w:val="single" w:color="auto" w:sz="4" w:space="0"/>
                    <w:bottom w:val="single" w:color="auto" w:sz="4" w:space="0"/>
                  </w:tcBorders>
                  <w:vAlign w:val="center"/>
                </w:tcPr>
                <w:p>
                  <w:pPr>
                    <w:jc w:val="center"/>
                    <w:rPr>
                      <w:color w:val="auto"/>
                      <w:spacing w:val="-10"/>
                      <w:szCs w:val="21"/>
                      <w:highlight w:val="none"/>
                    </w:rPr>
                  </w:pPr>
                  <w:r>
                    <w:rPr>
                      <w:rFonts w:hint="eastAsia"/>
                      <w:color w:val="auto"/>
                      <w:spacing w:val="-10"/>
                      <w:szCs w:val="21"/>
                      <w:highlight w:val="none"/>
                    </w:rPr>
                    <w:t>氧化镧和氧化铈</w:t>
                  </w:r>
                </w:p>
              </w:tc>
              <w:tc>
                <w:tcPr>
                  <w:tcW w:w="409" w:type="pct"/>
                  <w:tcBorders>
                    <w:top w:val="single" w:color="auto" w:sz="4" w:space="0"/>
                    <w:bottom w:val="single" w:color="auto" w:sz="4" w:space="0"/>
                  </w:tcBorders>
                  <w:vAlign w:val="center"/>
                </w:tcPr>
                <w:p>
                  <w:pPr>
                    <w:jc w:val="center"/>
                    <w:rPr>
                      <w:color w:val="auto"/>
                      <w:spacing w:val="-10"/>
                      <w:szCs w:val="21"/>
                      <w:highlight w:val="none"/>
                    </w:rPr>
                  </w:pPr>
                  <w:r>
                    <w:rPr>
                      <w:rFonts w:hint="eastAsia"/>
                      <w:color w:val="auto"/>
                      <w:spacing w:val="-10"/>
                      <w:szCs w:val="21"/>
                      <w:highlight w:val="none"/>
                    </w:rPr>
                    <w:t>--</w:t>
                  </w:r>
                </w:p>
              </w:tc>
              <w:tc>
                <w:tcPr>
                  <w:tcW w:w="357" w:type="pct"/>
                  <w:tcBorders>
                    <w:top w:val="single" w:color="auto" w:sz="4" w:space="0"/>
                    <w:bottom w:val="single" w:color="auto" w:sz="4" w:space="0"/>
                  </w:tcBorders>
                  <w:vAlign w:val="center"/>
                </w:tcPr>
                <w:p>
                  <w:pPr>
                    <w:jc w:val="center"/>
                    <w:rPr>
                      <w:color w:val="auto"/>
                      <w:spacing w:val="-10"/>
                      <w:szCs w:val="21"/>
                      <w:highlight w:val="none"/>
                    </w:rPr>
                  </w:pPr>
                  <w:r>
                    <w:rPr>
                      <w:rFonts w:hint="eastAsia"/>
                      <w:color w:val="auto"/>
                      <w:spacing w:val="-10"/>
                      <w:szCs w:val="21"/>
                      <w:highlight w:val="none"/>
                    </w:rPr>
                    <w:t>--</w:t>
                  </w:r>
                </w:p>
              </w:tc>
              <w:tc>
                <w:tcPr>
                  <w:tcW w:w="386" w:type="pct"/>
                  <w:tcBorders>
                    <w:top w:val="single" w:color="auto" w:sz="4" w:space="0"/>
                    <w:bottom w:val="single" w:color="auto" w:sz="4" w:space="0"/>
                  </w:tcBorders>
                  <w:vAlign w:val="center"/>
                </w:tcPr>
                <w:p>
                  <w:pPr>
                    <w:jc w:val="center"/>
                    <w:rPr>
                      <w:color w:val="auto"/>
                      <w:szCs w:val="21"/>
                      <w:highlight w:val="none"/>
                    </w:rPr>
                  </w:pPr>
                  <w:r>
                    <w:rPr>
                      <w:rFonts w:hint="eastAsia"/>
                      <w:color w:val="auto"/>
                      <w:szCs w:val="21"/>
                      <w:highlight w:val="none"/>
                    </w:rPr>
                    <w:t>--</w:t>
                  </w:r>
                </w:p>
              </w:tc>
              <w:tc>
                <w:tcPr>
                  <w:tcW w:w="678" w:type="pct"/>
                  <w:tcBorders>
                    <w:top w:val="single" w:color="auto" w:sz="4" w:space="0"/>
                    <w:bottom w:val="single" w:color="auto" w:sz="4" w:space="0"/>
                  </w:tcBorders>
                  <w:vAlign w:val="center"/>
                </w:tcPr>
                <w:p>
                  <w:pPr>
                    <w:jc w:val="center"/>
                    <w:rPr>
                      <w:color w:val="auto"/>
                      <w:szCs w:val="21"/>
                      <w:highlight w:val="none"/>
                    </w:rPr>
                  </w:pPr>
                  <w:r>
                    <w:rPr>
                      <w:color w:val="auto"/>
                      <w:szCs w:val="21"/>
                      <w:highlight w:val="none"/>
                    </w:rPr>
                    <w:t>99*</w:t>
                  </w:r>
                </w:p>
              </w:tc>
              <w:tc>
                <w:tcPr>
                  <w:tcW w:w="412" w:type="pct"/>
                  <w:tcBorders>
                    <w:top w:val="single" w:color="auto" w:sz="4" w:space="0"/>
                    <w:bottom w:val="single" w:color="auto" w:sz="4" w:space="0"/>
                  </w:tcBorders>
                  <w:vAlign w:val="center"/>
                </w:tcPr>
                <w:p>
                  <w:pPr>
                    <w:jc w:val="center"/>
                    <w:rPr>
                      <w:color w:val="auto"/>
                      <w:szCs w:val="21"/>
                      <w:highlight w:val="none"/>
                    </w:rPr>
                  </w:pPr>
                  <w:r>
                    <w:rPr>
                      <w:rFonts w:hint="eastAsia"/>
                      <w:color w:val="auto"/>
                      <w:szCs w:val="21"/>
                      <w:highlight w:val="none"/>
                    </w:rPr>
                    <w:t>4</w:t>
                  </w:r>
                </w:p>
              </w:tc>
            </w:tr>
          </w:tbl>
          <w:p>
            <w:pPr>
              <w:pStyle w:val="101"/>
              <w:jc w:val="left"/>
              <w:rPr>
                <w:color w:val="auto"/>
                <w:highlight w:val="none"/>
              </w:rPr>
            </w:pPr>
            <w:r>
              <w:rPr>
                <w:color w:val="auto"/>
                <w:highlight w:val="none"/>
              </w:rPr>
              <w:t>注：*此代码来源于《一般固体废物分类与代码》（GB/T39198-2020）。</w:t>
            </w:r>
          </w:p>
          <w:p>
            <w:pPr>
              <w:spacing w:beforeLines="50" w:line="360" w:lineRule="auto"/>
              <w:jc w:val="center"/>
              <w:rPr>
                <w:b/>
                <w:bCs/>
                <w:color w:val="auto"/>
                <w:sz w:val="24"/>
                <w:highlight w:val="none"/>
                <w:shd w:val="clear" w:color="auto" w:fill="FFFFFF"/>
              </w:rPr>
            </w:pPr>
            <w:r>
              <w:rPr>
                <w:rFonts w:hint="eastAsia"/>
                <w:b/>
                <w:bCs/>
                <w:color w:val="auto"/>
                <w:sz w:val="24"/>
                <w:highlight w:val="none"/>
                <w:shd w:val="clear" w:color="auto" w:fill="FFFFFF"/>
              </w:rPr>
              <w:t>表</w:t>
            </w:r>
            <w:r>
              <w:rPr>
                <w:b/>
                <w:bCs/>
                <w:color w:val="auto"/>
                <w:sz w:val="24"/>
                <w:highlight w:val="none"/>
                <w:shd w:val="clear" w:color="auto" w:fill="FFFFFF"/>
              </w:rPr>
              <w:t>4-2</w:t>
            </w:r>
            <w:r>
              <w:rPr>
                <w:rFonts w:hint="eastAsia"/>
                <w:b/>
                <w:bCs/>
                <w:color w:val="auto"/>
                <w:sz w:val="24"/>
                <w:highlight w:val="none"/>
                <w:shd w:val="clear" w:color="auto" w:fill="FFFFFF"/>
              </w:rPr>
              <w:t>6</w:t>
            </w:r>
            <w:r>
              <w:rPr>
                <w:b/>
                <w:bCs/>
                <w:color w:val="auto"/>
                <w:sz w:val="24"/>
                <w:highlight w:val="none"/>
                <w:shd w:val="clear" w:color="auto" w:fill="FFFFFF"/>
              </w:rPr>
              <w:t xml:space="preserve">  危险废物汇总表</w:t>
            </w:r>
          </w:p>
          <w:tbl>
            <w:tblPr>
              <w:tblStyle w:val="34"/>
              <w:tblW w:w="4995"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57" w:type="dxa"/>
                <w:bottom w:w="0" w:type="dxa"/>
                <w:right w:w="57" w:type="dxa"/>
              </w:tblCellMar>
            </w:tblPr>
            <w:tblGrid>
              <w:gridCol w:w="370"/>
              <w:gridCol w:w="863"/>
              <w:gridCol w:w="731"/>
              <w:gridCol w:w="1127"/>
              <w:gridCol w:w="710"/>
              <w:gridCol w:w="889"/>
              <w:gridCol w:w="369"/>
              <w:gridCol w:w="941"/>
              <w:gridCol w:w="942"/>
              <w:gridCol w:w="545"/>
              <w:gridCol w:w="543"/>
              <w:gridCol w:w="64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12" w:hRule="atLeast"/>
                <w:jc w:val="center"/>
              </w:trPr>
              <w:tc>
                <w:tcPr>
                  <w:tcW w:w="214" w:type="pct"/>
                  <w:vAlign w:val="center"/>
                </w:tcPr>
                <w:p>
                  <w:pPr>
                    <w:topLinePunct/>
                    <w:ind w:left="-105" w:leftChars="-50" w:right="-105" w:rightChars="-50"/>
                    <w:jc w:val="center"/>
                    <w:rPr>
                      <w:color w:val="auto"/>
                      <w:kern w:val="0"/>
                      <w:szCs w:val="21"/>
                      <w:highlight w:val="none"/>
                    </w:rPr>
                  </w:pPr>
                  <w:r>
                    <w:rPr>
                      <w:color w:val="auto"/>
                      <w:kern w:val="0"/>
                      <w:szCs w:val="21"/>
                      <w:highlight w:val="none"/>
                    </w:rPr>
                    <w:t>序号</w:t>
                  </w:r>
                </w:p>
              </w:tc>
              <w:tc>
                <w:tcPr>
                  <w:tcW w:w="498" w:type="pct"/>
                  <w:vAlign w:val="center"/>
                </w:tcPr>
                <w:p>
                  <w:pPr>
                    <w:topLinePunct/>
                    <w:ind w:left="-105" w:leftChars="-50" w:right="-105" w:rightChars="-50"/>
                    <w:jc w:val="center"/>
                    <w:rPr>
                      <w:color w:val="auto"/>
                      <w:kern w:val="0"/>
                      <w:szCs w:val="21"/>
                      <w:highlight w:val="none"/>
                    </w:rPr>
                  </w:pPr>
                  <w:r>
                    <w:rPr>
                      <w:color w:val="auto"/>
                      <w:kern w:val="0"/>
                      <w:szCs w:val="21"/>
                      <w:highlight w:val="none"/>
                    </w:rPr>
                    <w:t>危险废</w:t>
                  </w:r>
                </w:p>
                <w:p>
                  <w:pPr>
                    <w:topLinePunct/>
                    <w:ind w:left="-105" w:leftChars="-50" w:right="-105" w:rightChars="-50"/>
                    <w:jc w:val="center"/>
                    <w:rPr>
                      <w:color w:val="auto"/>
                      <w:kern w:val="0"/>
                      <w:szCs w:val="21"/>
                      <w:highlight w:val="none"/>
                    </w:rPr>
                  </w:pPr>
                  <w:r>
                    <w:rPr>
                      <w:color w:val="auto"/>
                      <w:kern w:val="0"/>
                      <w:szCs w:val="21"/>
                      <w:highlight w:val="none"/>
                    </w:rPr>
                    <w:t>物名称</w:t>
                  </w:r>
                </w:p>
              </w:tc>
              <w:tc>
                <w:tcPr>
                  <w:tcW w:w="422" w:type="pct"/>
                  <w:vAlign w:val="center"/>
                </w:tcPr>
                <w:p>
                  <w:pPr>
                    <w:topLinePunct/>
                    <w:ind w:left="-105" w:leftChars="-50" w:right="-105" w:rightChars="-50"/>
                    <w:jc w:val="center"/>
                    <w:rPr>
                      <w:color w:val="auto"/>
                      <w:kern w:val="0"/>
                      <w:szCs w:val="21"/>
                      <w:highlight w:val="none"/>
                    </w:rPr>
                  </w:pPr>
                  <w:r>
                    <w:rPr>
                      <w:color w:val="auto"/>
                      <w:kern w:val="0"/>
                      <w:szCs w:val="21"/>
                      <w:highlight w:val="none"/>
                    </w:rPr>
                    <w:t>危险废物类别</w:t>
                  </w:r>
                </w:p>
              </w:tc>
              <w:tc>
                <w:tcPr>
                  <w:tcW w:w="650" w:type="pct"/>
                  <w:vAlign w:val="center"/>
                </w:tcPr>
                <w:p>
                  <w:pPr>
                    <w:topLinePunct/>
                    <w:ind w:left="-105" w:leftChars="-50" w:right="-105" w:rightChars="-50"/>
                    <w:jc w:val="center"/>
                    <w:rPr>
                      <w:color w:val="auto"/>
                      <w:kern w:val="0"/>
                      <w:szCs w:val="21"/>
                      <w:highlight w:val="none"/>
                    </w:rPr>
                  </w:pPr>
                  <w:r>
                    <w:rPr>
                      <w:color w:val="auto"/>
                      <w:kern w:val="0"/>
                      <w:szCs w:val="21"/>
                      <w:highlight w:val="none"/>
                    </w:rPr>
                    <w:t>危险废</w:t>
                  </w:r>
                </w:p>
                <w:p>
                  <w:pPr>
                    <w:topLinePunct/>
                    <w:ind w:left="-105" w:leftChars="-50" w:right="-105" w:rightChars="-50"/>
                    <w:jc w:val="center"/>
                    <w:rPr>
                      <w:color w:val="auto"/>
                      <w:kern w:val="0"/>
                      <w:szCs w:val="21"/>
                      <w:highlight w:val="none"/>
                    </w:rPr>
                  </w:pPr>
                  <w:r>
                    <w:rPr>
                      <w:color w:val="auto"/>
                      <w:kern w:val="0"/>
                      <w:szCs w:val="21"/>
                      <w:highlight w:val="none"/>
                    </w:rPr>
                    <w:t>物代码</w:t>
                  </w:r>
                </w:p>
              </w:tc>
              <w:tc>
                <w:tcPr>
                  <w:tcW w:w="410" w:type="pct"/>
                  <w:vAlign w:val="center"/>
                </w:tcPr>
                <w:p>
                  <w:pPr>
                    <w:topLinePunct/>
                    <w:ind w:left="-105" w:leftChars="-50" w:right="-105" w:rightChars="-50"/>
                    <w:jc w:val="center"/>
                    <w:rPr>
                      <w:color w:val="auto"/>
                      <w:kern w:val="0"/>
                      <w:szCs w:val="21"/>
                      <w:highlight w:val="none"/>
                    </w:rPr>
                  </w:pPr>
                  <w:r>
                    <w:rPr>
                      <w:color w:val="auto"/>
                      <w:kern w:val="0"/>
                      <w:szCs w:val="21"/>
                      <w:highlight w:val="none"/>
                    </w:rPr>
                    <w:t>产生量（t/a）</w:t>
                  </w:r>
                </w:p>
              </w:tc>
              <w:tc>
                <w:tcPr>
                  <w:tcW w:w="513" w:type="pct"/>
                  <w:vAlign w:val="center"/>
                </w:tcPr>
                <w:p>
                  <w:pPr>
                    <w:topLinePunct/>
                    <w:ind w:left="-105" w:leftChars="-50" w:right="-105" w:rightChars="-50"/>
                    <w:jc w:val="center"/>
                    <w:rPr>
                      <w:color w:val="auto"/>
                      <w:kern w:val="0"/>
                      <w:szCs w:val="21"/>
                      <w:highlight w:val="none"/>
                    </w:rPr>
                  </w:pPr>
                  <w:r>
                    <w:rPr>
                      <w:color w:val="auto"/>
                      <w:kern w:val="0"/>
                      <w:szCs w:val="21"/>
                      <w:highlight w:val="none"/>
                    </w:rPr>
                    <w:t>产生工序及装置</w:t>
                  </w:r>
                </w:p>
              </w:tc>
              <w:tc>
                <w:tcPr>
                  <w:tcW w:w="213" w:type="pct"/>
                  <w:vAlign w:val="center"/>
                </w:tcPr>
                <w:p>
                  <w:pPr>
                    <w:topLinePunct/>
                    <w:ind w:left="-105" w:leftChars="-50" w:right="-105" w:rightChars="-50"/>
                    <w:jc w:val="center"/>
                    <w:rPr>
                      <w:color w:val="auto"/>
                      <w:kern w:val="0"/>
                      <w:szCs w:val="21"/>
                      <w:highlight w:val="none"/>
                    </w:rPr>
                  </w:pPr>
                  <w:r>
                    <w:rPr>
                      <w:color w:val="auto"/>
                      <w:kern w:val="0"/>
                      <w:szCs w:val="21"/>
                      <w:highlight w:val="none"/>
                    </w:rPr>
                    <w:t>形态</w:t>
                  </w:r>
                </w:p>
              </w:tc>
              <w:tc>
                <w:tcPr>
                  <w:tcW w:w="543" w:type="pct"/>
                  <w:vAlign w:val="center"/>
                </w:tcPr>
                <w:p>
                  <w:pPr>
                    <w:topLinePunct/>
                    <w:ind w:left="-105" w:leftChars="-50" w:right="-105" w:rightChars="-50"/>
                    <w:jc w:val="center"/>
                    <w:rPr>
                      <w:color w:val="auto"/>
                      <w:kern w:val="0"/>
                      <w:szCs w:val="21"/>
                      <w:highlight w:val="none"/>
                    </w:rPr>
                  </w:pPr>
                  <w:r>
                    <w:rPr>
                      <w:color w:val="auto"/>
                      <w:kern w:val="0"/>
                      <w:szCs w:val="21"/>
                      <w:highlight w:val="none"/>
                    </w:rPr>
                    <w:t>主要</w:t>
                  </w:r>
                </w:p>
                <w:p>
                  <w:pPr>
                    <w:topLinePunct/>
                    <w:ind w:left="-105" w:leftChars="-50" w:right="-105" w:rightChars="-50"/>
                    <w:jc w:val="center"/>
                    <w:rPr>
                      <w:color w:val="auto"/>
                      <w:kern w:val="0"/>
                      <w:szCs w:val="21"/>
                      <w:highlight w:val="none"/>
                    </w:rPr>
                  </w:pPr>
                  <w:r>
                    <w:rPr>
                      <w:color w:val="auto"/>
                      <w:kern w:val="0"/>
                      <w:szCs w:val="21"/>
                      <w:highlight w:val="none"/>
                    </w:rPr>
                    <w:t>成分</w:t>
                  </w:r>
                </w:p>
              </w:tc>
              <w:tc>
                <w:tcPr>
                  <w:tcW w:w="543" w:type="pct"/>
                  <w:vAlign w:val="center"/>
                </w:tcPr>
                <w:p>
                  <w:pPr>
                    <w:topLinePunct/>
                    <w:ind w:left="-105" w:leftChars="-50" w:right="-105" w:rightChars="-50"/>
                    <w:jc w:val="center"/>
                    <w:rPr>
                      <w:color w:val="auto"/>
                      <w:kern w:val="0"/>
                      <w:szCs w:val="21"/>
                      <w:highlight w:val="none"/>
                    </w:rPr>
                  </w:pPr>
                  <w:r>
                    <w:rPr>
                      <w:color w:val="auto"/>
                      <w:kern w:val="0"/>
                      <w:szCs w:val="21"/>
                      <w:highlight w:val="none"/>
                    </w:rPr>
                    <w:t>有害</w:t>
                  </w:r>
                </w:p>
                <w:p>
                  <w:pPr>
                    <w:topLinePunct/>
                    <w:ind w:left="-105" w:leftChars="-50" w:right="-105" w:rightChars="-50"/>
                    <w:jc w:val="center"/>
                    <w:rPr>
                      <w:color w:val="auto"/>
                      <w:kern w:val="0"/>
                      <w:szCs w:val="21"/>
                      <w:highlight w:val="none"/>
                    </w:rPr>
                  </w:pPr>
                  <w:r>
                    <w:rPr>
                      <w:color w:val="auto"/>
                      <w:kern w:val="0"/>
                      <w:szCs w:val="21"/>
                      <w:highlight w:val="none"/>
                    </w:rPr>
                    <w:t>成分</w:t>
                  </w:r>
                </w:p>
              </w:tc>
              <w:tc>
                <w:tcPr>
                  <w:tcW w:w="314" w:type="pct"/>
                  <w:vAlign w:val="center"/>
                </w:tcPr>
                <w:p>
                  <w:pPr>
                    <w:topLinePunct/>
                    <w:ind w:left="-105" w:leftChars="-50" w:right="-105" w:rightChars="-50"/>
                    <w:jc w:val="center"/>
                    <w:rPr>
                      <w:color w:val="auto"/>
                      <w:kern w:val="0"/>
                      <w:szCs w:val="21"/>
                      <w:highlight w:val="none"/>
                    </w:rPr>
                  </w:pPr>
                  <w:r>
                    <w:rPr>
                      <w:color w:val="auto"/>
                      <w:kern w:val="0"/>
                      <w:szCs w:val="21"/>
                      <w:highlight w:val="none"/>
                    </w:rPr>
                    <w:t>产废</w:t>
                  </w:r>
                </w:p>
                <w:p>
                  <w:pPr>
                    <w:topLinePunct/>
                    <w:ind w:left="-105" w:leftChars="-50" w:right="-105" w:rightChars="-50"/>
                    <w:jc w:val="center"/>
                    <w:rPr>
                      <w:color w:val="auto"/>
                      <w:kern w:val="0"/>
                      <w:szCs w:val="21"/>
                      <w:highlight w:val="none"/>
                    </w:rPr>
                  </w:pPr>
                  <w:r>
                    <w:rPr>
                      <w:color w:val="auto"/>
                      <w:kern w:val="0"/>
                      <w:szCs w:val="21"/>
                      <w:highlight w:val="none"/>
                    </w:rPr>
                    <w:t>周期</w:t>
                  </w:r>
                </w:p>
              </w:tc>
              <w:tc>
                <w:tcPr>
                  <w:tcW w:w="308" w:type="pct"/>
                  <w:vAlign w:val="center"/>
                </w:tcPr>
                <w:p>
                  <w:pPr>
                    <w:topLinePunct/>
                    <w:ind w:left="-105" w:leftChars="-50" w:right="-105" w:rightChars="-50"/>
                    <w:jc w:val="center"/>
                    <w:rPr>
                      <w:color w:val="auto"/>
                      <w:kern w:val="0"/>
                      <w:szCs w:val="21"/>
                      <w:highlight w:val="none"/>
                    </w:rPr>
                  </w:pPr>
                  <w:r>
                    <w:rPr>
                      <w:color w:val="auto"/>
                      <w:kern w:val="0"/>
                      <w:szCs w:val="21"/>
                      <w:highlight w:val="none"/>
                    </w:rPr>
                    <w:t>危险</w:t>
                  </w:r>
                </w:p>
                <w:p>
                  <w:pPr>
                    <w:topLinePunct/>
                    <w:ind w:left="-105" w:leftChars="-50" w:right="-105" w:rightChars="-50"/>
                    <w:jc w:val="center"/>
                    <w:rPr>
                      <w:color w:val="auto"/>
                      <w:kern w:val="0"/>
                      <w:szCs w:val="21"/>
                      <w:highlight w:val="none"/>
                    </w:rPr>
                  </w:pPr>
                  <w:r>
                    <w:rPr>
                      <w:color w:val="auto"/>
                      <w:kern w:val="0"/>
                      <w:szCs w:val="21"/>
                      <w:highlight w:val="none"/>
                    </w:rPr>
                    <w:t>特性</w:t>
                  </w:r>
                </w:p>
              </w:tc>
              <w:tc>
                <w:tcPr>
                  <w:tcW w:w="372" w:type="pct"/>
                  <w:vAlign w:val="center"/>
                </w:tcPr>
                <w:p>
                  <w:pPr>
                    <w:topLinePunct/>
                    <w:ind w:left="-105" w:leftChars="-50" w:right="-105" w:rightChars="-50"/>
                    <w:jc w:val="center"/>
                    <w:rPr>
                      <w:color w:val="auto"/>
                      <w:kern w:val="0"/>
                      <w:szCs w:val="21"/>
                      <w:highlight w:val="none"/>
                    </w:rPr>
                  </w:pPr>
                  <w:r>
                    <w:rPr>
                      <w:color w:val="auto"/>
                      <w:kern w:val="0"/>
                      <w:szCs w:val="21"/>
                      <w:highlight w:val="none"/>
                    </w:rPr>
                    <w:t>污染防治措施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218" w:hRule="atLeast"/>
                <w:jc w:val="center"/>
              </w:trPr>
              <w:tc>
                <w:tcPr>
                  <w:tcW w:w="214" w:type="pct"/>
                  <w:tcBorders>
                    <w:bottom w:val="single" w:color="auto" w:sz="4" w:space="0"/>
                  </w:tcBorders>
                  <w:shd w:val="clear" w:color="auto" w:fill="auto"/>
                  <w:vAlign w:val="center"/>
                </w:tcPr>
                <w:p>
                  <w:pPr>
                    <w:topLinePunct/>
                    <w:ind w:left="-105" w:leftChars="-50" w:right="-105" w:rightChars="-50"/>
                    <w:jc w:val="center"/>
                    <w:rPr>
                      <w:color w:val="auto"/>
                      <w:kern w:val="0"/>
                      <w:szCs w:val="21"/>
                      <w:highlight w:val="none"/>
                    </w:rPr>
                  </w:pPr>
                  <w:r>
                    <w:rPr>
                      <w:color w:val="auto"/>
                      <w:kern w:val="0"/>
                      <w:szCs w:val="21"/>
                      <w:highlight w:val="none"/>
                    </w:rPr>
                    <w:t>1</w:t>
                  </w:r>
                </w:p>
              </w:tc>
              <w:tc>
                <w:tcPr>
                  <w:tcW w:w="498" w:type="pct"/>
                  <w:tcBorders>
                    <w:bottom w:val="single" w:color="auto" w:sz="4" w:space="0"/>
                  </w:tcBorders>
                  <w:shd w:val="clear" w:color="auto" w:fill="FFFFFF"/>
                  <w:vAlign w:val="center"/>
                </w:tcPr>
                <w:p>
                  <w:pPr>
                    <w:jc w:val="center"/>
                    <w:rPr>
                      <w:bCs/>
                      <w:color w:val="auto"/>
                      <w:szCs w:val="21"/>
                      <w:highlight w:val="none"/>
                    </w:rPr>
                  </w:pPr>
                  <w:r>
                    <w:rPr>
                      <w:bCs/>
                      <w:color w:val="auto"/>
                      <w:szCs w:val="21"/>
                      <w:highlight w:val="none"/>
                    </w:rPr>
                    <w:t>清洗</w:t>
                  </w:r>
                </w:p>
                <w:p>
                  <w:pPr>
                    <w:jc w:val="center"/>
                    <w:rPr>
                      <w:bCs/>
                      <w:color w:val="auto"/>
                      <w:szCs w:val="21"/>
                      <w:highlight w:val="none"/>
                    </w:rPr>
                  </w:pPr>
                  <w:r>
                    <w:rPr>
                      <w:bCs/>
                      <w:color w:val="auto"/>
                      <w:szCs w:val="21"/>
                      <w:highlight w:val="none"/>
                    </w:rPr>
                    <w:t>废液</w:t>
                  </w:r>
                </w:p>
              </w:tc>
              <w:tc>
                <w:tcPr>
                  <w:tcW w:w="422" w:type="pct"/>
                  <w:tcBorders>
                    <w:bottom w:val="single" w:color="auto" w:sz="4" w:space="0"/>
                  </w:tcBorders>
                  <w:vAlign w:val="center"/>
                </w:tcPr>
                <w:p>
                  <w:pPr>
                    <w:adjustRightInd w:val="0"/>
                    <w:snapToGrid w:val="0"/>
                    <w:jc w:val="center"/>
                    <w:rPr>
                      <w:color w:val="auto"/>
                      <w:szCs w:val="21"/>
                      <w:highlight w:val="none"/>
                    </w:rPr>
                  </w:pPr>
                  <w:r>
                    <w:rPr>
                      <w:color w:val="auto"/>
                      <w:szCs w:val="21"/>
                      <w:highlight w:val="none"/>
                    </w:rPr>
                    <w:t>HW06</w:t>
                  </w:r>
                </w:p>
              </w:tc>
              <w:tc>
                <w:tcPr>
                  <w:tcW w:w="650" w:type="pct"/>
                  <w:tcBorders>
                    <w:bottom w:val="single" w:color="auto" w:sz="4" w:space="0"/>
                  </w:tcBorders>
                  <w:vAlign w:val="center"/>
                </w:tcPr>
                <w:p>
                  <w:pPr>
                    <w:adjustRightInd w:val="0"/>
                    <w:snapToGrid w:val="0"/>
                    <w:jc w:val="center"/>
                    <w:rPr>
                      <w:color w:val="auto"/>
                      <w:szCs w:val="21"/>
                      <w:highlight w:val="none"/>
                    </w:rPr>
                  </w:pPr>
                  <w:r>
                    <w:rPr>
                      <w:color w:val="auto"/>
                      <w:szCs w:val="21"/>
                      <w:highlight w:val="none"/>
                    </w:rPr>
                    <w:t>900-402-06</w:t>
                  </w:r>
                </w:p>
              </w:tc>
              <w:tc>
                <w:tcPr>
                  <w:tcW w:w="410" w:type="pct"/>
                  <w:tcBorders>
                    <w:bottom w:val="single" w:color="auto" w:sz="4" w:space="0"/>
                  </w:tcBorders>
                  <w:vAlign w:val="center"/>
                </w:tcPr>
                <w:p>
                  <w:pPr>
                    <w:jc w:val="center"/>
                    <w:rPr>
                      <w:color w:val="auto"/>
                      <w:kern w:val="0"/>
                      <w:szCs w:val="21"/>
                      <w:highlight w:val="none"/>
                    </w:rPr>
                  </w:pPr>
                  <w:r>
                    <w:rPr>
                      <w:color w:val="auto"/>
                      <w:szCs w:val="21"/>
                      <w:highlight w:val="none"/>
                    </w:rPr>
                    <w:t>5.4</w:t>
                  </w:r>
                </w:p>
              </w:tc>
              <w:tc>
                <w:tcPr>
                  <w:tcW w:w="513" w:type="pct"/>
                  <w:vMerge w:val="restart"/>
                  <w:vAlign w:val="center"/>
                </w:tcPr>
                <w:p>
                  <w:pPr>
                    <w:jc w:val="center"/>
                    <w:rPr>
                      <w:bCs/>
                      <w:color w:val="auto"/>
                      <w:szCs w:val="21"/>
                      <w:highlight w:val="none"/>
                    </w:rPr>
                  </w:pPr>
                  <w:r>
                    <w:rPr>
                      <w:bCs/>
                      <w:color w:val="auto"/>
                      <w:szCs w:val="21"/>
                      <w:highlight w:val="none"/>
                    </w:rPr>
                    <w:t>零部件清洗</w:t>
                  </w:r>
                </w:p>
              </w:tc>
              <w:tc>
                <w:tcPr>
                  <w:tcW w:w="213" w:type="pct"/>
                  <w:tcBorders>
                    <w:bottom w:val="single" w:color="auto" w:sz="4" w:space="0"/>
                  </w:tcBorders>
                  <w:vAlign w:val="center"/>
                </w:tcPr>
                <w:p>
                  <w:pPr>
                    <w:jc w:val="center"/>
                    <w:rPr>
                      <w:color w:val="auto"/>
                      <w:szCs w:val="21"/>
                      <w:highlight w:val="none"/>
                    </w:rPr>
                  </w:pPr>
                  <w:r>
                    <w:rPr>
                      <w:color w:val="auto"/>
                      <w:szCs w:val="21"/>
                      <w:highlight w:val="none"/>
                    </w:rPr>
                    <w:t>液</w:t>
                  </w:r>
                </w:p>
              </w:tc>
              <w:tc>
                <w:tcPr>
                  <w:tcW w:w="543" w:type="pct"/>
                  <w:tcBorders>
                    <w:bottom w:val="single" w:color="auto" w:sz="4" w:space="0"/>
                  </w:tcBorders>
                  <w:vAlign w:val="center"/>
                </w:tcPr>
                <w:p>
                  <w:pPr>
                    <w:jc w:val="center"/>
                    <w:rPr>
                      <w:color w:val="auto"/>
                      <w:kern w:val="0"/>
                      <w:szCs w:val="21"/>
                      <w:highlight w:val="none"/>
                    </w:rPr>
                  </w:pPr>
                  <w:r>
                    <w:rPr>
                      <w:color w:val="auto"/>
                      <w:kern w:val="0"/>
                      <w:szCs w:val="21"/>
                      <w:highlight w:val="none"/>
                    </w:rPr>
                    <w:t>乙醇</w:t>
                  </w:r>
                </w:p>
                <w:p>
                  <w:pPr>
                    <w:jc w:val="center"/>
                    <w:rPr>
                      <w:color w:val="auto"/>
                      <w:kern w:val="0"/>
                      <w:szCs w:val="21"/>
                      <w:highlight w:val="none"/>
                    </w:rPr>
                  </w:pPr>
                  <w:r>
                    <w:rPr>
                      <w:color w:val="auto"/>
                      <w:kern w:val="0"/>
                      <w:szCs w:val="21"/>
                      <w:highlight w:val="none"/>
                    </w:rPr>
                    <w:t>丙酮</w:t>
                  </w:r>
                </w:p>
              </w:tc>
              <w:tc>
                <w:tcPr>
                  <w:tcW w:w="543" w:type="pct"/>
                  <w:tcBorders>
                    <w:bottom w:val="single" w:color="auto" w:sz="4" w:space="0"/>
                  </w:tcBorders>
                  <w:vAlign w:val="center"/>
                </w:tcPr>
                <w:p>
                  <w:pPr>
                    <w:jc w:val="center"/>
                    <w:rPr>
                      <w:color w:val="auto"/>
                      <w:kern w:val="0"/>
                      <w:szCs w:val="21"/>
                      <w:highlight w:val="none"/>
                    </w:rPr>
                  </w:pPr>
                  <w:r>
                    <w:rPr>
                      <w:color w:val="auto"/>
                      <w:kern w:val="0"/>
                      <w:szCs w:val="21"/>
                      <w:highlight w:val="none"/>
                    </w:rPr>
                    <w:t>乙醇</w:t>
                  </w:r>
                </w:p>
                <w:p>
                  <w:pPr>
                    <w:jc w:val="center"/>
                    <w:rPr>
                      <w:color w:val="auto"/>
                      <w:kern w:val="0"/>
                      <w:szCs w:val="21"/>
                      <w:highlight w:val="none"/>
                    </w:rPr>
                  </w:pPr>
                  <w:r>
                    <w:rPr>
                      <w:color w:val="auto"/>
                      <w:kern w:val="0"/>
                      <w:szCs w:val="21"/>
                      <w:highlight w:val="none"/>
                    </w:rPr>
                    <w:t>丙酮</w:t>
                  </w:r>
                </w:p>
              </w:tc>
              <w:tc>
                <w:tcPr>
                  <w:tcW w:w="314" w:type="pct"/>
                  <w:tcBorders>
                    <w:bottom w:val="single" w:color="auto" w:sz="4" w:space="0"/>
                  </w:tcBorders>
                  <w:vAlign w:val="center"/>
                </w:tcPr>
                <w:p>
                  <w:pPr>
                    <w:topLinePunct/>
                    <w:ind w:left="-105" w:leftChars="-50" w:right="-105" w:rightChars="-50"/>
                    <w:jc w:val="center"/>
                    <w:rPr>
                      <w:color w:val="auto"/>
                      <w:kern w:val="0"/>
                      <w:szCs w:val="21"/>
                      <w:highlight w:val="none"/>
                    </w:rPr>
                  </w:pPr>
                  <w:r>
                    <w:rPr>
                      <w:color w:val="auto"/>
                      <w:kern w:val="0"/>
                      <w:szCs w:val="21"/>
                      <w:highlight w:val="none"/>
                    </w:rPr>
                    <w:t>每天</w:t>
                  </w:r>
                </w:p>
              </w:tc>
              <w:tc>
                <w:tcPr>
                  <w:tcW w:w="308" w:type="pct"/>
                  <w:tcBorders>
                    <w:bottom w:val="single" w:color="auto" w:sz="4" w:space="0"/>
                  </w:tcBorders>
                  <w:vAlign w:val="center"/>
                </w:tcPr>
                <w:p>
                  <w:pPr>
                    <w:jc w:val="center"/>
                    <w:rPr>
                      <w:color w:val="auto"/>
                      <w:szCs w:val="21"/>
                      <w:highlight w:val="none"/>
                    </w:rPr>
                  </w:pPr>
                  <w:r>
                    <w:rPr>
                      <w:color w:val="auto"/>
                      <w:szCs w:val="21"/>
                      <w:highlight w:val="none"/>
                    </w:rPr>
                    <w:t>T.I.R</w:t>
                  </w:r>
                </w:p>
              </w:tc>
              <w:tc>
                <w:tcPr>
                  <w:tcW w:w="372" w:type="pct"/>
                  <w:vMerge w:val="restart"/>
                  <w:vAlign w:val="center"/>
                </w:tcPr>
                <w:p>
                  <w:pPr>
                    <w:topLinePunct/>
                    <w:ind w:left="-105" w:leftChars="-50" w:right="-105" w:rightChars="-50"/>
                    <w:jc w:val="center"/>
                    <w:rPr>
                      <w:color w:val="auto"/>
                      <w:kern w:val="0"/>
                      <w:szCs w:val="21"/>
                      <w:highlight w:val="none"/>
                    </w:rPr>
                  </w:pPr>
                  <w:r>
                    <w:rPr>
                      <w:color w:val="auto"/>
                      <w:kern w:val="0"/>
                      <w:szCs w:val="21"/>
                      <w:highlight w:val="none"/>
                    </w:rPr>
                    <w:t>委托有资质的单位处理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109" w:hRule="atLeast"/>
                <w:jc w:val="center"/>
              </w:trPr>
              <w:tc>
                <w:tcPr>
                  <w:tcW w:w="214" w:type="pct"/>
                  <w:tcBorders>
                    <w:top w:val="single" w:color="auto" w:sz="4" w:space="0"/>
                  </w:tcBorders>
                  <w:shd w:val="clear" w:color="auto" w:fill="auto"/>
                  <w:vAlign w:val="center"/>
                </w:tcPr>
                <w:p>
                  <w:pPr>
                    <w:topLinePunct/>
                    <w:ind w:left="-105" w:leftChars="-50" w:right="-105" w:rightChars="-50"/>
                    <w:jc w:val="center"/>
                    <w:rPr>
                      <w:color w:val="auto"/>
                      <w:kern w:val="0"/>
                      <w:szCs w:val="21"/>
                      <w:highlight w:val="none"/>
                    </w:rPr>
                  </w:pPr>
                  <w:r>
                    <w:rPr>
                      <w:color w:val="auto"/>
                      <w:kern w:val="0"/>
                      <w:szCs w:val="21"/>
                      <w:highlight w:val="none"/>
                    </w:rPr>
                    <w:t>2</w:t>
                  </w:r>
                </w:p>
              </w:tc>
              <w:tc>
                <w:tcPr>
                  <w:tcW w:w="498" w:type="pct"/>
                  <w:tcBorders>
                    <w:top w:val="single" w:color="auto" w:sz="4" w:space="0"/>
                  </w:tcBorders>
                  <w:shd w:val="clear" w:color="auto" w:fill="FFFFFF"/>
                  <w:vAlign w:val="center"/>
                </w:tcPr>
                <w:p>
                  <w:pPr>
                    <w:jc w:val="center"/>
                    <w:rPr>
                      <w:bCs/>
                      <w:color w:val="auto"/>
                      <w:szCs w:val="21"/>
                      <w:highlight w:val="none"/>
                    </w:rPr>
                  </w:pPr>
                  <w:r>
                    <w:rPr>
                      <w:bCs/>
                      <w:color w:val="auto"/>
                      <w:szCs w:val="21"/>
                      <w:highlight w:val="none"/>
                    </w:rPr>
                    <w:t>废包</w:t>
                  </w:r>
                </w:p>
                <w:p>
                  <w:pPr>
                    <w:jc w:val="center"/>
                    <w:rPr>
                      <w:bCs/>
                      <w:color w:val="auto"/>
                      <w:szCs w:val="21"/>
                      <w:highlight w:val="none"/>
                    </w:rPr>
                  </w:pPr>
                  <w:r>
                    <w:rPr>
                      <w:bCs/>
                      <w:color w:val="auto"/>
                      <w:szCs w:val="21"/>
                      <w:highlight w:val="none"/>
                    </w:rPr>
                    <w:t>装瓶</w:t>
                  </w:r>
                </w:p>
              </w:tc>
              <w:tc>
                <w:tcPr>
                  <w:tcW w:w="422" w:type="pct"/>
                  <w:tcBorders>
                    <w:top w:val="single" w:color="auto" w:sz="4" w:space="0"/>
                  </w:tcBorders>
                  <w:vAlign w:val="center"/>
                </w:tcPr>
                <w:p>
                  <w:pPr>
                    <w:adjustRightInd w:val="0"/>
                    <w:snapToGrid w:val="0"/>
                    <w:jc w:val="center"/>
                    <w:rPr>
                      <w:color w:val="auto"/>
                      <w:highlight w:val="none"/>
                    </w:rPr>
                  </w:pPr>
                  <w:r>
                    <w:rPr>
                      <w:color w:val="auto"/>
                      <w:szCs w:val="21"/>
                      <w:highlight w:val="none"/>
                    </w:rPr>
                    <w:t>HW49</w:t>
                  </w:r>
                </w:p>
              </w:tc>
              <w:tc>
                <w:tcPr>
                  <w:tcW w:w="650" w:type="pct"/>
                  <w:tcBorders>
                    <w:top w:val="single" w:color="auto" w:sz="4" w:space="0"/>
                  </w:tcBorders>
                  <w:vAlign w:val="center"/>
                </w:tcPr>
                <w:p>
                  <w:pPr>
                    <w:adjustRightInd w:val="0"/>
                    <w:snapToGrid w:val="0"/>
                    <w:jc w:val="center"/>
                    <w:rPr>
                      <w:color w:val="auto"/>
                      <w:highlight w:val="none"/>
                    </w:rPr>
                  </w:pPr>
                  <w:r>
                    <w:rPr>
                      <w:color w:val="auto"/>
                      <w:szCs w:val="21"/>
                      <w:highlight w:val="none"/>
                    </w:rPr>
                    <w:t>900-041-49</w:t>
                  </w:r>
                </w:p>
              </w:tc>
              <w:tc>
                <w:tcPr>
                  <w:tcW w:w="410" w:type="pct"/>
                  <w:tcBorders>
                    <w:top w:val="single" w:color="auto" w:sz="4" w:space="0"/>
                  </w:tcBorders>
                  <w:vAlign w:val="center"/>
                </w:tcPr>
                <w:p>
                  <w:pPr>
                    <w:jc w:val="center"/>
                    <w:rPr>
                      <w:color w:val="auto"/>
                      <w:szCs w:val="21"/>
                      <w:highlight w:val="none"/>
                    </w:rPr>
                  </w:pPr>
                  <w:r>
                    <w:rPr>
                      <w:color w:val="auto"/>
                      <w:szCs w:val="21"/>
                      <w:highlight w:val="none"/>
                    </w:rPr>
                    <w:t>0.5</w:t>
                  </w:r>
                </w:p>
              </w:tc>
              <w:tc>
                <w:tcPr>
                  <w:tcW w:w="513" w:type="pct"/>
                  <w:vMerge w:val="continue"/>
                  <w:vAlign w:val="center"/>
                </w:tcPr>
                <w:p>
                  <w:pPr>
                    <w:jc w:val="center"/>
                    <w:rPr>
                      <w:bCs/>
                      <w:color w:val="auto"/>
                      <w:szCs w:val="21"/>
                      <w:highlight w:val="none"/>
                    </w:rPr>
                  </w:pPr>
                </w:p>
              </w:tc>
              <w:tc>
                <w:tcPr>
                  <w:tcW w:w="213" w:type="pct"/>
                  <w:tcBorders>
                    <w:top w:val="single" w:color="auto" w:sz="4" w:space="0"/>
                  </w:tcBorders>
                  <w:vAlign w:val="center"/>
                </w:tcPr>
                <w:p>
                  <w:pPr>
                    <w:jc w:val="center"/>
                    <w:rPr>
                      <w:color w:val="auto"/>
                      <w:szCs w:val="21"/>
                      <w:highlight w:val="none"/>
                    </w:rPr>
                  </w:pPr>
                  <w:r>
                    <w:rPr>
                      <w:color w:val="auto"/>
                      <w:szCs w:val="21"/>
                      <w:highlight w:val="none"/>
                    </w:rPr>
                    <w:t>固</w:t>
                  </w:r>
                </w:p>
              </w:tc>
              <w:tc>
                <w:tcPr>
                  <w:tcW w:w="543" w:type="pct"/>
                  <w:tcBorders>
                    <w:top w:val="single" w:color="auto" w:sz="4" w:space="0"/>
                  </w:tcBorders>
                  <w:vAlign w:val="center"/>
                </w:tcPr>
                <w:p>
                  <w:pPr>
                    <w:jc w:val="center"/>
                    <w:rPr>
                      <w:color w:val="auto"/>
                      <w:spacing w:val="-10"/>
                      <w:szCs w:val="21"/>
                      <w:highlight w:val="none"/>
                    </w:rPr>
                  </w:pPr>
                  <w:r>
                    <w:rPr>
                      <w:color w:val="auto"/>
                      <w:spacing w:val="-10"/>
                      <w:szCs w:val="21"/>
                      <w:highlight w:val="none"/>
                    </w:rPr>
                    <w:t>乙醇</w:t>
                  </w:r>
                </w:p>
                <w:p>
                  <w:pPr>
                    <w:jc w:val="center"/>
                    <w:rPr>
                      <w:color w:val="auto"/>
                      <w:spacing w:val="-10"/>
                      <w:szCs w:val="21"/>
                      <w:highlight w:val="none"/>
                    </w:rPr>
                  </w:pPr>
                  <w:r>
                    <w:rPr>
                      <w:color w:val="auto"/>
                      <w:spacing w:val="-10"/>
                      <w:szCs w:val="21"/>
                      <w:highlight w:val="none"/>
                    </w:rPr>
                    <w:t>丙酮</w:t>
                  </w:r>
                </w:p>
              </w:tc>
              <w:tc>
                <w:tcPr>
                  <w:tcW w:w="543" w:type="pct"/>
                  <w:tcBorders>
                    <w:top w:val="single" w:color="auto" w:sz="4" w:space="0"/>
                  </w:tcBorders>
                  <w:vAlign w:val="center"/>
                </w:tcPr>
                <w:p>
                  <w:pPr>
                    <w:jc w:val="center"/>
                    <w:rPr>
                      <w:color w:val="auto"/>
                      <w:spacing w:val="-10"/>
                      <w:szCs w:val="21"/>
                      <w:highlight w:val="none"/>
                    </w:rPr>
                  </w:pPr>
                  <w:r>
                    <w:rPr>
                      <w:color w:val="auto"/>
                      <w:spacing w:val="-10"/>
                      <w:szCs w:val="21"/>
                      <w:highlight w:val="none"/>
                    </w:rPr>
                    <w:t>乙醇</w:t>
                  </w:r>
                </w:p>
                <w:p>
                  <w:pPr>
                    <w:jc w:val="center"/>
                    <w:rPr>
                      <w:color w:val="auto"/>
                      <w:spacing w:val="-10"/>
                      <w:szCs w:val="21"/>
                      <w:highlight w:val="none"/>
                    </w:rPr>
                  </w:pPr>
                  <w:r>
                    <w:rPr>
                      <w:color w:val="auto"/>
                      <w:spacing w:val="-10"/>
                      <w:szCs w:val="21"/>
                      <w:highlight w:val="none"/>
                    </w:rPr>
                    <w:t>丙酮</w:t>
                  </w:r>
                </w:p>
              </w:tc>
              <w:tc>
                <w:tcPr>
                  <w:tcW w:w="314" w:type="pct"/>
                  <w:tcBorders>
                    <w:top w:val="single" w:color="auto" w:sz="4" w:space="0"/>
                  </w:tcBorders>
                  <w:vAlign w:val="center"/>
                </w:tcPr>
                <w:p>
                  <w:pPr>
                    <w:topLinePunct/>
                    <w:ind w:left="-105" w:leftChars="-50" w:right="-105" w:rightChars="-50"/>
                    <w:jc w:val="center"/>
                    <w:rPr>
                      <w:color w:val="auto"/>
                      <w:kern w:val="0"/>
                      <w:szCs w:val="21"/>
                      <w:highlight w:val="none"/>
                    </w:rPr>
                  </w:pPr>
                  <w:r>
                    <w:rPr>
                      <w:color w:val="auto"/>
                      <w:kern w:val="0"/>
                      <w:szCs w:val="21"/>
                      <w:highlight w:val="none"/>
                    </w:rPr>
                    <w:t>每天</w:t>
                  </w:r>
                </w:p>
              </w:tc>
              <w:tc>
                <w:tcPr>
                  <w:tcW w:w="308" w:type="pct"/>
                  <w:tcBorders>
                    <w:top w:val="single" w:color="auto" w:sz="4" w:space="0"/>
                  </w:tcBorders>
                  <w:vAlign w:val="center"/>
                </w:tcPr>
                <w:p>
                  <w:pPr>
                    <w:jc w:val="center"/>
                    <w:rPr>
                      <w:color w:val="auto"/>
                      <w:highlight w:val="none"/>
                    </w:rPr>
                  </w:pPr>
                  <w:r>
                    <w:rPr>
                      <w:color w:val="auto"/>
                      <w:szCs w:val="21"/>
                      <w:highlight w:val="none"/>
                    </w:rPr>
                    <w:t>T/In</w:t>
                  </w:r>
                </w:p>
              </w:tc>
              <w:tc>
                <w:tcPr>
                  <w:tcW w:w="372" w:type="pct"/>
                  <w:vMerge w:val="continue"/>
                  <w:vAlign w:val="center"/>
                </w:tcPr>
                <w:p>
                  <w:pPr>
                    <w:topLinePunct/>
                    <w:ind w:left="-105" w:leftChars="-50" w:right="-105" w:rightChars="-50"/>
                    <w:jc w:val="center"/>
                    <w:rPr>
                      <w:color w:val="auto"/>
                      <w:kern w:val="0"/>
                      <w:szCs w:val="21"/>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312" w:hRule="atLeast"/>
                <w:jc w:val="center"/>
              </w:trPr>
              <w:tc>
                <w:tcPr>
                  <w:tcW w:w="214" w:type="pct"/>
                  <w:tcBorders>
                    <w:bottom w:val="single" w:color="auto" w:sz="4" w:space="0"/>
                  </w:tcBorders>
                  <w:shd w:val="clear" w:color="auto" w:fill="auto"/>
                  <w:vAlign w:val="center"/>
                </w:tcPr>
                <w:p>
                  <w:pPr>
                    <w:topLinePunct/>
                    <w:ind w:left="-105" w:leftChars="-50" w:right="-105" w:rightChars="-50"/>
                    <w:jc w:val="center"/>
                    <w:rPr>
                      <w:color w:val="auto"/>
                      <w:kern w:val="0"/>
                      <w:szCs w:val="21"/>
                      <w:highlight w:val="none"/>
                    </w:rPr>
                  </w:pPr>
                  <w:r>
                    <w:rPr>
                      <w:color w:val="auto"/>
                      <w:kern w:val="0"/>
                      <w:szCs w:val="21"/>
                      <w:highlight w:val="none"/>
                    </w:rPr>
                    <w:t>3</w:t>
                  </w:r>
                </w:p>
              </w:tc>
              <w:tc>
                <w:tcPr>
                  <w:tcW w:w="498" w:type="pct"/>
                  <w:tcBorders>
                    <w:bottom w:val="single" w:color="auto" w:sz="4" w:space="0"/>
                  </w:tcBorders>
                  <w:shd w:val="clear" w:color="auto" w:fill="FFFFFF"/>
                  <w:vAlign w:val="center"/>
                </w:tcPr>
                <w:p>
                  <w:pPr>
                    <w:jc w:val="center"/>
                    <w:rPr>
                      <w:bCs/>
                      <w:color w:val="auto"/>
                      <w:szCs w:val="21"/>
                      <w:highlight w:val="none"/>
                    </w:rPr>
                  </w:pPr>
                  <w:r>
                    <w:rPr>
                      <w:bCs/>
                      <w:color w:val="auto"/>
                      <w:szCs w:val="21"/>
                      <w:highlight w:val="none"/>
                    </w:rPr>
                    <w:t>废润</w:t>
                  </w:r>
                </w:p>
                <w:p>
                  <w:pPr>
                    <w:jc w:val="center"/>
                    <w:rPr>
                      <w:bCs/>
                      <w:color w:val="auto"/>
                      <w:szCs w:val="21"/>
                      <w:highlight w:val="none"/>
                    </w:rPr>
                  </w:pPr>
                  <w:r>
                    <w:rPr>
                      <w:bCs/>
                      <w:color w:val="auto"/>
                      <w:szCs w:val="21"/>
                      <w:highlight w:val="none"/>
                    </w:rPr>
                    <w:t>滑油</w:t>
                  </w:r>
                </w:p>
              </w:tc>
              <w:tc>
                <w:tcPr>
                  <w:tcW w:w="422" w:type="pct"/>
                  <w:tcBorders>
                    <w:bottom w:val="single" w:color="auto" w:sz="4" w:space="0"/>
                  </w:tcBorders>
                  <w:vAlign w:val="center"/>
                </w:tcPr>
                <w:p>
                  <w:pPr>
                    <w:jc w:val="center"/>
                    <w:rPr>
                      <w:color w:val="auto"/>
                      <w:highlight w:val="none"/>
                    </w:rPr>
                  </w:pPr>
                  <w:r>
                    <w:rPr>
                      <w:color w:val="auto"/>
                      <w:szCs w:val="21"/>
                      <w:highlight w:val="none"/>
                    </w:rPr>
                    <w:t>HW08</w:t>
                  </w:r>
                </w:p>
              </w:tc>
              <w:tc>
                <w:tcPr>
                  <w:tcW w:w="650" w:type="pct"/>
                  <w:tcBorders>
                    <w:bottom w:val="single" w:color="auto" w:sz="4" w:space="0"/>
                  </w:tcBorders>
                  <w:vAlign w:val="center"/>
                </w:tcPr>
                <w:p>
                  <w:pPr>
                    <w:jc w:val="center"/>
                    <w:rPr>
                      <w:color w:val="auto"/>
                      <w:highlight w:val="none"/>
                    </w:rPr>
                  </w:pPr>
                  <w:r>
                    <w:rPr>
                      <w:color w:val="auto"/>
                      <w:highlight w:val="none"/>
                    </w:rPr>
                    <w:t>900-200-08</w:t>
                  </w:r>
                </w:p>
              </w:tc>
              <w:tc>
                <w:tcPr>
                  <w:tcW w:w="410" w:type="pct"/>
                  <w:tcBorders>
                    <w:bottom w:val="single" w:color="auto" w:sz="4" w:space="0"/>
                  </w:tcBorders>
                  <w:vAlign w:val="center"/>
                </w:tcPr>
                <w:p>
                  <w:pPr>
                    <w:jc w:val="center"/>
                    <w:rPr>
                      <w:color w:val="auto"/>
                      <w:kern w:val="0"/>
                      <w:szCs w:val="21"/>
                      <w:highlight w:val="none"/>
                    </w:rPr>
                  </w:pPr>
                  <w:r>
                    <w:rPr>
                      <w:color w:val="auto"/>
                      <w:kern w:val="0"/>
                      <w:szCs w:val="21"/>
                      <w:highlight w:val="none"/>
                    </w:rPr>
                    <w:t>0.1</w:t>
                  </w:r>
                </w:p>
              </w:tc>
              <w:tc>
                <w:tcPr>
                  <w:tcW w:w="513" w:type="pct"/>
                  <w:vMerge w:val="continue"/>
                  <w:tcBorders>
                    <w:bottom w:val="single" w:color="auto" w:sz="4" w:space="0"/>
                  </w:tcBorders>
                  <w:vAlign w:val="center"/>
                </w:tcPr>
                <w:p>
                  <w:pPr>
                    <w:jc w:val="center"/>
                    <w:rPr>
                      <w:bCs/>
                      <w:color w:val="auto"/>
                      <w:szCs w:val="21"/>
                      <w:highlight w:val="none"/>
                    </w:rPr>
                  </w:pPr>
                </w:p>
              </w:tc>
              <w:tc>
                <w:tcPr>
                  <w:tcW w:w="213" w:type="pct"/>
                  <w:tcBorders>
                    <w:bottom w:val="single" w:color="auto" w:sz="4" w:space="0"/>
                  </w:tcBorders>
                  <w:vAlign w:val="center"/>
                </w:tcPr>
                <w:p>
                  <w:pPr>
                    <w:jc w:val="center"/>
                    <w:rPr>
                      <w:color w:val="auto"/>
                      <w:szCs w:val="21"/>
                      <w:highlight w:val="none"/>
                    </w:rPr>
                  </w:pPr>
                  <w:r>
                    <w:rPr>
                      <w:color w:val="auto"/>
                      <w:szCs w:val="21"/>
                      <w:highlight w:val="none"/>
                    </w:rPr>
                    <w:t>液</w:t>
                  </w:r>
                </w:p>
              </w:tc>
              <w:tc>
                <w:tcPr>
                  <w:tcW w:w="543" w:type="pct"/>
                  <w:tcBorders>
                    <w:bottom w:val="single" w:color="auto" w:sz="4" w:space="0"/>
                  </w:tcBorders>
                  <w:vAlign w:val="center"/>
                </w:tcPr>
                <w:p>
                  <w:pPr>
                    <w:jc w:val="center"/>
                    <w:rPr>
                      <w:color w:val="auto"/>
                      <w:spacing w:val="-10"/>
                      <w:szCs w:val="21"/>
                      <w:highlight w:val="none"/>
                    </w:rPr>
                  </w:pPr>
                  <w:r>
                    <w:rPr>
                      <w:color w:val="auto"/>
                      <w:spacing w:val="-10"/>
                      <w:szCs w:val="21"/>
                      <w:highlight w:val="none"/>
                    </w:rPr>
                    <w:t>矿物油</w:t>
                  </w:r>
                </w:p>
              </w:tc>
              <w:tc>
                <w:tcPr>
                  <w:tcW w:w="543" w:type="pct"/>
                  <w:tcBorders>
                    <w:bottom w:val="single" w:color="auto" w:sz="4" w:space="0"/>
                  </w:tcBorders>
                  <w:vAlign w:val="center"/>
                </w:tcPr>
                <w:p>
                  <w:pPr>
                    <w:jc w:val="center"/>
                    <w:rPr>
                      <w:color w:val="auto"/>
                      <w:spacing w:val="-10"/>
                      <w:szCs w:val="21"/>
                      <w:highlight w:val="none"/>
                    </w:rPr>
                  </w:pPr>
                  <w:r>
                    <w:rPr>
                      <w:color w:val="auto"/>
                      <w:spacing w:val="-10"/>
                      <w:szCs w:val="21"/>
                      <w:highlight w:val="none"/>
                    </w:rPr>
                    <w:t>矿物油</w:t>
                  </w:r>
                </w:p>
              </w:tc>
              <w:tc>
                <w:tcPr>
                  <w:tcW w:w="314" w:type="pct"/>
                  <w:tcBorders>
                    <w:bottom w:val="single" w:color="auto" w:sz="4" w:space="0"/>
                  </w:tcBorders>
                  <w:vAlign w:val="center"/>
                </w:tcPr>
                <w:p>
                  <w:pPr>
                    <w:topLinePunct/>
                    <w:ind w:left="-105" w:leftChars="-50" w:right="-105" w:rightChars="-50"/>
                    <w:jc w:val="center"/>
                    <w:rPr>
                      <w:color w:val="auto"/>
                      <w:kern w:val="0"/>
                      <w:szCs w:val="21"/>
                      <w:highlight w:val="none"/>
                    </w:rPr>
                  </w:pPr>
                  <w:r>
                    <w:rPr>
                      <w:color w:val="auto"/>
                      <w:kern w:val="0"/>
                      <w:szCs w:val="21"/>
                      <w:highlight w:val="none"/>
                    </w:rPr>
                    <w:t>每天</w:t>
                  </w:r>
                </w:p>
              </w:tc>
              <w:tc>
                <w:tcPr>
                  <w:tcW w:w="308" w:type="pct"/>
                  <w:tcBorders>
                    <w:bottom w:val="single" w:color="auto" w:sz="4" w:space="0"/>
                  </w:tcBorders>
                  <w:vAlign w:val="center"/>
                </w:tcPr>
                <w:p>
                  <w:pPr>
                    <w:jc w:val="center"/>
                    <w:rPr>
                      <w:color w:val="auto"/>
                      <w:highlight w:val="none"/>
                    </w:rPr>
                  </w:pPr>
                  <w:r>
                    <w:rPr>
                      <w:color w:val="auto"/>
                      <w:szCs w:val="21"/>
                      <w:highlight w:val="none"/>
                    </w:rPr>
                    <w:t>T.I</w:t>
                  </w:r>
                </w:p>
              </w:tc>
              <w:tc>
                <w:tcPr>
                  <w:tcW w:w="372" w:type="pct"/>
                  <w:vMerge w:val="continue"/>
                  <w:vAlign w:val="center"/>
                </w:tcPr>
                <w:p>
                  <w:pPr>
                    <w:topLinePunct/>
                    <w:ind w:left="-105" w:leftChars="-50" w:right="-105" w:rightChars="-50"/>
                    <w:jc w:val="center"/>
                    <w:rPr>
                      <w:color w:val="auto"/>
                      <w:kern w:val="0"/>
                      <w:szCs w:val="21"/>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312" w:hRule="atLeast"/>
                <w:jc w:val="center"/>
              </w:trPr>
              <w:tc>
                <w:tcPr>
                  <w:tcW w:w="214" w:type="pct"/>
                  <w:tcBorders>
                    <w:bottom w:val="single" w:color="auto" w:sz="4" w:space="0"/>
                  </w:tcBorders>
                  <w:shd w:val="clear" w:color="auto" w:fill="auto"/>
                  <w:vAlign w:val="center"/>
                </w:tcPr>
                <w:p>
                  <w:pPr>
                    <w:topLinePunct/>
                    <w:ind w:left="-105" w:leftChars="-50" w:right="-105" w:rightChars="-50"/>
                    <w:jc w:val="center"/>
                    <w:rPr>
                      <w:color w:val="auto"/>
                      <w:kern w:val="0"/>
                      <w:szCs w:val="21"/>
                      <w:highlight w:val="none"/>
                    </w:rPr>
                  </w:pPr>
                  <w:r>
                    <w:rPr>
                      <w:color w:val="auto"/>
                      <w:kern w:val="0"/>
                      <w:szCs w:val="21"/>
                      <w:highlight w:val="none"/>
                    </w:rPr>
                    <w:t>4</w:t>
                  </w:r>
                </w:p>
              </w:tc>
              <w:tc>
                <w:tcPr>
                  <w:tcW w:w="498" w:type="pct"/>
                  <w:tcBorders>
                    <w:bottom w:val="single" w:color="auto" w:sz="4" w:space="0"/>
                  </w:tcBorders>
                  <w:shd w:val="clear" w:color="auto" w:fill="FFFFFF"/>
                  <w:vAlign w:val="center"/>
                </w:tcPr>
                <w:p>
                  <w:pPr>
                    <w:jc w:val="center"/>
                    <w:rPr>
                      <w:bCs/>
                      <w:color w:val="auto"/>
                      <w:szCs w:val="21"/>
                      <w:highlight w:val="none"/>
                    </w:rPr>
                  </w:pPr>
                  <w:r>
                    <w:rPr>
                      <w:bCs/>
                      <w:color w:val="auto"/>
                      <w:szCs w:val="21"/>
                      <w:highlight w:val="none"/>
                    </w:rPr>
                    <w:t>废活</w:t>
                  </w:r>
                </w:p>
                <w:p>
                  <w:pPr>
                    <w:jc w:val="center"/>
                    <w:rPr>
                      <w:bCs/>
                      <w:color w:val="auto"/>
                      <w:szCs w:val="21"/>
                      <w:highlight w:val="none"/>
                    </w:rPr>
                  </w:pPr>
                  <w:r>
                    <w:rPr>
                      <w:bCs/>
                      <w:color w:val="auto"/>
                      <w:szCs w:val="21"/>
                      <w:highlight w:val="none"/>
                    </w:rPr>
                    <w:t>性炭</w:t>
                  </w:r>
                </w:p>
              </w:tc>
              <w:tc>
                <w:tcPr>
                  <w:tcW w:w="422" w:type="pct"/>
                  <w:tcBorders>
                    <w:bottom w:val="single" w:color="auto" w:sz="4" w:space="0"/>
                  </w:tcBorders>
                  <w:vAlign w:val="center"/>
                </w:tcPr>
                <w:p>
                  <w:pPr>
                    <w:jc w:val="center"/>
                    <w:rPr>
                      <w:color w:val="auto"/>
                      <w:szCs w:val="21"/>
                      <w:highlight w:val="none"/>
                    </w:rPr>
                  </w:pPr>
                  <w:r>
                    <w:rPr>
                      <w:color w:val="auto"/>
                      <w:szCs w:val="21"/>
                      <w:highlight w:val="none"/>
                    </w:rPr>
                    <w:t>HW49</w:t>
                  </w:r>
                </w:p>
              </w:tc>
              <w:tc>
                <w:tcPr>
                  <w:tcW w:w="650" w:type="pct"/>
                  <w:tcBorders>
                    <w:bottom w:val="single" w:color="auto" w:sz="4" w:space="0"/>
                  </w:tcBorders>
                  <w:vAlign w:val="center"/>
                </w:tcPr>
                <w:p>
                  <w:pPr>
                    <w:jc w:val="center"/>
                    <w:rPr>
                      <w:color w:val="auto"/>
                      <w:highlight w:val="none"/>
                    </w:rPr>
                  </w:pPr>
                  <w:r>
                    <w:rPr>
                      <w:color w:val="auto"/>
                      <w:highlight w:val="none"/>
                    </w:rPr>
                    <w:t>900-039-49</w:t>
                  </w:r>
                </w:p>
              </w:tc>
              <w:tc>
                <w:tcPr>
                  <w:tcW w:w="410" w:type="pct"/>
                  <w:tcBorders>
                    <w:bottom w:val="single" w:color="auto" w:sz="4" w:space="0"/>
                  </w:tcBorders>
                  <w:vAlign w:val="center"/>
                </w:tcPr>
                <w:p>
                  <w:pPr>
                    <w:jc w:val="center"/>
                    <w:rPr>
                      <w:color w:val="auto"/>
                      <w:kern w:val="0"/>
                      <w:szCs w:val="21"/>
                      <w:highlight w:val="none"/>
                    </w:rPr>
                  </w:pPr>
                  <w:r>
                    <w:rPr>
                      <w:color w:val="auto"/>
                      <w:kern w:val="0"/>
                      <w:szCs w:val="21"/>
                      <w:highlight w:val="none"/>
                    </w:rPr>
                    <w:t>4</w:t>
                  </w:r>
                </w:p>
              </w:tc>
              <w:tc>
                <w:tcPr>
                  <w:tcW w:w="513" w:type="pct"/>
                  <w:tcBorders>
                    <w:bottom w:val="single" w:color="auto" w:sz="4" w:space="0"/>
                  </w:tcBorders>
                  <w:vAlign w:val="center"/>
                </w:tcPr>
                <w:p>
                  <w:pPr>
                    <w:jc w:val="center"/>
                    <w:rPr>
                      <w:bCs/>
                      <w:color w:val="auto"/>
                      <w:szCs w:val="21"/>
                      <w:highlight w:val="none"/>
                    </w:rPr>
                  </w:pPr>
                  <w:r>
                    <w:rPr>
                      <w:bCs/>
                      <w:color w:val="auto"/>
                      <w:szCs w:val="21"/>
                      <w:highlight w:val="none"/>
                    </w:rPr>
                    <w:t>废气</w:t>
                  </w:r>
                </w:p>
                <w:p>
                  <w:pPr>
                    <w:jc w:val="center"/>
                    <w:rPr>
                      <w:bCs/>
                      <w:color w:val="auto"/>
                      <w:szCs w:val="21"/>
                      <w:highlight w:val="none"/>
                    </w:rPr>
                  </w:pPr>
                  <w:r>
                    <w:rPr>
                      <w:bCs/>
                      <w:color w:val="auto"/>
                      <w:szCs w:val="21"/>
                      <w:highlight w:val="none"/>
                    </w:rPr>
                    <w:t>处理</w:t>
                  </w:r>
                </w:p>
              </w:tc>
              <w:tc>
                <w:tcPr>
                  <w:tcW w:w="213" w:type="pct"/>
                  <w:tcBorders>
                    <w:bottom w:val="single" w:color="auto" w:sz="4" w:space="0"/>
                  </w:tcBorders>
                  <w:vAlign w:val="center"/>
                </w:tcPr>
                <w:p>
                  <w:pPr>
                    <w:jc w:val="center"/>
                    <w:rPr>
                      <w:color w:val="auto"/>
                      <w:szCs w:val="21"/>
                      <w:highlight w:val="none"/>
                    </w:rPr>
                  </w:pPr>
                  <w:r>
                    <w:rPr>
                      <w:color w:val="auto"/>
                      <w:szCs w:val="21"/>
                      <w:highlight w:val="none"/>
                    </w:rPr>
                    <w:t>固</w:t>
                  </w:r>
                </w:p>
              </w:tc>
              <w:tc>
                <w:tcPr>
                  <w:tcW w:w="543" w:type="pct"/>
                  <w:tcBorders>
                    <w:bottom w:val="single" w:color="auto" w:sz="4" w:space="0"/>
                  </w:tcBorders>
                  <w:vAlign w:val="center"/>
                </w:tcPr>
                <w:p>
                  <w:pPr>
                    <w:jc w:val="center"/>
                    <w:rPr>
                      <w:color w:val="auto"/>
                      <w:spacing w:val="-10"/>
                      <w:szCs w:val="21"/>
                      <w:highlight w:val="none"/>
                    </w:rPr>
                  </w:pPr>
                  <w:r>
                    <w:rPr>
                      <w:color w:val="auto"/>
                      <w:spacing w:val="-10"/>
                      <w:szCs w:val="21"/>
                      <w:highlight w:val="none"/>
                    </w:rPr>
                    <w:t>乙醇</w:t>
                  </w:r>
                </w:p>
                <w:p>
                  <w:pPr>
                    <w:jc w:val="center"/>
                    <w:rPr>
                      <w:color w:val="auto"/>
                      <w:spacing w:val="-10"/>
                      <w:szCs w:val="21"/>
                      <w:highlight w:val="none"/>
                    </w:rPr>
                  </w:pPr>
                  <w:r>
                    <w:rPr>
                      <w:color w:val="auto"/>
                      <w:spacing w:val="-10"/>
                      <w:szCs w:val="21"/>
                      <w:highlight w:val="none"/>
                    </w:rPr>
                    <w:t>丙酮</w:t>
                  </w:r>
                </w:p>
              </w:tc>
              <w:tc>
                <w:tcPr>
                  <w:tcW w:w="543" w:type="pct"/>
                  <w:tcBorders>
                    <w:bottom w:val="single" w:color="auto" w:sz="4" w:space="0"/>
                  </w:tcBorders>
                  <w:vAlign w:val="center"/>
                </w:tcPr>
                <w:p>
                  <w:pPr>
                    <w:jc w:val="center"/>
                    <w:rPr>
                      <w:color w:val="auto"/>
                      <w:spacing w:val="-10"/>
                      <w:szCs w:val="21"/>
                      <w:highlight w:val="none"/>
                    </w:rPr>
                  </w:pPr>
                  <w:r>
                    <w:rPr>
                      <w:color w:val="auto"/>
                      <w:spacing w:val="-10"/>
                      <w:szCs w:val="21"/>
                      <w:highlight w:val="none"/>
                    </w:rPr>
                    <w:t>乙醇</w:t>
                  </w:r>
                </w:p>
                <w:p>
                  <w:pPr>
                    <w:jc w:val="center"/>
                    <w:rPr>
                      <w:color w:val="auto"/>
                      <w:spacing w:val="-10"/>
                      <w:szCs w:val="21"/>
                      <w:highlight w:val="none"/>
                    </w:rPr>
                  </w:pPr>
                  <w:r>
                    <w:rPr>
                      <w:color w:val="auto"/>
                      <w:spacing w:val="-10"/>
                      <w:szCs w:val="21"/>
                      <w:highlight w:val="none"/>
                    </w:rPr>
                    <w:t>丙酮</w:t>
                  </w:r>
                </w:p>
              </w:tc>
              <w:tc>
                <w:tcPr>
                  <w:tcW w:w="314" w:type="pct"/>
                  <w:tcBorders>
                    <w:bottom w:val="single" w:color="auto" w:sz="4" w:space="0"/>
                  </w:tcBorders>
                  <w:vAlign w:val="center"/>
                </w:tcPr>
                <w:p>
                  <w:pPr>
                    <w:topLinePunct/>
                    <w:ind w:left="-105" w:leftChars="-50" w:right="-105" w:rightChars="-50"/>
                    <w:jc w:val="center"/>
                    <w:rPr>
                      <w:color w:val="auto"/>
                      <w:kern w:val="0"/>
                      <w:szCs w:val="21"/>
                      <w:highlight w:val="none"/>
                    </w:rPr>
                  </w:pPr>
                  <w:r>
                    <w:rPr>
                      <w:color w:val="auto"/>
                      <w:kern w:val="0"/>
                      <w:szCs w:val="21"/>
                      <w:highlight w:val="none"/>
                    </w:rPr>
                    <w:t>每年</w:t>
                  </w:r>
                </w:p>
              </w:tc>
              <w:tc>
                <w:tcPr>
                  <w:tcW w:w="308" w:type="pct"/>
                  <w:tcBorders>
                    <w:bottom w:val="single" w:color="auto" w:sz="4" w:space="0"/>
                  </w:tcBorders>
                  <w:vAlign w:val="center"/>
                </w:tcPr>
                <w:p>
                  <w:pPr>
                    <w:jc w:val="center"/>
                    <w:rPr>
                      <w:color w:val="auto"/>
                      <w:highlight w:val="none"/>
                    </w:rPr>
                  </w:pPr>
                  <w:r>
                    <w:rPr>
                      <w:color w:val="auto"/>
                      <w:highlight w:val="none"/>
                    </w:rPr>
                    <w:t>T</w:t>
                  </w:r>
                </w:p>
              </w:tc>
              <w:tc>
                <w:tcPr>
                  <w:tcW w:w="372" w:type="pct"/>
                  <w:vMerge w:val="continue"/>
                  <w:tcBorders>
                    <w:bottom w:val="single" w:color="auto" w:sz="4" w:space="0"/>
                  </w:tcBorders>
                  <w:vAlign w:val="center"/>
                </w:tcPr>
                <w:p>
                  <w:pPr>
                    <w:topLinePunct/>
                    <w:ind w:left="-105" w:leftChars="-50" w:right="-105" w:rightChars="-50"/>
                    <w:jc w:val="center"/>
                    <w:rPr>
                      <w:color w:val="auto"/>
                      <w:kern w:val="0"/>
                      <w:szCs w:val="21"/>
                      <w:highlight w:val="none"/>
                    </w:rPr>
                  </w:pPr>
                </w:p>
              </w:tc>
            </w:tr>
          </w:tbl>
          <w:p>
            <w:pPr>
              <w:adjustRightInd w:val="0"/>
              <w:snapToGrid w:val="0"/>
              <w:spacing w:beforeLines="50" w:line="360" w:lineRule="auto"/>
              <w:ind w:firstLine="316" w:firstLineChars="150"/>
              <w:rPr>
                <w:b/>
                <w:bCs/>
                <w:color w:val="auto"/>
                <w:kern w:val="21"/>
                <w:sz w:val="24"/>
                <w:highlight w:val="none"/>
              </w:rPr>
            </w:pPr>
            <w:r>
              <w:rPr>
                <w:b/>
                <w:bCs/>
                <w:color w:val="auto"/>
                <w:kern w:val="21"/>
                <w:szCs w:val="21"/>
                <w:highlight w:val="none"/>
              </w:rPr>
              <w:t>（</w:t>
            </w:r>
            <w:r>
              <w:rPr>
                <w:b/>
                <w:bCs/>
                <w:color w:val="auto"/>
                <w:kern w:val="21"/>
                <w:sz w:val="24"/>
                <w:highlight w:val="none"/>
              </w:rPr>
              <w:t>2）固体废物贮存场所分析</w:t>
            </w:r>
          </w:p>
          <w:p>
            <w:pPr>
              <w:adjustRightInd w:val="0"/>
              <w:snapToGrid w:val="0"/>
              <w:spacing w:line="360" w:lineRule="auto"/>
              <w:ind w:firstLine="482" w:firstLineChars="200"/>
              <w:rPr>
                <w:b/>
                <w:bCs/>
                <w:color w:val="auto"/>
                <w:kern w:val="21"/>
                <w:sz w:val="24"/>
                <w:highlight w:val="none"/>
              </w:rPr>
            </w:pPr>
            <w:r>
              <w:rPr>
                <w:b/>
                <w:bCs/>
                <w:color w:val="auto"/>
                <w:kern w:val="21"/>
                <w:sz w:val="24"/>
                <w:highlight w:val="none"/>
              </w:rPr>
              <w:fldChar w:fldCharType="begin"/>
            </w:r>
            <w:r>
              <w:rPr>
                <w:b/>
                <w:bCs/>
                <w:color w:val="auto"/>
                <w:kern w:val="21"/>
                <w:sz w:val="24"/>
                <w:highlight w:val="none"/>
              </w:rPr>
              <w:instrText xml:space="preserve"> = 1 \* GB3 </w:instrText>
            </w:r>
            <w:r>
              <w:rPr>
                <w:b/>
                <w:bCs/>
                <w:color w:val="auto"/>
                <w:kern w:val="21"/>
                <w:sz w:val="24"/>
                <w:highlight w:val="none"/>
              </w:rPr>
              <w:fldChar w:fldCharType="separate"/>
            </w:r>
            <w:r>
              <w:rPr>
                <w:rFonts w:hint="eastAsia" w:ascii="宋体" w:hAnsi="宋体" w:cs="宋体"/>
                <w:b/>
                <w:bCs/>
                <w:color w:val="auto"/>
                <w:kern w:val="21"/>
                <w:sz w:val="24"/>
                <w:highlight w:val="none"/>
              </w:rPr>
              <w:t>①</w:t>
            </w:r>
            <w:r>
              <w:rPr>
                <w:b/>
                <w:bCs/>
                <w:color w:val="auto"/>
                <w:kern w:val="21"/>
                <w:sz w:val="24"/>
                <w:highlight w:val="none"/>
              </w:rPr>
              <w:fldChar w:fldCharType="end"/>
            </w:r>
            <w:r>
              <w:rPr>
                <w:b/>
                <w:bCs/>
                <w:color w:val="auto"/>
                <w:kern w:val="21"/>
                <w:sz w:val="24"/>
                <w:highlight w:val="none"/>
              </w:rPr>
              <w:t>一般工业固体废物</w:t>
            </w:r>
          </w:p>
          <w:p>
            <w:pPr>
              <w:adjustRightInd w:val="0"/>
              <w:snapToGrid w:val="0"/>
              <w:spacing w:line="360" w:lineRule="auto"/>
              <w:ind w:firstLine="480" w:firstLineChars="200"/>
              <w:rPr>
                <w:bCs/>
                <w:color w:val="auto"/>
                <w:kern w:val="21"/>
                <w:sz w:val="24"/>
                <w:highlight w:val="none"/>
              </w:rPr>
            </w:pPr>
            <w:r>
              <w:rPr>
                <w:bCs/>
                <w:color w:val="auto"/>
                <w:kern w:val="21"/>
                <w:sz w:val="24"/>
                <w:highlight w:val="none"/>
              </w:rPr>
              <w:t>本项目产生一般工业固体废物</w:t>
            </w:r>
            <w:r>
              <w:rPr>
                <w:rFonts w:hint="eastAsia"/>
                <w:bCs/>
                <w:color w:val="auto"/>
                <w:kern w:val="21"/>
                <w:sz w:val="24"/>
                <w:highlight w:val="none"/>
              </w:rPr>
              <w:t>4</w:t>
            </w:r>
            <w:r>
              <w:rPr>
                <w:bCs/>
                <w:color w:val="auto"/>
                <w:kern w:val="21"/>
                <w:sz w:val="24"/>
                <w:highlight w:val="none"/>
              </w:rPr>
              <w:t>.4t/a，一般工业固废堆场面积两处各20m</w:t>
            </w:r>
            <w:r>
              <w:rPr>
                <w:bCs/>
                <w:color w:val="auto"/>
                <w:kern w:val="21"/>
                <w:sz w:val="24"/>
                <w:highlight w:val="none"/>
                <w:vertAlign w:val="superscript"/>
              </w:rPr>
              <w:t>2</w:t>
            </w:r>
            <w:r>
              <w:rPr>
                <w:bCs/>
                <w:color w:val="auto"/>
                <w:kern w:val="21"/>
                <w:sz w:val="24"/>
                <w:highlight w:val="none"/>
              </w:rPr>
              <w:t>，堆场地面进行硬化，且设置醒目标志牌，符合《一般工业固体废物贮存和填埋污染控制标准》（GB18599-2020）、《环境保护图形标志-固体废物贮存（处置场）》（GB15562.2-1995）的相关要求。一般工业固废暂存后委托相关单位或外售综合利用处置。因此，企业在生产过程中，加强一般固废的管理，定点收集堆存，及时妥善处理，不会对环境造成不利影响。</w:t>
            </w:r>
          </w:p>
          <w:p>
            <w:pPr>
              <w:adjustRightInd w:val="0"/>
              <w:snapToGrid w:val="0"/>
              <w:spacing w:line="360" w:lineRule="auto"/>
              <w:ind w:firstLine="482" w:firstLineChars="200"/>
              <w:rPr>
                <w:b/>
                <w:bCs/>
                <w:color w:val="auto"/>
                <w:kern w:val="21"/>
                <w:sz w:val="24"/>
                <w:highlight w:val="none"/>
              </w:rPr>
            </w:pPr>
            <w:r>
              <w:rPr>
                <w:b/>
                <w:bCs/>
                <w:color w:val="auto"/>
                <w:kern w:val="21"/>
                <w:sz w:val="24"/>
                <w:highlight w:val="none"/>
              </w:rPr>
              <w:fldChar w:fldCharType="begin"/>
            </w:r>
            <w:r>
              <w:rPr>
                <w:b/>
                <w:bCs/>
                <w:color w:val="auto"/>
                <w:kern w:val="21"/>
                <w:sz w:val="24"/>
                <w:highlight w:val="none"/>
              </w:rPr>
              <w:instrText xml:space="preserve"> = 2 \* GB3 </w:instrText>
            </w:r>
            <w:r>
              <w:rPr>
                <w:b/>
                <w:bCs/>
                <w:color w:val="auto"/>
                <w:kern w:val="21"/>
                <w:sz w:val="24"/>
                <w:highlight w:val="none"/>
              </w:rPr>
              <w:fldChar w:fldCharType="separate"/>
            </w:r>
            <w:r>
              <w:rPr>
                <w:rFonts w:hint="eastAsia" w:ascii="宋体" w:hAnsi="宋体" w:cs="宋体"/>
                <w:b/>
                <w:bCs/>
                <w:color w:val="auto"/>
                <w:kern w:val="21"/>
                <w:sz w:val="24"/>
                <w:highlight w:val="none"/>
              </w:rPr>
              <w:t>②</w:t>
            </w:r>
            <w:r>
              <w:rPr>
                <w:b/>
                <w:bCs/>
                <w:color w:val="auto"/>
                <w:kern w:val="21"/>
                <w:sz w:val="24"/>
                <w:highlight w:val="none"/>
              </w:rPr>
              <w:fldChar w:fldCharType="end"/>
            </w:r>
            <w:r>
              <w:rPr>
                <w:b/>
                <w:bCs/>
                <w:color w:val="auto"/>
                <w:kern w:val="21"/>
                <w:sz w:val="24"/>
                <w:highlight w:val="none"/>
              </w:rPr>
              <w:t>危险废物</w:t>
            </w:r>
          </w:p>
          <w:p>
            <w:pPr>
              <w:adjustRightInd w:val="0"/>
              <w:snapToGrid w:val="0"/>
              <w:spacing w:line="360" w:lineRule="auto"/>
              <w:ind w:firstLine="480" w:firstLineChars="200"/>
              <w:rPr>
                <w:bCs/>
                <w:color w:val="auto"/>
                <w:kern w:val="21"/>
                <w:sz w:val="24"/>
                <w:highlight w:val="none"/>
              </w:rPr>
            </w:pPr>
            <w:r>
              <w:rPr>
                <w:bCs/>
                <w:color w:val="auto"/>
                <w:kern w:val="21"/>
                <w:sz w:val="24"/>
                <w:highlight w:val="none"/>
              </w:rPr>
              <w:t>本项目产生危废10t/a，依托现有危废库暂存</w:t>
            </w:r>
            <w:r>
              <w:rPr>
                <w:rFonts w:hint="eastAsia"/>
                <w:bCs/>
                <w:color w:val="auto"/>
                <w:kern w:val="21"/>
                <w:sz w:val="24"/>
                <w:highlight w:val="none"/>
              </w:rPr>
              <w:t>，</w:t>
            </w:r>
            <w:r>
              <w:rPr>
                <w:bCs/>
                <w:color w:val="auto"/>
                <w:kern w:val="21"/>
                <w:sz w:val="24"/>
                <w:highlight w:val="none"/>
              </w:rPr>
              <w:t>危废库</w:t>
            </w:r>
            <w:r>
              <w:rPr>
                <w:rFonts w:hint="eastAsia"/>
                <w:bCs/>
                <w:color w:val="auto"/>
                <w:kern w:val="21"/>
                <w:sz w:val="24"/>
                <w:highlight w:val="none"/>
              </w:rPr>
              <w:t>面积</w:t>
            </w:r>
            <w:r>
              <w:rPr>
                <w:bCs/>
                <w:color w:val="auto"/>
                <w:kern w:val="21"/>
                <w:sz w:val="24"/>
                <w:highlight w:val="none"/>
              </w:rPr>
              <w:t>30m</w:t>
            </w:r>
            <w:r>
              <w:rPr>
                <w:bCs/>
                <w:color w:val="auto"/>
                <w:kern w:val="21"/>
                <w:sz w:val="24"/>
                <w:highlight w:val="none"/>
                <w:vertAlign w:val="superscript"/>
              </w:rPr>
              <w:t>2</w:t>
            </w:r>
            <w:r>
              <w:rPr>
                <w:bCs/>
                <w:color w:val="auto"/>
                <w:kern w:val="21"/>
                <w:sz w:val="24"/>
                <w:highlight w:val="none"/>
              </w:rPr>
              <w:t>。危废暂存场地设置应按《危险废物贮存污染控制》（GB18597-2001）（2013年修订）和《关于印发江苏省危险废物贮存规范化管理专项整治行动方案的通知》（苏环办[2019]149号）、《省生态环境厅关于进一步加强危险废物污染防治工作的实施意见》（苏环办[2019]327号）、《关于进一步加强危险废物污染防治工作的实施意见》(苏环办[2019]222号)要求设置标志牌，地面与裙角均采用防渗材料建造。</w:t>
            </w:r>
          </w:p>
          <w:p>
            <w:pPr>
              <w:adjustRightInd w:val="0"/>
              <w:snapToGrid w:val="0"/>
              <w:spacing w:line="360" w:lineRule="auto"/>
              <w:jc w:val="center"/>
              <w:rPr>
                <w:b/>
                <w:color w:val="auto"/>
                <w:kern w:val="21"/>
                <w:sz w:val="24"/>
                <w:highlight w:val="none"/>
              </w:rPr>
            </w:pPr>
            <w:r>
              <w:rPr>
                <w:b/>
                <w:color w:val="auto"/>
                <w:kern w:val="21"/>
                <w:sz w:val="24"/>
                <w:highlight w:val="none"/>
              </w:rPr>
              <w:t>表4-2</w:t>
            </w:r>
            <w:r>
              <w:rPr>
                <w:rFonts w:hint="eastAsia"/>
                <w:b/>
                <w:color w:val="auto"/>
                <w:kern w:val="21"/>
                <w:sz w:val="24"/>
                <w:highlight w:val="none"/>
              </w:rPr>
              <w:t>7</w:t>
            </w:r>
            <w:r>
              <w:rPr>
                <w:b/>
                <w:color w:val="auto"/>
                <w:kern w:val="21"/>
                <w:sz w:val="24"/>
                <w:highlight w:val="none"/>
              </w:rPr>
              <w:t xml:space="preserve">  建设项目危险废物贮存场所（设施）基本情况表</w:t>
            </w:r>
          </w:p>
          <w:tbl>
            <w:tblPr>
              <w:tblStyle w:val="34"/>
              <w:tblW w:w="5000" w:type="pct"/>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0" w:type="dxa"/>
                <w:bottom w:w="0" w:type="dxa"/>
                <w:right w:w="0" w:type="dxa"/>
              </w:tblCellMar>
            </w:tblPr>
            <w:tblGrid>
              <w:gridCol w:w="497"/>
              <w:gridCol w:w="830"/>
              <w:gridCol w:w="1492"/>
              <w:gridCol w:w="1035"/>
              <w:gridCol w:w="1331"/>
              <w:gridCol w:w="592"/>
              <w:gridCol w:w="740"/>
              <w:gridCol w:w="1037"/>
              <w:gridCol w:w="591"/>
              <w:gridCol w:w="53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227" w:hRule="atLeast"/>
              </w:trPr>
              <w:tc>
                <w:tcPr>
                  <w:tcW w:w="286" w:type="pct"/>
                  <w:vAlign w:val="center"/>
                </w:tcPr>
                <w:p>
                  <w:pPr>
                    <w:adjustRightInd w:val="0"/>
                    <w:snapToGrid w:val="0"/>
                    <w:jc w:val="center"/>
                    <w:rPr>
                      <w:color w:val="auto"/>
                      <w:szCs w:val="21"/>
                      <w:highlight w:val="none"/>
                    </w:rPr>
                  </w:pPr>
                  <w:r>
                    <w:rPr>
                      <w:color w:val="auto"/>
                      <w:szCs w:val="21"/>
                      <w:highlight w:val="none"/>
                    </w:rPr>
                    <w:t>序号</w:t>
                  </w:r>
                </w:p>
              </w:tc>
              <w:tc>
                <w:tcPr>
                  <w:tcW w:w="478" w:type="pct"/>
                  <w:vAlign w:val="center"/>
                </w:tcPr>
                <w:p>
                  <w:pPr>
                    <w:adjustRightInd w:val="0"/>
                    <w:snapToGrid w:val="0"/>
                    <w:jc w:val="center"/>
                    <w:rPr>
                      <w:color w:val="auto"/>
                      <w:szCs w:val="21"/>
                      <w:highlight w:val="none"/>
                    </w:rPr>
                  </w:pPr>
                  <w:r>
                    <w:rPr>
                      <w:color w:val="auto"/>
                      <w:szCs w:val="21"/>
                      <w:highlight w:val="none"/>
                    </w:rPr>
                    <w:t>贮存场所名称</w:t>
                  </w:r>
                </w:p>
              </w:tc>
              <w:tc>
                <w:tcPr>
                  <w:tcW w:w="859" w:type="pct"/>
                  <w:vAlign w:val="center"/>
                </w:tcPr>
                <w:p>
                  <w:pPr>
                    <w:adjustRightInd w:val="0"/>
                    <w:snapToGrid w:val="0"/>
                    <w:jc w:val="center"/>
                    <w:rPr>
                      <w:color w:val="auto"/>
                      <w:szCs w:val="21"/>
                      <w:highlight w:val="none"/>
                    </w:rPr>
                  </w:pPr>
                  <w:r>
                    <w:rPr>
                      <w:color w:val="auto"/>
                      <w:szCs w:val="21"/>
                      <w:highlight w:val="none"/>
                    </w:rPr>
                    <w:t>危险废物名称</w:t>
                  </w:r>
                </w:p>
              </w:tc>
              <w:tc>
                <w:tcPr>
                  <w:tcW w:w="596" w:type="pct"/>
                  <w:vAlign w:val="center"/>
                </w:tcPr>
                <w:p>
                  <w:pPr>
                    <w:adjustRightInd w:val="0"/>
                    <w:snapToGrid w:val="0"/>
                    <w:jc w:val="center"/>
                    <w:rPr>
                      <w:color w:val="auto"/>
                      <w:szCs w:val="21"/>
                      <w:highlight w:val="none"/>
                    </w:rPr>
                  </w:pPr>
                  <w:r>
                    <w:rPr>
                      <w:color w:val="auto"/>
                      <w:szCs w:val="21"/>
                      <w:highlight w:val="none"/>
                    </w:rPr>
                    <w:t>危险废物类别</w:t>
                  </w:r>
                </w:p>
              </w:tc>
              <w:tc>
                <w:tcPr>
                  <w:tcW w:w="766" w:type="pct"/>
                  <w:vAlign w:val="center"/>
                </w:tcPr>
                <w:p>
                  <w:pPr>
                    <w:adjustRightInd w:val="0"/>
                    <w:snapToGrid w:val="0"/>
                    <w:jc w:val="center"/>
                    <w:rPr>
                      <w:color w:val="auto"/>
                      <w:szCs w:val="21"/>
                      <w:highlight w:val="none"/>
                    </w:rPr>
                  </w:pPr>
                  <w:r>
                    <w:rPr>
                      <w:color w:val="auto"/>
                      <w:szCs w:val="21"/>
                      <w:highlight w:val="none"/>
                    </w:rPr>
                    <w:t>危险废物代码</w:t>
                  </w:r>
                </w:p>
              </w:tc>
              <w:tc>
                <w:tcPr>
                  <w:tcW w:w="341" w:type="pct"/>
                  <w:vAlign w:val="center"/>
                </w:tcPr>
                <w:p>
                  <w:pPr>
                    <w:adjustRightInd w:val="0"/>
                    <w:snapToGrid w:val="0"/>
                    <w:jc w:val="center"/>
                    <w:rPr>
                      <w:color w:val="auto"/>
                      <w:szCs w:val="21"/>
                      <w:highlight w:val="none"/>
                    </w:rPr>
                  </w:pPr>
                  <w:r>
                    <w:rPr>
                      <w:color w:val="auto"/>
                      <w:szCs w:val="21"/>
                      <w:highlight w:val="none"/>
                    </w:rPr>
                    <w:t>位置</w:t>
                  </w:r>
                </w:p>
              </w:tc>
              <w:tc>
                <w:tcPr>
                  <w:tcW w:w="426" w:type="pct"/>
                  <w:vAlign w:val="center"/>
                </w:tcPr>
                <w:p>
                  <w:pPr>
                    <w:adjustRightInd w:val="0"/>
                    <w:snapToGrid w:val="0"/>
                    <w:jc w:val="center"/>
                    <w:rPr>
                      <w:color w:val="auto"/>
                      <w:szCs w:val="21"/>
                      <w:highlight w:val="none"/>
                    </w:rPr>
                  </w:pPr>
                  <w:r>
                    <w:rPr>
                      <w:color w:val="auto"/>
                      <w:szCs w:val="21"/>
                      <w:highlight w:val="none"/>
                    </w:rPr>
                    <w:t>占地</w:t>
                  </w:r>
                </w:p>
                <w:p>
                  <w:pPr>
                    <w:adjustRightInd w:val="0"/>
                    <w:snapToGrid w:val="0"/>
                    <w:jc w:val="center"/>
                    <w:rPr>
                      <w:color w:val="auto"/>
                      <w:szCs w:val="21"/>
                      <w:highlight w:val="none"/>
                    </w:rPr>
                  </w:pPr>
                  <w:r>
                    <w:rPr>
                      <w:color w:val="auto"/>
                      <w:szCs w:val="21"/>
                      <w:highlight w:val="none"/>
                    </w:rPr>
                    <w:t>面积</w:t>
                  </w:r>
                </w:p>
              </w:tc>
              <w:tc>
                <w:tcPr>
                  <w:tcW w:w="597" w:type="pct"/>
                  <w:vAlign w:val="center"/>
                </w:tcPr>
                <w:p>
                  <w:pPr>
                    <w:adjustRightInd w:val="0"/>
                    <w:snapToGrid w:val="0"/>
                    <w:jc w:val="center"/>
                    <w:rPr>
                      <w:color w:val="auto"/>
                      <w:szCs w:val="21"/>
                      <w:highlight w:val="none"/>
                    </w:rPr>
                  </w:pPr>
                  <w:r>
                    <w:rPr>
                      <w:color w:val="auto"/>
                      <w:szCs w:val="21"/>
                      <w:highlight w:val="none"/>
                    </w:rPr>
                    <w:t>贮存方式</w:t>
                  </w:r>
                </w:p>
              </w:tc>
              <w:tc>
                <w:tcPr>
                  <w:tcW w:w="340" w:type="pct"/>
                  <w:vAlign w:val="center"/>
                </w:tcPr>
                <w:p>
                  <w:pPr>
                    <w:adjustRightInd w:val="0"/>
                    <w:snapToGrid w:val="0"/>
                    <w:jc w:val="center"/>
                    <w:rPr>
                      <w:color w:val="auto"/>
                      <w:szCs w:val="21"/>
                      <w:highlight w:val="none"/>
                    </w:rPr>
                  </w:pPr>
                  <w:r>
                    <w:rPr>
                      <w:color w:val="auto"/>
                      <w:szCs w:val="21"/>
                      <w:highlight w:val="none"/>
                    </w:rPr>
                    <w:t>贮存</w:t>
                  </w:r>
                </w:p>
                <w:p>
                  <w:pPr>
                    <w:adjustRightInd w:val="0"/>
                    <w:snapToGrid w:val="0"/>
                    <w:jc w:val="center"/>
                    <w:rPr>
                      <w:color w:val="auto"/>
                      <w:szCs w:val="21"/>
                      <w:highlight w:val="none"/>
                    </w:rPr>
                  </w:pPr>
                  <w:r>
                    <w:rPr>
                      <w:color w:val="auto"/>
                      <w:szCs w:val="21"/>
                      <w:highlight w:val="none"/>
                    </w:rPr>
                    <w:t>能力</w:t>
                  </w:r>
                </w:p>
                <w:p>
                  <w:pPr>
                    <w:adjustRightInd w:val="0"/>
                    <w:snapToGrid w:val="0"/>
                    <w:jc w:val="center"/>
                    <w:rPr>
                      <w:color w:val="auto"/>
                      <w:szCs w:val="21"/>
                      <w:highlight w:val="none"/>
                    </w:rPr>
                  </w:pPr>
                  <w:r>
                    <w:rPr>
                      <w:rFonts w:hint="eastAsia"/>
                      <w:color w:val="auto"/>
                      <w:szCs w:val="21"/>
                      <w:highlight w:val="none"/>
                    </w:rPr>
                    <w:t>（t）</w:t>
                  </w:r>
                </w:p>
              </w:tc>
              <w:tc>
                <w:tcPr>
                  <w:tcW w:w="310" w:type="pct"/>
                  <w:vAlign w:val="center"/>
                </w:tcPr>
                <w:p>
                  <w:pPr>
                    <w:adjustRightInd w:val="0"/>
                    <w:snapToGrid w:val="0"/>
                    <w:jc w:val="center"/>
                    <w:rPr>
                      <w:color w:val="auto"/>
                      <w:szCs w:val="21"/>
                      <w:highlight w:val="none"/>
                    </w:rPr>
                  </w:pPr>
                  <w:r>
                    <w:rPr>
                      <w:color w:val="auto"/>
                      <w:szCs w:val="21"/>
                      <w:highlight w:val="none"/>
                    </w:rPr>
                    <w:t>贮存周期</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210" w:hRule="atLeast"/>
              </w:trPr>
              <w:tc>
                <w:tcPr>
                  <w:tcW w:w="286" w:type="pct"/>
                  <w:tcBorders>
                    <w:bottom w:val="single" w:color="auto" w:sz="4" w:space="0"/>
                  </w:tcBorders>
                  <w:vAlign w:val="center"/>
                </w:tcPr>
                <w:p>
                  <w:pPr>
                    <w:jc w:val="center"/>
                    <w:rPr>
                      <w:color w:val="auto"/>
                      <w:szCs w:val="21"/>
                      <w:highlight w:val="none"/>
                    </w:rPr>
                  </w:pPr>
                  <w:r>
                    <w:rPr>
                      <w:color w:val="auto"/>
                      <w:szCs w:val="21"/>
                      <w:highlight w:val="none"/>
                    </w:rPr>
                    <w:t>1</w:t>
                  </w:r>
                </w:p>
              </w:tc>
              <w:tc>
                <w:tcPr>
                  <w:tcW w:w="478" w:type="pct"/>
                  <w:vMerge w:val="restart"/>
                  <w:vAlign w:val="center"/>
                </w:tcPr>
                <w:p>
                  <w:pPr>
                    <w:adjustRightInd w:val="0"/>
                    <w:snapToGrid w:val="0"/>
                    <w:jc w:val="center"/>
                    <w:rPr>
                      <w:bCs/>
                      <w:color w:val="auto"/>
                      <w:szCs w:val="21"/>
                      <w:highlight w:val="none"/>
                    </w:rPr>
                  </w:pPr>
                  <w:r>
                    <w:rPr>
                      <w:bCs/>
                      <w:color w:val="auto"/>
                      <w:szCs w:val="21"/>
                      <w:highlight w:val="none"/>
                    </w:rPr>
                    <w:t>危废</w:t>
                  </w:r>
                </w:p>
                <w:p>
                  <w:pPr>
                    <w:adjustRightInd w:val="0"/>
                    <w:snapToGrid w:val="0"/>
                    <w:jc w:val="center"/>
                    <w:rPr>
                      <w:bCs/>
                      <w:color w:val="auto"/>
                      <w:szCs w:val="21"/>
                      <w:highlight w:val="none"/>
                    </w:rPr>
                  </w:pPr>
                  <w:r>
                    <w:rPr>
                      <w:bCs/>
                      <w:color w:val="auto"/>
                      <w:szCs w:val="21"/>
                      <w:highlight w:val="none"/>
                    </w:rPr>
                    <w:t>仓库</w:t>
                  </w:r>
                </w:p>
              </w:tc>
              <w:tc>
                <w:tcPr>
                  <w:tcW w:w="859" w:type="pct"/>
                  <w:tcBorders>
                    <w:bottom w:val="single" w:color="auto" w:sz="4" w:space="0"/>
                  </w:tcBorders>
                  <w:vAlign w:val="center"/>
                </w:tcPr>
                <w:p>
                  <w:pPr>
                    <w:jc w:val="center"/>
                    <w:rPr>
                      <w:bCs/>
                      <w:color w:val="auto"/>
                      <w:szCs w:val="21"/>
                      <w:highlight w:val="none"/>
                    </w:rPr>
                  </w:pPr>
                  <w:r>
                    <w:rPr>
                      <w:bCs/>
                      <w:color w:val="auto"/>
                      <w:szCs w:val="21"/>
                      <w:highlight w:val="none"/>
                    </w:rPr>
                    <w:t>清洗废液</w:t>
                  </w:r>
                </w:p>
              </w:tc>
              <w:tc>
                <w:tcPr>
                  <w:tcW w:w="596" w:type="pct"/>
                  <w:tcBorders>
                    <w:bottom w:val="single" w:color="auto" w:sz="4" w:space="0"/>
                  </w:tcBorders>
                  <w:vAlign w:val="center"/>
                </w:tcPr>
                <w:p>
                  <w:pPr>
                    <w:adjustRightInd w:val="0"/>
                    <w:snapToGrid w:val="0"/>
                    <w:jc w:val="center"/>
                    <w:rPr>
                      <w:color w:val="auto"/>
                      <w:szCs w:val="21"/>
                      <w:highlight w:val="none"/>
                    </w:rPr>
                  </w:pPr>
                  <w:r>
                    <w:rPr>
                      <w:color w:val="auto"/>
                      <w:szCs w:val="21"/>
                      <w:highlight w:val="none"/>
                    </w:rPr>
                    <w:t>HW06</w:t>
                  </w:r>
                </w:p>
              </w:tc>
              <w:tc>
                <w:tcPr>
                  <w:tcW w:w="766" w:type="pct"/>
                  <w:tcBorders>
                    <w:bottom w:val="single" w:color="auto" w:sz="4" w:space="0"/>
                  </w:tcBorders>
                  <w:vAlign w:val="center"/>
                </w:tcPr>
                <w:p>
                  <w:pPr>
                    <w:adjustRightInd w:val="0"/>
                    <w:snapToGrid w:val="0"/>
                    <w:jc w:val="center"/>
                    <w:rPr>
                      <w:color w:val="auto"/>
                      <w:szCs w:val="21"/>
                      <w:highlight w:val="none"/>
                    </w:rPr>
                  </w:pPr>
                  <w:r>
                    <w:rPr>
                      <w:color w:val="auto"/>
                      <w:szCs w:val="21"/>
                      <w:highlight w:val="none"/>
                    </w:rPr>
                    <w:t>900-402-06</w:t>
                  </w:r>
                </w:p>
              </w:tc>
              <w:tc>
                <w:tcPr>
                  <w:tcW w:w="341" w:type="pct"/>
                  <w:vMerge w:val="restart"/>
                  <w:vAlign w:val="center"/>
                </w:tcPr>
                <w:p>
                  <w:pPr>
                    <w:adjustRightInd w:val="0"/>
                    <w:snapToGrid w:val="0"/>
                    <w:jc w:val="center"/>
                    <w:rPr>
                      <w:bCs/>
                      <w:color w:val="auto"/>
                      <w:szCs w:val="21"/>
                      <w:highlight w:val="none"/>
                    </w:rPr>
                  </w:pPr>
                  <w:r>
                    <w:rPr>
                      <w:bCs/>
                      <w:color w:val="auto"/>
                      <w:szCs w:val="21"/>
                      <w:highlight w:val="none"/>
                    </w:rPr>
                    <w:t>8#厂</w:t>
                  </w:r>
                </w:p>
                <w:p>
                  <w:pPr>
                    <w:adjustRightInd w:val="0"/>
                    <w:snapToGrid w:val="0"/>
                    <w:jc w:val="center"/>
                    <w:rPr>
                      <w:bCs/>
                      <w:color w:val="auto"/>
                      <w:szCs w:val="21"/>
                      <w:highlight w:val="none"/>
                    </w:rPr>
                  </w:pPr>
                  <w:r>
                    <w:rPr>
                      <w:bCs/>
                      <w:color w:val="auto"/>
                      <w:szCs w:val="21"/>
                      <w:highlight w:val="none"/>
                    </w:rPr>
                    <w:t>房西</w:t>
                  </w:r>
                </w:p>
              </w:tc>
              <w:tc>
                <w:tcPr>
                  <w:tcW w:w="426" w:type="pct"/>
                  <w:vMerge w:val="restart"/>
                  <w:vAlign w:val="center"/>
                </w:tcPr>
                <w:p>
                  <w:pPr>
                    <w:ind w:left="1" w:leftChars="-7" w:hanging="16" w:hangingChars="8"/>
                    <w:jc w:val="center"/>
                    <w:rPr>
                      <w:color w:val="auto"/>
                      <w:kern w:val="0"/>
                      <w:szCs w:val="21"/>
                      <w:highlight w:val="none"/>
                    </w:rPr>
                  </w:pPr>
                  <w:r>
                    <w:rPr>
                      <w:color w:val="auto"/>
                      <w:kern w:val="0"/>
                      <w:szCs w:val="21"/>
                      <w:highlight w:val="none"/>
                    </w:rPr>
                    <w:t>30m</w:t>
                  </w:r>
                  <w:r>
                    <w:rPr>
                      <w:color w:val="auto"/>
                      <w:kern w:val="0"/>
                      <w:szCs w:val="21"/>
                      <w:highlight w:val="none"/>
                      <w:vertAlign w:val="superscript"/>
                    </w:rPr>
                    <w:t>2</w:t>
                  </w:r>
                </w:p>
              </w:tc>
              <w:tc>
                <w:tcPr>
                  <w:tcW w:w="597" w:type="pct"/>
                  <w:tcBorders>
                    <w:bottom w:val="single" w:color="auto" w:sz="4" w:space="0"/>
                  </w:tcBorders>
                  <w:vAlign w:val="center"/>
                </w:tcPr>
                <w:p>
                  <w:pPr>
                    <w:jc w:val="center"/>
                    <w:rPr>
                      <w:color w:val="auto"/>
                      <w:szCs w:val="21"/>
                      <w:highlight w:val="none"/>
                    </w:rPr>
                  </w:pPr>
                  <w:r>
                    <w:rPr>
                      <w:color w:val="auto"/>
                      <w:szCs w:val="21"/>
                      <w:highlight w:val="none"/>
                    </w:rPr>
                    <w:t>密封桶装</w:t>
                  </w:r>
                </w:p>
              </w:tc>
              <w:tc>
                <w:tcPr>
                  <w:tcW w:w="340" w:type="pct"/>
                  <w:tcBorders>
                    <w:bottom w:val="single" w:color="auto" w:sz="4" w:space="0"/>
                  </w:tcBorders>
                  <w:vAlign w:val="center"/>
                </w:tcPr>
                <w:p>
                  <w:pPr>
                    <w:jc w:val="center"/>
                    <w:rPr>
                      <w:color w:val="auto"/>
                      <w:kern w:val="0"/>
                      <w:szCs w:val="21"/>
                      <w:highlight w:val="none"/>
                    </w:rPr>
                  </w:pPr>
                  <w:r>
                    <w:rPr>
                      <w:color w:val="auto"/>
                      <w:szCs w:val="21"/>
                      <w:highlight w:val="none"/>
                    </w:rPr>
                    <w:t>5.4</w:t>
                  </w:r>
                </w:p>
              </w:tc>
              <w:tc>
                <w:tcPr>
                  <w:tcW w:w="310" w:type="pct"/>
                  <w:vMerge w:val="restart"/>
                  <w:vAlign w:val="center"/>
                </w:tcPr>
                <w:p>
                  <w:pPr>
                    <w:jc w:val="center"/>
                    <w:rPr>
                      <w:color w:val="auto"/>
                      <w:szCs w:val="21"/>
                      <w:highlight w:val="none"/>
                    </w:rPr>
                  </w:pPr>
                  <w:r>
                    <w:rPr>
                      <w:color w:val="auto"/>
                      <w:szCs w:val="21"/>
                      <w:highlight w:val="none"/>
                    </w:rPr>
                    <w:t>3个月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77" w:hRule="atLeast"/>
              </w:trPr>
              <w:tc>
                <w:tcPr>
                  <w:tcW w:w="286" w:type="pct"/>
                  <w:tcBorders>
                    <w:top w:val="single" w:color="auto" w:sz="4" w:space="0"/>
                  </w:tcBorders>
                  <w:vAlign w:val="center"/>
                </w:tcPr>
                <w:p>
                  <w:pPr>
                    <w:jc w:val="center"/>
                    <w:rPr>
                      <w:color w:val="auto"/>
                      <w:szCs w:val="21"/>
                      <w:highlight w:val="none"/>
                    </w:rPr>
                  </w:pPr>
                  <w:r>
                    <w:rPr>
                      <w:color w:val="auto"/>
                      <w:szCs w:val="21"/>
                      <w:highlight w:val="none"/>
                    </w:rPr>
                    <w:t>2</w:t>
                  </w:r>
                </w:p>
              </w:tc>
              <w:tc>
                <w:tcPr>
                  <w:tcW w:w="478" w:type="pct"/>
                  <w:vMerge w:val="continue"/>
                  <w:vAlign w:val="center"/>
                </w:tcPr>
                <w:p>
                  <w:pPr>
                    <w:adjustRightInd w:val="0"/>
                    <w:snapToGrid w:val="0"/>
                    <w:jc w:val="center"/>
                    <w:rPr>
                      <w:bCs/>
                      <w:color w:val="auto"/>
                      <w:szCs w:val="21"/>
                      <w:highlight w:val="none"/>
                    </w:rPr>
                  </w:pPr>
                </w:p>
              </w:tc>
              <w:tc>
                <w:tcPr>
                  <w:tcW w:w="859" w:type="pct"/>
                  <w:tcBorders>
                    <w:top w:val="single" w:color="auto" w:sz="4" w:space="0"/>
                  </w:tcBorders>
                  <w:vAlign w:val="center"/>
                </w:tcPr>
                <w:p>
                  <w:pPr>
                    <w:jc w:val="center"/>
                    <w:rPr>
                      <w:bCs/>
                      <w:color w:val="auto"/>
                      <w:szCs w:val="21"/>
                      <w:highlight w:val="none"/>
                    </w:rPr>
                  </w:pPr>
                  <w:r>
                    <w:rPr>
                      <w:bCs/>
                      <w:color w:val="auto"/>
                      <w:szCs w:val="21"/>
                      <w:highlight w:val="none"/>
                    </w:rPr>
                    <w:t>废包装瓶</w:t>
                  </w:r>
                </w:p>
              </w:tc>
              <w:tc>
                <w:tcPr>
                  <w:tcW w:w="596" w:type="pct"/>
                  <w:tcBorders>
                    <w:top w:val="single" w:color="auto" w:sz="4" w:space="0"/>
                  </w:tcBorders>
                  <w:vAlign w:val="center"/>
                </w:tcPr>
                <w:p>
                  <w:pPr>
                    <w:adjustRightInd w:val="0"/>
                    <w:snapToGrid w:val="0"/>
                    <w:jc w:val="center"/>
                    <w:rPr>
                      <w:color w:val="auto"/>
                      <w:highlight w:val="none"/>
                    </w:rPr>
                  </w:pPr>
                  <w:r>
                    <w:rPr>
                      <w:color w:val="auto"/>
                      <w:szCs w:val="21"/>
                      <w:highlight w:val="none"/>
                    </w:rPr>
                    <w:t>HW49</w:t>
                  </w:r>
                </w:p>
              </w:tc>
              <w:tc>
                <w:tcPr>
                  <w:tcW w:w="766" w:type="pct"/>
                  <w:tcBorders>
                    <w:top w:val="single" w:color="auto" w:sz="4" w:space="0"/>
                  </w:tcBorders>
                  <w:vAlign w:val="center"/>
                </w:tcPr>
                <w:p>
                  <w:pPr>
                    <w:adjustRightInd w:val="0"/>
                    <w:snapToGrid w:val="0"/>
                    <w:jc w:val="center"/>
                    <w:rPr>
                      <w:color w:val="auto"/>
                      <w:highlight w:val="none"/>
                    </w:rPr>
                  </w:pPr>
                  <w:r>
                    <w:rPr>
                      <w:color w:val="auto"/>
                      <w:szCs w:val="21"/>
                      <w:highlight w:val="none"/>
                    </w:rPr>
                    <w:t>900-041-49</w:t>
                  </w:r>
                </w:p>
              </w:tc>
              <w:tc>
                <w:tcPr>
                  <w:tcW w:w="341" w:type="pct"/>
                  <w:vMerge w:val="continue"/>
                  <w:vAlign w:val="center"/>
                </w:tcPr>
                <w:p>
                  <w:pPr>
                    <w:adjustRightInd w:val="0"/>
                    <w:snapToGrid w:val="0"/>
                    <w:jc w:val="center"/>
                    <w:rPr>
                      <w:bCs/>
                      <w:color w:val="auto"/>
                      <w:szCs w:val="21"/>
                      <w:highlight w:val="none"/>
                    </w:rPr>
                  </w:pPr>
                </w:p>
              </w:tc>
              <w:tc>
                <w:tcPr>
                  <w:tcW w:w="426" w:type="pct"/>
                  <w:vMerge w:val="continue"/>
                  <w:vAlign w:val="center"/>
                </w:tcPr>
                <w:p>
                  <w:pPr>
                    <w:ind w:left="1" w:leftChars="-7" w:hanging="16" w:hangingChars="8"/>
                    <w:jc w:val="center"/>
                    <w:rPr>
                      <w:color w:val="auto"/>
                      <w:kern w:val="0"/>
                      <w:szCs w:val="21"/>
                      <w:highlight w:val="none"/>
                    </w:rPr>
                  </w:pPr>
                </w:p>
              </w:tc>
              <w:tc>
                <w:tcPr>
                  <w:tcW w:w="597" w:type="pct"/>
                  <w:tcBorders>
                    <w:top w:val="single" w:color="auto" w:sz="4" w:space="0"/>
                    <w:bottom w:val="single" w:color="auto" w:sz="4" w:space="0"/>
                  </w:tcBorders>
                  <w:vAlign w:val="center"/>
                </w:tcPr>
                <w:p>
                  <w:pPr>
                    <w:jc w:val="center"/>
                    <w:rPr>
                      <w:color w:val="auto"/>
                      <w:szCs w:val="21"/>
                      <w:highlight w:val="none"/>
                    </w:rPr>
                  </w:pPr>
                  <w:r>
                    <w:rPr>
                      <w:color w:val="auto"/>
                      <w:szCs w:val="21"/>
                      <w:highlight w:val="none"/>
                    </w:rPr>
                    <w:t>加盖</w:t>
                  </w:r>
                  <w:r>
                    <w:rPr>
                      <w:bCs/>
                      <w:color w:val="auto"/>
                      <w:szCs w:val="21"/>
                      <w:highlight w:val="none"/>
                    </w:rPr>
                    <w:t>封</w:t>
                  </w:r>
                  <w:r>
                    <w:rPr>
                      <w:color w:val="auto"/>
                      <w:szCs w:val="21"/>
                      <w:highlight w:val="none"/>
                    </w:rPr>
                    <w:t>装</w:t>
                  </w:r>
                </w:p>
              </w:tc>
              <w:tc>
                <w:tcPr>
                  <w:tcW w:w="340" w:type="pct"/>
                  <w:tcBorders>
                    <w:top w:val="single" w:color="auto" w:sz="4" w:space="0"/>
                    <w:bottom w:val="single" w:color="auto" w:sz="4" w:space="0"/>
                  </w:tcBorders>
                  <w:vAlign w:val="center"/>
                </w:tcPr>
                <w:p>
                  <w:pPr>
                    <w:jc w:val="center"/>
                    <w:rPr>
                      <w:color w:val="auto"/>
                      <w:szCs w:val="21"/>
                      <w:highlight w:val="none"/>
                    </w:rPr>
                  </w:pPr>
                  <w:r>
                    <w:rPr>
                      <w:color w:val="auto"/>
                      <w:szCs w:val="21"/>
                      <w:highlight w:val="none"/>
                    </w:rPr>
                    <w:t>0.5</w:t>
                  </w:r>
                </w:p>
              </w:tc>
              <w:tc>
                <w:tcPr>
                  <w:tcW w:w="310" w:type="pct"/>
                  <w:vMerge w:val="continue"/>
                  <w:vAlign w:val="center"/>
                </w:tcPr>
                <w:p>
                  <w:pPr>
                    <w:jc w:val="center"/>
                    <w:rPr>
                      <w:color w:val="auto"/>
                      <w:szCs w:val="21"/>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44" w:hRule="atLeast"/>
              </w:trPr>
              <w:tc>
                <w:tcPr>
                  <w:tcW w:w="286" w:type="pct"/>
                  <w:tcBorders>
                    <w:bottom w:val="single" w:color="auto" w:sz="4" w:space="0"/>
                  </w:tcBorders>
                  <w:vAlign w:val="center"/>
                </w:tcPr>
                <w:p>
                  <w:pPr>
                    <w:jc w:val="center"/>
                    <w:rPr>
                      <w:color w:val="auto"/>
                      <w:szCs w:val="21"/>
                      <w:highlight w:val="none"/>
                    </w:rPr>
                  </w:pPr>
                  <w:r>
                    <w:rPr>
                      <w:color w:val="auto"/>
                      <w:szCs w:val="21"/>
                      <w:highlight w:val="none"/>
                    </w:rPr>
                    <w:t>3</w:t>
                  </w:r>
                </w:p>
              </w:tc>
              <w:tc>
                <w:tcPr>
                  <w:tcW w:w="478" w:type="pct"/>
                  <w:vMerge w:val="continue"/>
                  <w:vAlign w:val="center"/>
                </w:tcPr>
                <w:p>
                  <w:pPr>
                    <w:adjustRightInd w:val="0"/>
                    <w:snapToGrid w:val="0"/>
                    <w:jc w:val="center"/>
                    <w:rPr>
                      <w:bCs/>
                      <w:color w:val="auto"/>
                      <w:szCs w:val="21"/>
                      <w:highlight w:val="none"/>
                    </w:rPr>
                  </w:pPr>
                </w:p>
              </w:tc>
              <w:tc>
                <w:tcPr>
                  <w:tcW w:w="859" w:type="pct"/>
                  <w:vMerge w:val="restart"/>
                  <w:vAlign w:val="center"/>
                </w:tcPr>
                <w:p>
                  <w:pPr>
                    <w:jc w:val="center"/>
                    <w:rPr>
                      <w:bCs/>
                      <w:color w:val="auto"/>
                      <w:szCs w:val="21"/>
                      <w:highlight w:val="none"/>
                    </w:rPr>
                  </w:pPr>
                  <w:r>
                    <w:rPr>
                      <w:bCs/>
                      <w:color w:val="auto"/>
                      <w:szCs w:val="21"/>
                      <w:highlight w:val="none"/>
                    </w:rPr>
                    <w:t>废润滑油</w:t>
                  </w:r>
                </w:p>
              </w:tc>
              <w:tc>
                <w:tcPr>
                  <w:tcW w:w="596" w:type="pct"/>
                  <w:vMerge w:val="restart"/>
                  <w:vAlign w:val="center"/>
                </w:tcPr>
                <w:p>
                  <w:pPr>
                    <w:jc w:val="center"/>
                    <w:rPr>
                      <w:color w:val="auto"/>
                      <w:highlight w:val="none"/>
                    </w:rPr>
                  </w:pPr>
                  <w:r>
                    <w:rPr>
                      <w:color w:val="auto"/>
                      <w:szCs w:val="21"/>
                      <w:highlight w:val="none"/>
                    </w:rPr>
                    <w:t>HW08</w:t>
                  </w:r>
                </w:p>
                <w:p>
                  <w:pPr>
                    <w:jc w:val="center"/>
                    <w:rPr>
                      <w:color w:val="auto"/>
                      <w:highlight w:val="none"/>
                    </w:rPr>
                  </w:pPr>
                  <w:r>
                    <w:rPr>
                      <w:color w:val="auto"/>
                      <w:szCs w:val="21"/>
                      <w:highlight w:val="none"/>
                    </w:rPr>
                    <w:t>HW49</w:t>
                  </w:r>
                </w:p>
              </w:tc>
              <w:tc>
                <w:tcPr>
                  <w:tcW w:w="766" w:type="pct"/>
                  <w:vMerge w:val="restart"/>
                  <w:vAlign w:val="center"/>
                </w:tcPr>
                <w:p>
                  <w:pPr>
                    <w:jc w:val="center"/>
                    <w:rPr>
                      <w:color w:val="auto"/>
                      <w:highlight w:val="none"/>
                    </w:rPr>
                  </w:pPr>
                  <w:r>
                    <w:rPr>
                      <w:color w:val="auto"/>
                      <w:highlight w:val="none"/>
                    </w:rPr>
                    <w:t>900-200-08</w:t>
                  </w:r>
                </w:p>
                <w:p>
                  <w:pPr>
                    <w:jc w:val="center"/>
                    <w:rPr>
                      <w:color w:val="auto"/>
                      <w:highlight w:val="none"/>
                    </w:rPr>
                  </w:pPr>
                  <w:r>
                    <w:rPr>
                      <w:color w:val="auto"/>
                      <w:highlight w:val="none"/>
                    </w:rPr>
                    <w:t>900-039-49</w:t>
                  </w:r>
                </w:p>
              </w:tc>
              <w:tc>
                <w:tcPr>
                  <w:tcW w:w="341" w:type="pct"/>
                  <w:vMerge w:val="continue"/>
                  <w:vAlign w:val="center"/>
                </w:tcPr>
                <w:p>
                  <w:pPr>
                    <w:adjustRightInd w:val="0"/>
                    <w:snapToGrid w:val="0"/>
                    <w:jc w:val="center"/>
                    <w:rPr>
                      <w:bCs/>
                      <w:color w:val="auto"/>
                      <w:szCs w:val="21"/>
                      <w:highlight w:val="none"/>
                    </w:rPr>
                  </w:pPr>
                </w:p>
              </w:tc>
              <w:tc>
                <w:tcPr>
                  <w:tcW w:w="426" w:type="pct"/>
                  <w:vMerge w:val="continue"/>
                  <w:vAlign w:val="center"/>
                </w:tcPr>
                <w:p>
                  <w:pPr>
                    <w:ind w:left="1" w:leftChars="-7" w:hanging="16" w:hangingChars="8"/>
                    <w:jc w:val="center"/>
                    <w:rPr>
                      <w:color w:val="auto"/>
                      <w:kern w:val="0"/>
                      <w:szCs w:val="21"/>
                      <w:highlight w:val="none"/>
                    </w:rPr>
                  </w:pPr>
                </w:p>
              </w:tc>
              <w:tc>
                <w:tcPr>
                  <w:tcW w:w="597" w:type="pct"/>
                  <w:vMerge w:val="restart"/>
                  <w:tcBorders>
                    <w:top w:val="single" w:color="auto" w:sz="4" w:space="0"/>
                  </w:tcBorders>
                  <w:vAlign w:val="center"/>
                </w:tcPr>
                <w:p>
                  <w:pPr>
                    <w:jc w:val="center"/>
                    <w:rPr>
                      <w:color w:val="auto"/>
                      <w:szCs w:val="21"/>
                      <w:highlight w:val="none"/>
                    </w:rPr>
                  </w:pPr>
                  <w:r>
                    <w:rPr>
                      <w:color w:val="auto"/>
                      <w:szCs w:val="21"/>
                      <w:highlight w:val="none"/>
                    </w:rPr>
                    <w:t>密封桶装</w:t>
                  </w:r>
                </w:p>
              </w:tc>
              <w:tc>
                <w:tcPr>
                  <w:tcW w:w="340" w:type="pct"/>
                  <w:vMerge w:val="restart"/>
                  <w:tcBorders>
                    <w:top w:val="single" w:color="auto" w:sz="4" w:space="0"/>
                  </w:tcBorders>
                  <w:vAlign w:val="center"/>
                </w:tcPr>
                <w:p>
                  <w:pPr>
                    <w:jc w:val="center"/>
                    <w:rPr>
                      <w:color w:val="auto"/>
                      <w:kern w:val="0"/>
                      <w:szCs w:val="21"/>
                      <w:highlight w:val="none"/>
                    </w:rPr>
                  </w:pPr>
                  <w:r>
                    <w:rPr>
                      <w:color w:val="auto"/>
                      <w:kern w:val="0"/>
                      <w:szCs w:val="21"/>
                      <w:highlight w:val="none"/>
                    </w:rPr>
                    <w:t>0.1</w:t>
                  </w:r>
                </w:p>
              </w:tc>
              <w:tc>
                <w:tcPr>
                  <w:tcW w:w="310" w:type="pct"/>
                  <w:vMerge w:val="continue"/>
                  <w:vAlign w:val="center"/>
                </w:tcPr>
                <w:p>
                  <w:pPr>
                    <w:jc w:val="center"/>
                    <w:rPr>
                      <w:color w:val="auto"/>
                      <w:szCs w:val="21"/>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241" w:hRule="atLeast"/>
              </w:trPr>
              <w:tc>
                <w:tcPr>
                  <w:tcW w:w="286" w:type="pct"/>
                  <w:vMerge w:val="restart"/>
                  <w:tcBorders>
                    <w:top w:val="single" w:color="auto" w:sz="4" w:space="0"/>
                  </w:tcBorders>
                  <w:vAlign w:val="center"/>
                </w:tcPr>
                <w:p>
                  <w:pPr>
                    <w:jc w:val="center"/>
                    <w:rPr>
                      <w:color w:val="auto"/>
                      <w:szCs w:val="21"/>
                      <w:highlight w:val="none"/>
                    </w:rPr>
                  </w:pPr>
                  <w:r>
                    <w:rPr>
                      <w:color w:val="auto"/>
                      <w:szCs w:val="21"/>
                      <w:highlight w:val="none"/>
                    </w:rPr>
                    <w:t>4</w:t>
                  </w:r>
                </w:p>
              </w:tc>
              <w:tc>
                <w:tcPr>
                  <w:tcW w:w="478" w:type="pct"/>
                  <w:vMerge w:val="continue"/>
                  <w:vAlign w:val="center"/>
                </w:tcPr>
                <w:p>
                  <w:pPr>
                    <w:adjustRightInd w:val="0"/>
                    <w:snapToGrid w:val="0"/>
                    <w:jc w:val="center"/>
                    <w:rPr>
                      <w:bCs/>
                      <w:color w:val="auto"/>
                      <w:szCs w:val="21"/>
                      <w:highlight w:val="none"/>
                    </w:rPr>
                  </w:pPr>
                </w:p>
              </w:tc>
              <w:tc>
                <w:tcPr>
                  <w:tcW w:w="859" w:type="pct"/>
                  <w:vMerge w:val="continue"/>
                  <w:tcBorders>
                    <w:bottom w:val="single" w:color="auto" w:sz="4" w:space="0"/>
                  </w:tcBorders>
                  <w:vAlign w:val="center"/>
                </w:tcPr>
                <w:p>
                  <w:pPr>
                    <w:jc w:val="center"/>
                    <w:rPr>
                      <w:bCs/>
                      <w:color w:val="auto"/>
                      <w:szCs w:val="21"/>
                      <w:highlight w:val="none"/>
                    </w:rPr>
                  </w:pPr>
                </w:p>
              </w:tc>
              <w:tc>
                <w:tcPr>
                  <w:tcW w:w="596" w:type="pct"/>
                  <w:vMerge w:val="continue"/>
                  <w:tcBorders>
                    <w:bottom w:val="single" w:color="auto" w:sz="4" w:space="0"/>
                  </w:tcBorders>
                  <w:vAlign w:val="center"/>
                </w:tcPr>
                <w:p>
                  <w:pPr>
                    <w:jc w:val="center"/>
                    <w:rPr>
                      <w:color w:val="auto"/>
                      <w:highlight w:val="none"/>
                    </w:rPr>
                  </w:pPr>
                </w:p>
              </w:tc>
              <w:tc>
                <w:tcPr>
                  <w:tcW w:w="766" w:type="pct"/>
                  <w:vMerge w:val="continue"/>
                  <w:tcBorders>
                    <w:bottom w:val="single" w:color="auto" w:sz="4" w:space="0"/>
                  </w:tcBorders>
                  <w:vAlign w:val="center"/>
                </w:tcPr>
                <w:p>
                  <w:pPr>
                    <w:jc w:val="center"/>
                    <w:rPr>
                      <w:color w:val="auto"/>
                      <w:highlight w:val="none"/>
                    </w:rPr>
                  </w:pPr>
                </w:p>
              </w:tc>
              <w:tc>
                <w:tcPr>
                  <w:tcW w:w="341" w:type="pct"/>
                  <w:vMerge w:val="continue"/>
                  <w:vAlign w:val="center"/>
                </w:tcPr>
                <w:p>
                  <w:pPr>
                    <w:adjustRightInd w:val="0"/>
                    <w:snapToGrid w:val="0"/>
                    <w:jc w:val="center"/>
                    <w:rPr>
                      <w:bCs/>
                      <w:color w:val="auto"/>
                      <w:szCs w:val="21"/>
                      <w:highlight w:val="none"/>
                    </w:rPr>
                  </w:pPr>
                </w:p>
              </w:tc>
              <w:tc>
                <w:tcPr>
                  <w:tcW w:w="426" w:type="pct"/>
                  <w:vMerge w:val="continue"/>
                  <w:vAlign w:val="center"/>
                </w:tcPr>
                <w:p>
                  <w:pPr>
                    <w:ind w:left="1" w:leftChars="-7" w:hanging="16" w:hangingChars="8"/>
                    <w:jc w:val="center"/>
                    <w:rPr>
                      <w:color w:val="auto"/>
                      <w:kern w:val="0"/>
                      <w:szCs w:val="21"/>
                      <w:highlight w:val="none"/>
                    </w:rPr>
                  </w:pPr>
                </w:p>
              </w:tc>
              <w:tc>
                <w:tcPr>
                  <w:tcW w:w="597" w:type="pct"/>
                  <w:vMerge w:val="continue"/>
                  <w:tcBorders>
                    <w:bottom w:val="single" w:color="auto" w:sz="4" w:space="0"/>
                  </w:tcBorders>
                  <w:vAlign w:val="center"/>
                </w:tcPr>
                <w:p>
                  <w:pPr>
                    <w:jc w:val="center"/>
                    <w:rPr>
                      <w:color w:val="auto"/>
                      <w:szCs w:val="21"/>
                      <w:highlight w:val="none"/>
                    </w:rPr>
                  </w:pPr>
                </w:p>
              </w:tc>
              <w:tc>
                <w:tcPr>
                  <w:tcW w:w="340" w:type="pct"/>
                  <w:vMerge w:val="continue"/>
                  <w:tcBorders>
                    <w:bottom w:val="single" w:color="auto" w:sz="4" w:space="0"/>
                  </w:tcBorders>
                  <w:vAlign w:val="center"/>
                </w:tcPr>
                <w:p>
                  <w:pPr>
                    <w:jc w:val="center"/>
                    <w:rPr>
                      <w:color w:val="auto"/>
                      <w:kern w:val="0"/>
                      <w:szCs w:val="21"/>
                      <w:highlight w:val="none"/>
                    </w:rPr>
                  </w:pPr>
                </w:p>
              </w:tc>
              <w:tc>
                <w:tcPr>
                  <w:tcW w:w="310" w:type="pct"/>
                  <w:vMerge w:val="continue"/>
                  <w:vAlign w:val="center"/>
                </w:tcPr>
                <w:p>
                  <w:pPr>
                    <w:jc w:val="center"/>
                    <w:rPr>
                      <w:color w:val="auto"/>
                      <w:szCs w:val="21"/>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17" w:hRule="atLeast"/>
              </w:trPr>
              <w:tc>
                <w:tcPr>
                  <w:tcW w:w="286" w:type="pct"/>
                  <w:vMerge w:val="continue"/>
                  <w:vAlign w:val="center"/>
                </w:tcPr>
                <w:p>
                  <w:pPr>
                    <w:jc w:val="center"/>
                    <w:rPr>
                      <w:color w:val="auto"/>
                      <w:szCs w:val="21"/>
                      <w:highlight w:val="none"/>
                    </w:rPr>
                  </w:pPr>
                </w:p>
              </w:tc>
              <w:tc>
                <w:tcPr>
                  <w:tcW w:w="478" w:type="pct"/>
                  <w:vMerge w:val="continue"/>
                  <w:tcBorders>
                    <w:bottom w:val="single" w:color="auto" w:sz="4" w:space="0"/>
                  </w:tcBorders>
                  <w:vAlign w:val="center"/>
                </w:tcPr>
                <w:p>
                  <w:pPr>
                    <w:adjustRightInd w:val="0"/>
                    <w:snapToGrid w:val="0"/>
                    <w:jc w:val="center"/>
                    <w:rPr>
                      <w:bCs/>
                      <w:color w:val="auto"/>
                      <w:szCs w:val="21"/>
                      <w:highlight w:val="none"/>
                    </w:rPr>
                  </w:pPr>
                </w:p>
              </w:tc>
              <w:tc>
                <w:tcPr>
                  <w:tcW w:w="859" w:type="pct"/>
                  <w:tcBorders>
                    <w:top w:val="single" w:color="auto" w:sz="4" w:space="0"/>
                  </w:tcBorders>
                  <w:vAlign w:val="center"/>
                </w:tcPr>
                <w:p>
                  <w:pPr>
                    <w:jc w:val="center"/>
                    <w:rPr>
                      <w:bCs/>
                      <w:color w:val="auto"/>
                      <w:szCs w:val="21"/>
                      <w:highlight w:val="none"/>
                    </w:rPr>
                  </w:pPr>
                  <w:r>
                    <w:rPr>
                      <w:bCs/>
                      <w:color w:val="auto"/>
                      <w:szCs w:val="21"/>
                      <w:highlight w:val="none"/>
                    </w:rPr>
                    <w:t>废活性炭</w:t>
                  </w:r>
                </w:p>
              </w:tc>
              <w:tc>
                <w:tcPr>
                  <w:tcW w:w="596" w:type="pct"/>
                  <w:tcBorders>
                    <w:top w:val="single" w:color="auto" w:sz="4" w:space="0"/>
                  </w:tcBorders>
                  <w:vAlign w:val="center"/>
                </w:tcPr>
                <w:p>
                  <w:pPr>
                    <w:adjustRightInd w:val="0"/>
                    <w:snapToGrid w:val="0"/>
                    <w:jc w:val="center"/>
                    <w:rPr>
                      <w:color w:val="auto"/>
                      <w:szCs w:val="21"/>
                      <w:highlight w:val="none"/>
                    </w:rPr>
                  </w:pPr>
                  <w:r>
                    <w:rPr>
                      <w:color w:val="auto"/>
                      <w:szCs w:val="21"/>
                      <w:highlight w:val="none"/>
                    </w:rPr>
                    <w:t>HW06</w:t>
                  </w:r>
                </w:p>
              </w:tc>
              <w:tc>
                <w:tcPr>
                  <w:tcW w:w="766" w:type="pct"/>
                  <w:tcBorders>
                    <w:top w:val="single" w:color="auto" w:sz="4" w:space="0"/>
                  </w:tcBorders>
                  <w:vAlign w:val="center"/>
                </w:tcPr>
                <w:p>
                  <w:pPr>
                    <w:adjustRightInd w:val="0"/>
                    <w:snapToGrid w:val="0"/>
                    <w:jc w:val="center"/>
                    <w:rPr>
                      <w:color w:val="auto"/>
                      <w:szCs w:val="21"/>
                      <w:highlight w:val="none"/>
                    </w:rPr>
                  </w:pPr>
                  <w:r>
                    <w:rPr>
                      <w:color w:val="auto"/>
                      <w:szCs w:val="21"/>
                      <w:highlight w:val="none"/>
                    </w:rPr>
                    <w:t>900-402-06</w:t>
                  </w:r>
                </w:p>
              </w:tc>
              <w:tc>
                <w:tcPr>
                  <w:tcW w:w="341" w:type="pct"/>
                  <w:vMerge w:val="continue"/>
                  <w:tcBorders>
                    <w:bottom w:val="single" w:color="auto" w:sz="4" w:space="0"/>
                  </w:tcBorders>
                  <w:vAlign w:val="center"/>
                </w:tcPr>
                <w:p>
                  <w:pPr>
                    <w:adjustRightInd w:val="0"/>
                    <w:snapToGrid w:val="0"/>
                    <w:jc w:val="center"/>
                    <w:rPr>
                      <w:bCs/>
                      <w:color w:val="auto"/>
                      <w:szCs w:val="21"/>
                      <w:highlight w:val="none"/>
                    </w:rPr>
                  </w:pPr>
                </w:p>
              </w:tc>
              <w:tc>
                <w:tcPr>
                  <w:tcW w:w="426" w:type="pct"/>
                  <w:vMerge w:val="continue"/>
                  <w:tcBorders>
                    <w:bottom w:val="single" w:color="auto" w:sz="4" w:space="0"/>
                  </w:tcBorders>
                  <w:vAlign w:val="center"/>
                </w:tcPr>
                <w:p>
                  <w:pPr>
                    <w:ind w:left="1" w:leftChars="-7" w:hanging="16" w:hangingChars="8"/>
                    <w:jc w:val="center"/>
                    <w:rPr>
                      <w:color w:val="auto"/>
                      <w:kern w:val="0"/>
                      <w:szCs w:val="21"/>
                      <w:highlight w:val="none"/>
                    </w:rPr>
                  </w:pPr>
                </w:p>
              </w:tc>
              <w:tc>
                <w:tcPr>
                  <w:tcW w:w="597" w:type="pct"/>
                  <w:tcBorders>
                    <w:top w:val="single" w:color="auto" w:sz="4" w:space="0"/>
                  </w:tcBorders>
                  <w:vAlign w:val="center"/>
                </w:tcPr>
                <w:p>
                  <w:pPr>
                    <w:jc w:val="center"/>
                    <w:rPr>
                      <w:color w:val="auto"/>
                      <w:szCs w:val="21"/>
                      <w:highlight w:val="none"/>
                    </w:rPr>
                  </w:pPr>
                  <w:r>
                    <w:rPr>
                      <w:color w:val="auto"/>
                      <w:szCs w:val="21"/>
                      <w:highlight w:val="none"/>
                    </w:rPr>
                    <w:t>密封袋装</w:t>
                  </w:r>
                </w:p>
              </w:tc>
              <w:tc>
                <w:tcPr>
                  <w:tcW w:w="340" w:type="pct"/>
                  <w:tcBorders>
                    <w:top w:val="single" w:color="auto" w:sz="4" w:space="0"/>
                  </w:tcBorders>
                  <w:vAlign w:val="center"/>
                </w:tcPr>
                <w:p>
                  <w:pPr>
                    <w:jc w:val="center"/>
                    <w:rPr>
                      <w:color w:val="auto"/>
                      <w:kern w:val="0"/>
                      <w:szCs w:val="21"/>
                      <w:highlight w:val="none"/>
                    </w:rPr>
                  </w:pPr>
                  <w:r>
                    <w:rPr>
                      <w:color w:val="auto"/>
                      <w:kern w:val="0"/>
                      <w:szCs w:val="21"/>
                      <w:highlight w:val="none"/>
                    </w:rPr>
                    <w:t>4</w:t>
                  </w:r>
                </w:p>
              </w:tc>
              <w:tc>
                <w:tcPr>
                  <w:tcW w:w="310" w:type="pct"/>
                  <w:vMerge w:val="continue"/>
                  <w:tcBorders>
                    <w:bottom w:val="single" w:color="auto" w:sz="4" w:space="0"/>
                  </w:tcBorders>
                  <w:vAlign w:val="center"/>
                </w:tcPr>
                <w:p>
                  <w:pPr>
                    <w:jc w:val="center"/>
                    <w:rPr>
                      <w:color w:val="auto"/>
                      <w:szCs w:val="21"/>
                      <w:highlight w:val="none"/>
                    </w:rPr>
                  </w:pPr>
                </w:p>
              </w:tc>
            </w:tr>
          </w:tbl>
          <w:p>
            <w:pPr>
              <w:pStyle w:val="13"/>
              <w:spacing w:after="0" w:line="360" w:lineRule="auto"/>
              <w:ind w:firstLine="480" w:firstLineChars="200"/>
              <w:rPr>
                <w:color w:val="auto"/>
                <w:sz w:val="24"/>
                <w:szCs w:val="24"/>
                <w:highlight w:val="none"/>
              </w:rPr>
            </w:pPr>
            <w:r>
              <w:rPr>
                <w:color w:val="auto"/>
                <w:sz w:val="24"/>
                <w:szCs w:val="24"/>
                <w:highlight w:val="none"/>
              </w:rPr>
              <w:t>依托现有项目危废库30m</w:t>
            </w:r>
            <w:r>
              <w:rPr>
                <w:color w:val="auto"/>
                <w:sz w:val="24"/>
                <w:szCs w:val="24"/>
                <w:highlight w:val="none"/>
                <w:vertAlign w:val="superscript"/>
              </w:rPr>
              <w:t>2</w:t>
            </w:r>
            <w:r>
              <w:rPr>
                <w:color w:val="auto"/>
                <w:sz w:val="24"/>
                <w:szCs w:val="24"/>
                <w:highlight w:val="none"/>
              </w:rPr>
              <w:t>暂存，现有项目上年危废</w:t>
            </w:r>
            <w:r>
              <w:rPr>
                <w:rFonts w:hint="eastAsia"/>
                <w:color w:val="auto"/>
                <w:sz w:val="24"/>
                <w:szCs w:val="24"/>
                <w:highlight w:val="none"/>
              </w:rPr>
              <w:t>30</w:t>
            </w:r>
            <w:r>
              <w:rPr>
                <w:color w:val="auto"/>
                <w:sz w:val="24"/>
                <w:szCs w:val="24"/>
                <w:highlight w:val="none"/>
              </w:rPr>
              <w:t>t/a，本项目产生危废10t/a，危废临时贮存期限为</w:t>
            </w:r>
            <w:r>
              <w:rPr>
                <w:rFonts w:hint="eastAsia"/>
                <w:color w:val="auto"/>
                <w:sz w:val="24"/>
                <w:szCs w:val="24"/>
                <w:highlight w:val="none"/>
              </w:rPr>
              <w:t>3</w:t>
            </w:r>
            <w:r>
              <w:rPr>
                <w:color w:val="auto"/>
                <w:sz w:val="24"/>
                <w:szCs w:val="24"/>
                <w:highlight w:val="none"/>
              </w:rPr>
              <w:t>个月；现有危废库满足本项目产生的危废储存需要，现有项目和本项目产生危废及时委外处置、缩短存储周期增加危险废物贮存量；并完善危险废物日常管理制度，严格控制危废暂存区储存量。</w:t>
            </w:r>
          </w:p>
          <w:p>
            <w:pPr>
              <w:adjustRightInd w:val="0"/>
              <w:snapToGrid w:val="0"/>
              <w:spacing w:beforeLines="50" w:line="360" w:lineRule="auto"/>
              <w:ind w:firstLine="482" w:firstLineChars="200"/>
              <w:rPr>
                <w:b/>
                <w:bCs/>
                <w:color w:val="auto"/>
                <w:kern w:val="21"/>
                <w:sz w:val="24"/>
                <w:highlight w:val="none"/>
              </w:rPr>
            </w:pPr>
            <w:r>
              <w:rPr>
                <w:b/>
                <w:bCs/>
                <w:color w:val="auto"/>
                <w:kern w:val="21"/>
                <w:sz w:val="24"/>
                <w:highlight w:val="none"/>
              </w:rPr>
              <w:t>（3）固体废物管理要求</w:t>
            </w:r>
          </w:p>
          <w:p>
            <w:pPr>
              <w:spacing w:line="360" w:lineRule="auto"/>
              <w:ind w:firstLine="480" w:firstLineChars="200"/>
              <w:rPr>
                <w:color w:val="auto"/>
                <w:sz w:val="24"/>
                <w:highlight w:val="none"/>
              </w:rPr>
            </w:pPr>
            <w:r>
              <w:rPr>
                <w:color w:val="auto"/>
                <w:sz w:val="24"/>
                <w:highlight w:val="none"/>
              </w:rPr>
              <w:t>根据相关文件要求，对于本项目运行后的固体废弃物的环境管理，应做到以下几点：</w:t>
            </w:r>
          </w:p>
          <w:p>
            <w:pPr>
              <w:spacing w:line="360" w:lineRule="auto"/>
              <w:ind w:firstLine="480" w:firstLineChars="200"/>
              <w:rPr>
                <w:color w:val="auto"/>
                <w:sz w:val="24"/>
                <w:highlight w:val="none"/>
              </w:rPr>
            </w:pPr>
            <w:r>
              <w:rPr>
                <w:color w:val="auto"/>
                <w:sz w:val="24"/>
                <w:highlight w:val="none"/>
              </w:rPr>
              <w:t>①建设单位应通过“江苏省危险废物动态管理信息系统”（江苏省生态环境厅网站）进行危险废物申报登记。将危险废物的实际产生、贮存、利用、处置等情况纳入记录，建立危险废物管理台账和企业内部产生和收集、贮存、转移等部门危险废物交接制度。</w:t>
            </w:r>
          </w:p>
          <w:p>
            <w:pPr>
              <w:spacing w:line="360" w:lineRule="auto"/>
              <w:ind w:firstLine="480" w:firstLineChars="200"/>
              <w:rPr>
                <w:color w:val="auto"/>
                <w:sz w:val="24"/>
                <w:highlight w:val="none"/>
              </w:rPr>
            </w:pPr>
            <w:r>
              <w:rPr>
                <w:color w:val="auto"/>
                <w:sz w:val="24"/>
                <w:highlight w:val="none"/>
              </w:rPr>
              <w:t>②必须明确企业为固体废物污染防治的责任主体，要求企业建立风险管理及应急救援体系，执行环境监测计划、转移联单管理制度及国家和省有关转移管理的相关规定、处置过程安全操作规程、人员培训考核制度、档案管理制度、处置全过程管理制度等。</w:t>
            </w:r>
          </w:p>
          <w:p>
            <w:pPr>
              <w:spacing w:line="360" w:lineRule="auto"/>
              <w:ind w:firstLine="480" w:firstLineChars="200"/>
              <w:rPr>
                <w:color w:val="auto"/>
                <w:sz w:val="24"/>
                <w:highlight w:val="none"/>
              </w:rPr>
            </w:pPr>
            <w:r>
              <w:rPr>
                <w:color w:val="auto"/>
                <w:sz w:val="24"/>
                <w:highlight w:val="none"/>
              </w:rPr>
              <w:t>③依托的危废库，危险废物贮规范，并按照要求设置警告标志，危废包装、容器和贮存场所应按照有关要求张贴标识。危废库废气收集、治理设施已经完成设计，并计划实施中，确保本项目投入前该废气治理设施投入运行，确保污染物达标排放。</w:t>
            </w:r>
          </w:p>
          <w:p>
            <w:pPr>
              <w:spacing w:line="360" w:lineRule="auto"/>
              <w:ind w:firstLine="480" w:firstLineChars="200"/>
              <w:rPr>
                <w:color w:val="auto"/>
                <w:sz w:val="24"/>
                <w:highlight w:val="none"/>
              </w:rPr>
            </w:pPr>
            <w:r>
              <w:rPr>
                <w:color w:val="auto"/>
                <w:sz w:val="24"/>
                <w:highlight w:val="none"/>
              </w:rPr>
              <w:t>本项目产生的固体废物，特别是危险废物，必须按照国家和地方的有关法律法规的规定，对本项目产生的危险废物进行全过程严格管理和安全处置。</w:t>
            </w:r>
          </w:p>
          <w:p>
            <w:pPr>
              <w:adjustRightInd w:val="0"/>
              <w:snapToGrid w:val="0"/>
              <w:spacing w:line="360" w:lineRule="auto"/>
              <w:ind w:firstLine="482" w:firstLineChars="200"/>
              <w:rPr>
                <w:b/>
                <w:bCs/>
                <w:color w:val="auto"/>
                <w:kern w:val="21"/>
                <w:sz w:val="24"/>
                <w:highlight w:val="none"/>
              </w:rPr>
            </w:pPr>
            <w:r>
              <w:rPr>
                <w:rFonts w:hint="eastAsia"/>
                <w:b/>
                <w:bCs/>
                <w:color w:val="auto"/>
                <w:kern w:val="21"/>
                <w:sz w:val="24"/>
                <w:highlight w:val="none"/>
              </w:rPr>
              <w:t>（4）</w:t>
            </w:r>
            <w:r>
              <w:rPr>
                <w:b/>
                <w:bCs/>
                <w:color w:val="auto"/>
                <w:kern w:val="21"/>
                <w:sz w:val="24"/>
                <w:highlight w:val="none"/>
              </w:rPr>
              <w:t>危险废物委托处置可行性分析</w:t>
            </w:r>
          </w:p>
          <w:p>
            <w:pPr>
              <w:spacing w:line="360" w:lineRule="auto"/>
              <w:ind w:firstLine="480" w:firstLineChars="200"/>
              <w:rPr>
                <w:color w:val="auto"/>
                <w:sz w:val="24"/>
                <w:highlight w:val="none"/>
              </w:rPr>
            </w:pPr>
            <w:r>
              <w:rPr>
                <w:color w:val="auto"/>
                <w:sz w:val="24"/>
                <w:highlight w:val="none"/>
              </w:rPr>
              <w:t>根据江苏省生态环境厅公布的《江苏省危险废物经营许可证汇总统计表》，本次评价分析项目产生的危险废物有危废资质单位有能力接纳并利用，固废处置方案可行。固废能得到妥善处置，只要加强管理，不会产生二次污染。</w:t>
            </w:r>
          </w:p>
          <w:p>
            <w:pPr>
              <w:spacing w:line="360" w:lineRule="auto"/>
              <w:ind w:firstLine="480" w:firstLineChars="200"/>
              <w:rPr>
                <w:color w:val="auto"/>
                <w:sz w:val="24"/>
                <w:highlight w:val="none"/>
              </w:rPr>
            </w:pPr>
            <w:r>
              <w:rPr>
                <w:rFonts w:hint="eastAsia"/>
                <w:color w:val="auto"/>
                <w:sz w:val="24"/>
                <w:highlight w:val="none"/>
              </w:rPr>
              <w:t>企业与常州大维环境科技有限公司、南京凯燕环保科技有限公司签订危废处置协议，根据危废处置单位资质，有能力处理本项目产生的危险废物。</w:t>
            </w:r>
          </w:p>
          <w:p>
            <w:pPr>
              <w:pStyle w:val="2"/>
              <w:numPr>
                <w:ilvl w:val="0"/>
                <w:numId w:val="12"/>
              </w:numPr>
              <w:spacing w:beforeLines="50" w:line="360" w:lineRule="auto"/>
              <w:rPr>
                <w:b/>
                <w:bCs/>
                <w:color w:val="auto"/>
                <w:sz w:val="24"/>
                <w:szCs w:val="24"/>
                <w:highlight w:val="none"/>
              </w:rPr>
            </w:pPr>
            <w:r>
              <w:rPr>
                <w:b/>
                <w:bCs/>
                <w:color w:val="auto"/>
                <w:sz w:val="24"/>
                <w:szCs w:val="24"/>
                <w:highlight w:val="none"/>
              </w:rPr>
              <w:t>地下水和土壤</w:t>
            </w:r>
          </w:p>
          <w:p>
            <w:pPr>
              <w:pStyle w:val="17"/>
              <w:spacing w:line="360" w:lineRule="auto"/>
              <w:ind w:firstLine="480" w:firstLineChars="200"/>
              <w:rPr>
                <w:rFonts w:ascii="Times New Roman" w:hAnsi="Times New Roman"/>
                <w:color w:val="auto"/>
                <w:highlight w:val="none"/>
              </w:rPr>
            </w:pPr>
            <w:r>
              <w:rPr>
                <w:rFonts w:ascii="Times New Roman" w:hAnsi="Times New Roman"/>
                <w:color w:val="auto"/>
                <w:sz w:val="24"/>
                <w:szCs w:val="24"/>
                <w:highlight w:val="none"/>
              </w:rPr>
              <w:t>地下水土壤环境影响途径</w:t>
            </w:r>
            <w:r>
              <w:rPr>
                <w:rFonts w:ascii="Times New Roman" w:hAnsi="Times New Roman"/>
                <w:color w:val="auto"/>
                <w:highlight w:val="none"/>
              </w:rPr>
              <w:t>：</w:t>
            </w:r>
          </w:p>
          <w:p>
            <w:pPr>
              <w:pStyle w:val="9"/>
              <w:widowControl/>
              <w:overflowPunct w:val="0"/>
              <w:topLinePunct/>
              <w:adjustRightInd w:val="0"/>
              <w:spacing w:line="360" w:lineRule="auto"/>
              <w:ind w:firstLine="480"/>
              <w:rPr>
                <w:color w:val="auto"/>
                <w:kern w:val="2"/>
                <w:sz w:val="24"/>
                <w:highlight w:val="none"/>
              </w:rPr>
            </w:pPr>
            <w:r>
              <w:rPr>
                <w:color w:val="auto"/>
                <w:kern w:val="2"/>
                <w:sz w:val="24"/>
                <w:highlight w:val="none"/>
              </w:rPr>
              <w:t>本项目通过对项目工程分析，本项目污染途径主要包括原辅料储存、生产、固体废物存储、化学品仓库等生产运营过程中对地下水和土壤产生的影响。</w:t>
            </w:r>
          </w:p>
          <w:p>
            <w:pPr>
              <w:spacing w:line="360" w:lineRule="auto"/>
              <w:ind w:firstLine="480" w:firstLineChars="200"/>
              <w:rPr>
                <w:color w:val="auto"/>
                <w:sz w:val="24"/>
                <w:highlight w:val="none"/>
              </w:rPr>
            </w:pPr>
            <w:r>
              <w:rPr>
                <w:color w:val="auto"/>
                <w:sz w:val="24"/>
                <w:highlight w:val="none"/>
              </w:rPr>
              <w:t>本项目对地下水和土壤采取的措施如下：</w:t>
            </w:r>
          </w:p>
          <w:p>
            <w:pPr>
              <w:spacing w:line="360" w:lineRule="auto"/>
              <w:ind w:firstLine="480" w:firstLineChars="200"/>
              <w:rPr>
                <w:color w:val="auto"/>
                <w:sz w:val="24"/>
                <w:highlight w:val="none"/>
              </w:rPr>
            </w:pPr>
            <w:r>
              <w:rPr>
                <w:rFonts w:hint="eastAsia"/>
                <w:color w:val="auto"/>
                <w:sz w:val="24"/>
                <w:highlight w:val="none"/>
              </w:rPr>
              <w:t>（1）源头控制：对有毒有害物质特别是液体或者粉状固体物质的储存及输送、生产加工，污水治理、固体废物堆放，采取相应的防渗漏、泄漏措施。</w:t>
            </w:r>
          </w:p>
          <w:p>
            <w:pPr>
              <w:spacing w:line="360" w:lineRule="auto"/>
              <w:ind w:firstLine="480" w:firstLineChars="200"/>
              <w:rPr>
                <w:color w:val="auto"/>
                <w:sz w:val="24"/>
                <w:highlight w:val="none"/>
              </w:rPr>
            </w:pPr>
            <w:r>
              <w:rPr>
                <w:rFonts w:hint="eastAsia"/>
                <w:color w:val="auto"/>
                <w:sz w:val="24"/>
                <w:highlight w:val="none"/>
              </w:rPr>
              <w:t>（2）分区防控：原辅料储存区、生产装置区、输送管道、污水治理设施、固体废物堆存区的防渗要求，应满足国家和地方标准、防渗技术规范要求。重点防渗区为3#化学品库、危废仓库、污水处理站，一般防渗区为生产车间和一般固废仓库。新建事故池需按相关要求做好防渗处理。</w:t>
            </w:r>
          </w:p>
          <w:p>
            <w:pPr>
              <w:spacing w:line="360" w:lineRule="auto"/>
              <w:ind w:firstLine="480" w:firstLineChars="200"/>
              <w:rPr>
                <w:color w:val="auto"/>
                <w:sz w:val="24"/>
                <w:highlight w:val="none"/>
              </w:rPr>
            </w:pPr>
            <w:r>
              <w:rPr>
                <w:rFonts w:hint="eastAsia"/>
                <w:color w:val="auto"/>
                <w:sz w:val="24"/>
                <w:highlight w:val="none"/>
              </w:rPr>
              <w:t>（3）渗漏、泄漏检测：对可能发生泄漏的装置管道等配置泄漏、渗漏检测装置并配套相应措施。</w:t>
            </w:r>
          </w:p>
          <w:p>
            <w:pPr>
              <w:spacing w:line="360" w:lineRule="auto"/>
              <w:ind w:firstLine="480" w:firstLineChars="200"/>
              <w:rPr>
                <w:color w:val="auto"/>
                <w:sz w:val="24"/>
                <w:highlight w:val="none"/>
              </w:rPr>
            </w:pPr>
            <w:r>
              <w:rPr>
                <w:rFonts w:hint="eastAsia"/>
                <w:color w:val="auto"/>
                <w:sz w:val="24"/>
                <w:highlight w:val="none"/>
              </w:rPr>
              <w:t>综上，本项目采取的事故防范措施在正确贯彻执行的情况下，对所在区域地下水和土壤环境质量影响较小。</w:t>
            </w:r>
          </w:p>
          <w:p>
            <w:pPr>
              <w:pStyle w:val="2"/>
              <w:numPr>
                <w:ilvl w:val="0"/>
                <w:numId w:val="12"/>
              </w:numPr>
              <w:spacing w:line="360" w:lineRule="auto"/>
              <w:rPr>
                <w:b/>
                <w:bCs/>
                <w:color w:val="auto"/>
                <w:sz w:val="24"/>
                <w:szCs w:val="24"/>
                <w:highlight w:val="none"/>
              </w:rPr>
            </w:pPr>
            <w:r>
              <w:rPr>
                <w:b/>
                <w:bCs/>
                <w:color w:val="auto"/>
                <w:sz w:val="24"/>
                <w:szCs w:val="24"/>
                <w:highlight w:val="none"/>
              </w:rPr>
              <w:t>环境风险</w:t>
            </w:r>
          </w:p>
          <w:p>
            <w:pPr>
              <w:pStyle w:val="3"/>
              <w:ind w:left="432"/>
              <w:jc w:val="both"/>
              <w:rPr>
                <w:b/>
                <w:color w:val="auto"/>
                <w:sz w:val="24"/>
                <w:szCs w:val="24"/>
                <w:highlight w:val="none"/>
              </w:rPr>
            </w:pPr>
            <w:r>
              <w:rPr>
                <w:b/>
                <w:color w:val="auto"/>
                <w:sz w:val="24"/>
                <w:szCs w:val="24"/>
                <w:highlight w:val="none"/>
              </w:rPr>
              <w:t>（1）环境风险评价工作等级</w:t>
            </w:r>
          </w:p>
          <w:p>
            <w:pPr>
              <w:spacing w:beforeLines="50" w:line="360" w:lineRule="auto"/>
              <w:jc w:val="center"/>
              <w:rPr>
                <w:b/>
                <w:bCs/>
                <w:snapToGrid w:val="0"/>
                <w:color w:val="auto"/>
                <w:sz w:val="24"/>
                <w:highlight w:val="none"/>
                <w:lang w:val="zh-CN"/>
              </w:rPr>
            </w:pPr>
          </w:p>
          <w:p>
            <w:pPr>
              <w:spacing w:beforeLines="50" w:line="360" w:lineRule="auto"/>
              <w:jc w:val="center"/>
              <w:rPr>
                <w:b/>
                <w:bCs/>
                <w:snapToGrid w:val="0"/>
                <w:color w:val="auto"/>
                <w:sz w:val="24"/>
                <w:highlight w:val="none"/>
                <w:lang w:val="zh-CN"/>
              </w:rPr>
            </w:pPr>
            <w:r>
              <w:rPr>
                <w:b/>
                <w:bCs/>
                <w:snapToGrid w:val="0"/>
                <w:color w:val="auto"/>
                <w:sz w:val="24"/>
                <w:highlight w:val="none"/>
                <w:lang w:val="zh-CN"/>
              </w:rPr>
              <w:t>表4-2</w:t>
            </w:r>
            <w:r>
              <w:rPr>
                <w:rFonts w:hint="eastAsia"/>
                <w:b/>
                <w:bCs/>
                <w:snapToGrid w:val="0"/>
                <w:color w:val="auto"/>
                <w:sz w:val="24"/>
                <w:highlight w:val="none"/>
              </w:rPr>
              <w:t>8</w:t>
            </w:r>
            <w:r>
              <w:rPr>
                <w:b/>
                <w:bCs/>
                <w:snapToGrid w:val="0"/>
                <w:color w:val="auto"/>
                <w:sz w:val="24"/>
                <w:highlight w:val="none"/>
                <w:lang w:val="zh-CN"/>
              </w:rPr>
              <w:t xml:space="preserve">  环境风险评价工作级别</w:t>
            </w:r>
          </w:p>
          <w:tbl>
            <w:tblPr>
              <w:tblStyle w:val="34"/>
              <w:tblW w:w="9175"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blLayout w:type="autofit"/>
              <w:tblCellMar>
                <w:top w:w="0" w:type="dxa"/>
                <w:left w:w="108" w:type="dxa"/>
                <w:bottom w:w="0" w:type="dxa"/>
                <w:right w:w="108" w:type="dxa"/>
              </w:tblCellMar>
            </w:tblPr>
            <w:tblGrid>
              <w:gridCol w:w="1835"/>
              <w:gridCol w:w="1835"/>
              <w:gridCol w:w="1835"/>
              <w:gridCol w:w="1835"/>
              <w:gridCol w:w="183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blPrEx>
              <w:tc>
                <w:tcPr>
                  <w:tcW w:w="1835" w:type="dxa"/>
                  <w:shd w:val="clear" w:color="auto" w:fill="FFFFFF"/>
                  <w:vAlign w:val="center"/>
                </w:tcPr>
                <w:p>
                  <w:pPr>
                    <w:jc w:val="center"/>
                    <w:rPr>
                      <w:bCs/>
                      <w:color w:val="auto"/>
                      <w:szCs w:val="21"/>
                      <w:highlight w:val="none"/>
                    </w:rPr>
                  </w:pPr>
                  <w:r>
                    <w:rPr>
                      <w:bCs/>
                      <w:color w:val="auto"/>
                      <w:szCs w:val="21"/>
                      <w:highlight w:val="none"/>
                    </w:rPr>
                    <w:t>环境风险潜势</w:t>
                  </w:r>
                </w:p>
              </w:tc>
              <w:tc>
                <w:tcPr>
                  <w:tcW w:w="1835" w:type="dxa"/>
                  <w:shd w:val="clear" w:color="auto" w:fill="FFFFFF"/>
                  <w:vAlign w:val="center"/>
                </w:tcPr>
                <w:p>
                  <w:pPr>
                    <w:jc w:val="center"/>
                    <w:rPr>
                      <w:bCs/>
                      <w:color w:val="auto"/>
                      <w:szCs w:val="21"/>
                      <w:highlight w:val="none"/>
                    </w:rPr>
                  </w:pPr>
                  <w:r>
                    <w:rPr>
                      <w:rFonts w:hint="eastAsia" w:ascii="宋体" w:hAnsi="宋体" w:cs="宋体"/>
                      <w:bCs/>
                      <w:color w:val="auto"/>
                      <w:szCs w:val="21"/>
                      <w:highlight w:val="none"/>
                    </w:rPr>
                    <w:t>Ⅳ</w:t>
                  </w:r>
                  <w:r>
                    <w:rPr>
                      <w:bCs/>
                      <w:color w:val="auto"/>
                      <w:szCs w:val="21"/>
                      <w:highlight w:val="none"/>
                    </w:rPr>
                    <w:t>、</w:t>
                  </w:r>
                  <w:r>
                    <w:rPr>
                      <w:rFonts w:hint="eastAsia" w:ascii="宋体" w:hAnsi="宋体" w:cs="宋体"/>
                      <w:bCs/>
                      <w:color w:val="auto"/>
                      <w:szCs w:val="21"/>
                      <w:highlight w:val="none"/>
                    </w:rPr>
                    <w:t>Ⅳ</w:t>
                  </w:r>
                  <w:r>
                    <w:rPr>
                      <w:bCs/>
                      <w:color w:val="auto"/>
                      <w:szCs w:val="21"/>
                      <w:highlight w:val="none"/>
                      <w:vertAlign w:val="superscript"/>
                    </w:rPr>
                    <w:t>+</w:t>
                  </w:r>
                </w:p>
              </w:tc>
              <w:tc>
                <w:tcPr>
                  <w:tcW w:w="1835" w:type="dxa"/>
                  <w:shd w:val="clear" w:color="auto" w:fill="FFFFFF"/>
                  <w:vAlign w:val="center"/>
                </w:tcPr>
                <w:p>
                  <w:pPr>
                    <w:jc w:val="center"/>
                    <w:rPr>
                      <w:bCs/>
                      <w:color w:val="auto"/>
                      <w:szCs w:val="21"/>
                      <w:highlight w:val="none"/>
                    </w:rPr>
                  </w:pPr>
                  <w:r>
                    <w:rPr>
                      <w:rFonts w:hint="eastAsia" w:ascii="宋体" w:hAnsi="宋体" w:cs="宋体"/>
                      <w:bCs/>
                      <w:color w:val="auto"/>
                      <w:szCs w:val="21"/>
                      <w:highlight w:val="none"/>
                    </w:rPr>
                    <w:t>Ⅲ</w:t>
                  </w:r>
                </w:p>
              </w:tc>
              <w:tc>
                <w:tcPr>
                  <w:tcW w:w="1835" w:type="dxa"/>
                  <w:shd w:val="clear" w:color="auto" w:fill="FFFFFF"/>
                  <w:vAlign w:val="center"/>
                </w:tcPr>
                <w:p>
                  <w:pPr>
                    <w:jc w:val="center"/>
                    <w:rPr>
                      <w:bCs/>
                      <w:color w:val="auto"/>
                      <w:szCs w:val="21"/>
                      <w:highlight w:val="none"/>
                    </w:rPr>
                  </w:pPr>
                  <w:r>
                    <w:rPr>
                      <w:rFonts w:hint="eastAsia" w:ascii="宋体" w:hAnsi="宋体" w:cs="宋体"/>
                      <w:bCs/>
                      <w:color w:val="auto"/>
                      <w:szCs w:val="21"/>
                      <w:highlight w:val="none"/>
                    </w:rPr>
                    <w:t>Ⅱ</w:t>
                  </w:r>
                </w:p>
              </w:tc>
              <w:tc>
                <w:tcPr>
                  <w:tcW w:w="1835" w:type="dxa"/>
                  <w:shd w:val="clear" w:color="auto" w:fill="FFFFFF"/>
                  <w:vAlign w:val="center"/>
                </w:tcPr>
                <w:p>
                  <w:pPr>
                    <w:jc w:val="center"/>
                    <w:rPr>
                      <w:bCs/>
                      <w:color w:val="auto"/>
                      <w:szCs w:val="21"/>
                      <w:highlight w:val="none"/>
                    </w:rPr>
                  </w:pPr>
                  <w:r>
                    <w:rPr>
                      <w:rFonts w:hint="eastAsia" w:ascii="宋体" w:hAnsi="宋体" w:cs="宋体"/>
                      <w:bCs/>
                      <w:color w:val="auto"/>
                      <w:szCs w:val="21"/>
                      <w:highlight w:val="none"/>
                    </w:rPr>
                    <w:t>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blPrEx>
              <w:tc>
                <w:tcPr>
                  <w:tcW w:w="1835" w:type="dxa"/>
                  <w:shd w:val="clear" w:color="auto" w:fill="FFFFFF"/>
                  <w:vAlign w:val="center"/>
                </w:tcPr>
                <w:p>
                  <w:pPr>
                    <w:jc w:val="center"/>
                    <w:rPr>
                      <w:bCs/>
                      <w:color w:val="auto"/>
                      <w:szCs w:val="21"/>
                      <w:highlight w:val="none"/>
                    </w:rPr>
                  </w:pPr>
                  <w:r>
                    <w:rPr>
                      <w:bCs/>
                      <w:color w:val="auto"/>
                      <w:szCs w:val="21"/>
                      <w:highlight w:val="none"/>
                    </w:rPr>
                    <w:t>评价工作等级</w:t>
                  </w:r>
                </w:p>
              </w:tc>
              <w:tc>
                <w:tcPr>
                  <w:tcW w:w="1835" w:type="dxa"/>
                  <w:shd w:val="clear" w:color="auto" w:fill="FFFFFF"/>
                  <w:vAlign w:val="center"/>
                </w:tcPr>
                <w:p>
                  <w:pPr>
                    <w:jc w:val="center"/>
                    <w:rPr>
                      <w:bCs/>
                      <w:color w:val="auto"/>
                      <w:szCs w:val="21"/>
                      <w:highlight w:val="none"/>
                    </w:rPr>
                  </w:pPr>
                  <w:r>
                    <w:rPr>
                      <w:bCs/>
                      <w:color w:val="auto"/>
                      <w:szCs w:val="21"/>
                      <w:highlight w:val="none"/>
                    </w:rPr>
                    <w:t>一级</w:t>
                  </w:r>
                </w:p>
              </w:tc>
              <w:tc>
                <w:tcPr>
                  <w:tcW w:w="1835" w:type="dxa"/>
                  <w:shd w:val="clear" w:color="auto" w:fill="FFFFFF"/>
                  <w:vAlign w:val="center"/>
                </w:tcPr>
                <w:p>
                  <w:pPr>
                    <w:jc w:val="center"/>
                    <w:rPr>
                      <w:bCs/>
                      <w:color w:val="auto"/>
                      <w:szCs w:val="21"/>
                      <w:highlight w:val="none"/>
                    </w:rPr>
                  </w:pPr>
                  <w:r>
                    <w:rPr>
                      <w:bCs/>
                      <w:color w:val="auto"/>
                      <w:szCs w:val="21"/>
                      <w:highlight w:val="none"/>
                    </w:rPr>
                    <w:t>二级</w:t>
                  </w:r>
                </w:p>
              </w:tc>
              <w:tc>
                <w:tcPr>
                  <w:tcW w:w="1835" w:type="dxa"/>
                  <w:shd w:val="clear" w:color="auto" w:fill="FFFFFF"/>
                  <w:vAlign w:val="center"/>
                </w:tcPr>
                <w:p>
                  <w:pPr>
                    <w:jc w:val="center"/>
                    <w:rPr>
                      <w:bCs/>
                      <w:color w:val="auto"/>
                      <w:szCs w:val="21"/>
                      <w:highlight w:val="none"/>
                    </w:rPr>
                  </w:pPr>
                  <w:r>
                    <w:rPr>
                      <w:bCs/>
                      <w:color w:val="auto"/>
                      <w:szCs w:val="21"/>
                      <w:highlight w:val="none"/>
                    </w:rPr>
                    <w:t>三级</w:t>
                  </w:r>
                </w:p>
              </w:tc>
              <w:tc>
                <w:tcPr>
                  <w:tcW w:w="1835" w:type="dxa"/>
                  <w:shd w:val="clear" w:color="auto" w:fill="FFFFFF"/>
                  <w:vAlign w:val="center"/>
                </w:tcPr>
                <w:p>
                  <w:pPr>
                    <w:jc w:val="center"/>
                    <w:rPr>
                      <w:bCs/>
                      <w:color w:val="auto"/>
                      <w:szCs w:val="21"/>
                      <w:highlight w:val="none"/>
                    </w:rPr>
                  </w:pPr>
                  <w:r>
                    <w:rPr>
                      <w:bCs/>
                      <w:color w:val="auto"/>
                      <w:szCs w:val="21"/>
                      <w:highlight w:val="none"/>
                    </w:rPr>
                    <w:t>简单分析*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9175" w:type="dxa"/>
                  <w:gridSpan w:val="5"/>
                  <w:shd w:val="clear" w:color="auto" w:fill="FFFFFF"/>
                  <w:vAlign w:val="center"/>
                </w:tcPr>
                <w:p>
                  <w:pPr>
                    <w:jc w:val="left"/>
                    <w:rPr>
                      <w:bCs/>
                      <w:color w:val="auto"/>
                      <w:szCs w:val="21"/>
                      <w:highlight w:val="none"/>
                    </w:rPr>
                  </w:pPr>
                  <w:r>
                    <w:rPr>
                      <w:bCs/>
                      <w:color w:val="auto"/>
                      <w:szCs w:val="21"/>
                      <w:highlight w:val="none"/>
                    </w:rPr>
                    <w:t>*是相对于详细评价工作内容而言，在描述危险物质、环境影响途径、环境危害后果、风险防范措施等方面给出定性的说明。</w:t>
                  </w:r>
                </w:p>
              </w:tc>
            </w:tr>
          </w:tbl>
          <w:p>
            <w:pPr>
              <w:spacing w:beforeLines="50" w:line="360" w:lineRule="auto"/>
              <w:ind w:firstLine="480" w:firstLineChars="200"/>
              <w:rPr>
                <w:color w:val="auto"/>
                <w:highlight w:val="none"/>
              </w:rPr>
            </w:pPr>
            <w:r>
              <w:rPr>
                <w:color w:val="auto"/>
                <w:sz w:val="24"/>
                <w:highlight w:val="none"/>
              </w:rPr>
              <w:t>对照《建设项目环境风险评价技术导则》(HJ169-2018)附录B中表B.1突发环境事件风险物质及临界量表，对本项目所涉及的物质进行危险性识别。主要涉及环境风险物质详见表4-2</w:t>
            </w:r>
            <w:r>
              <w:rPr>
                <w:rFonts w:hint="eastAsia"/>
                <w:color w:val="auto"/>
                <w:sz w:val="24"/>
                <w:highlight w:val="none"/>
              </w:rPr>
              <w:t>9</w:t>
            </w:r>
            <w:r>
              <w:rPr>
                <w:color w:val="auto"/>
                <w:sz w:val="24"/>
                <w:highlight w:val="none"/>
              </w:rPr>
              <w:t>。</w:t>
            </w:r>
          </w:p>
          <w:p>
            <w:pPr>
              <w:tabs>
                <w:tab w:val="left" w:pos="960"/>
              </w:tabs>
              <w:spacing w:line="360" w:lineRule="auto"/>
              <w:jc w:val="center"/>
              <w:rPr>
                <w:b/>
                <w:bCs/>
                <w:color w:val="auto"/>
                <w:spacing w:val="-4"/>
                <w:sz w:val="24"/>
                <w:highlight w:val="none"/>
              </w:rPr>
            </w:pPr>
            <w:r>
              <w:rPr>
                <w:b/>
                <w:bCs/>
                <w:color w:val="auto"/>
                <w:spacing w:val="-4"/>
                <w:sz w:val="24"/>
                <w:highlight w:val="none"/>
              </w:rPr>
              <w:t>表4-2</w:t>
            </w:r>
            <w:r>
              <w:rPr>
                <w:rFonts w:hint="eastAsia"/>
                <w:b/>
                <w:bCs/>
                <w:color w:val="auto"/>
                <w:spacing w:val="-4"/>
                <w:sz w:val="24"/>
                <w:highlight w:val="none"/>
              </w:rPr>
              <w:t>9</w:t>
            </w:r>
            <w:r>
              <w:rPr>
                <w:b/>
                <w:bCs/>
                <w:color w:val="auto"/>
                <w:spacing w:val="-4"/>
                <w:sz w:val="24"/>
                <w:highlight w:val="none"/>
              </w:rPr>
              <w:t xml:space="preserve">  项目涉及的危险物料最大使用量及储存方式</w:t>
            </w:r>
          </w:p>
          <w:tbl>
            <w:tblPr>
              <w:tblStyle w:val="34"/>
              <w:tblW w:w="4882" w:type="pct"/>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0" w:type="dxa"/>
                <w:bottom w:w="0" w:type="dxa"/>
                <w:right w:w="0" w:type="dxa"/>
              </w:tblCellMar>
            </w:tblPr>
            <w:tblGrid>
              <w:gridCol w:w="967"/>
              <w:gridCol w:w="1158"/>
              <w:gridCol w:w="884"/>
              <w:gridCol w:w="1014"/>
              <w:gridCol w:w="1025"/>
              <w:gridCol w:w="1025"/>
              <w:gridCol w:w="1456"/>
              <w:gridCol w:w="95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20" w:hRule="atLeast"/>
              </w:trPr>
              <w:tc>
                <w:tcPr>
                  <w:tcW w:w="1033" w:type="dxa"/>
                  <w:vAlign w:val="center"/>
                </w:tcPr>
                <w:p>
                  <w:pPr>
                    <w:jc w:val="center"/>
                    <w:rPr>
                      <w:color w:val="auto"/>
                      <w:szCs w:val="21"/>
                      <w:highlight w:val="none"/>
                    </w:rPr>
                  </w:pPr>
                  <w:r>
                    <w:rPr>
                      <w:color w:val="auto"/>
                      <w:szCs w:val="21"/>
                      <w:highlight w:val="none"/>
                    </w:rPr>
                    <w:t>名称</w:t>
                  </w:r>
                </w:p>
              </w:tc>
              <w:tc>
                <w:tcPr>
                  <w:tcW w:w="2160" w:type="dxa"/>
                  <w:gridSpan w:val="2"/>
                  <w:vAlign w:val="center"/>
                </w:tcPr>
                <w:p>
                  <w:pPr>
                    <w:jc w:val="center"/>
                    <w:rPr>
                      <w:color w:val="auto"/>
                      <w:szCs w:val="21"/>
                      <w:highlight w:val="none"/>
                    </w:rPr>
                  </w:pPr>
                  <w:r>
                    <w:rPr>
                      <w:color w:val="auto"/>
                      <w:szCs w:val="21"/>
                      <w:highlight w:val="none"/>
                    </w:rPr>
                    <w:t>最大存储量（t）</w:t>
                  </w:r>
                </w:p>
              </w:tc>
              <w:tc>
                <w:tcPr>
                  <w:tcW w:w="1060" w:type="dxa"/>
                  <w:vAlign w:val="center"/>
                </w:tcPr>
                <w:p>
                  <w:pPr>
                    <w:jc w:val="center"/>
                    <w:rPr>
                      <w:color w:val="auto"/>
                      <w:szCs w:val="21"/>
                      <w:highlight w:val="none"/>
                    </w:rPr>
                  </w:pPr>
                  <w:r>
                    <w:rPr>
                      <w:color w:val="auto"/>
                      <w:szCs w:val="21"/>
                      <w:highlight w:val="none"/>
                    </w:rPr>
                    <w:t>临界量（t）</w:t>
                  </w:r>
                </w:p>
              </w:tc>
              <w:tc>
                <w:tcPr>
                  <w:tcW w:w="1077" w:type="dxa"/>
                  <w:vAlign w:val="center"/>
                </w:tcPr>
                <w:p>
                  <w:pPr>
                    <w:jc w:val="center"/>
                    <w:rPr>
                      <w:color w:val="auto"/>
                      <w:szCs w:val="21"/>
                      <w:highlight w:val="none"/>
                    </w:rPr>
                  </w:pPr>
                  <w:r>
                    <w:rPr>
                      <w:color w:val="auto"/>
                      <w:szCs w:val="21"/>
                      <w:highlight w:val="none"/>
                    </w:rPr>
                    <w:t>临界量</w:t>
                  </w:r>
                </w:p>
                <w:p>
                  <w:pPr>
                    <w:jc w:val="center"/>
                    <w:rPr>
                      <w:color w:val="auto"/>
                      <w:szCs w:val="21"/>
                      <w:highlight w:val="none"/>
                    </w:rPr>
                  </w:pPr>
                  <w:r>
                    <w:rPr>
                      <w:color w:val="auto"/>
                      <w:szCs w:val="21"/>
                      <w:highlight w:val="none"/>
                    </w:rPr>
                    <w:t>依据</w:t>
                  </w:r>
                </w:p>
              </w:tc>
              <w:tc>
                <w:tcPr>
                  <w:tcW w:w="1096" w:type="dxa"/>
                  <w:vAlign w:val="center"/>
                </w:tcPr>
                <w:p>
                  <w:pPr>
                    <w:jc w:val="center"/>
                    <w:rPr>
                      <w:color w:val="auto"/>
                      <w:szCs w:val="21"/>
                      <w:highlight w:val="none"/>
                    </w:rPr>
                  </w:pPr>
                  <w:r>
                    <w:rPr>
                      <w:color w:val="auto"/>
                      <w:szCs w:val="21"/>
                      <w:highlight w:val="none"/>
                    </w:rPr>
                    <w:t>储存方式</w:t>
                  </w:r>
                </w:p>
              </w:tc>
              <w:tc>
                <w:tcPr>
                  <w:tcW w:w="1565" w:type="dxa"/>
                  <w:vAlign w:val="center"/>
                </w:tcPr>
                <w:p>
                  <w:pPr>
                    <w:jc w:val="center"/>
                    <w:rPr>
                      <w:color w:val="auto"/>
                      <w:szCs w:val="21"/>
                      <w:highlight w:val="none"/>
                    </w:rPr>
                  </w:pPr>
                  <w:r>
                    <w:rPr>
                      <w:color w:val="auto"/>
                      <w:szCs w:val="21"/>
                      <w:highlight w:val="none"/>
                    </w:rPr>
                    <w:t>储存位置</w:t>
                  </w:r>
                </w:p>
              </w:tc>
              <w:tc>
                <w:tcPr>
                  <w:tcW w:w="981" w:type="dxa"/>
                  <w:vAlign w:val="center"/>
                </w:tcPr>
                <w:p>
                  <w:pPr>
                    <w:jc w:val="center"/>
                    <w:rPr>
                      <w:color w:val="auto"/>
                      <w:szCs w:val="21"/>
                      <w:highlight w:val="none"/>
                    </w:rPr>
                  </w:pPr>
                  <w:r>
                    <w:rPr>
                      <w:color w:val="auto"/>
                      <w:szCs w:val="21"/>
                      <w:highlight w:val="none"/>
                    </w:rPr>
                    <w:t>Q</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20" w:hRule="atLeast"/>
              </w:trPr>
              <w:tc>
                <w:tcPr>
                  <w:tcW w:w="1033" w:type="dxa"/>
                  <w:vMerge w:val="restart"/>
                  <w:vAlign w:val="center"/>
                </w:tcPr>
                <w:p>
                  <w:pPr>
                    <w:jc w:val="center"/>
                    <w:rPr>
                      <w:color w:val="auto"/>
                      <w:kern w:val="0"/>
                      <w:szCs w:val="21"/>
                      <w:highlight w:val="none"/>
                    </w:rPr>
                  </w:pPr>
                  <w:r>
                    <w:rPr>
                      <w:color w:val="auto"/>
                      <w:kern w:val="0"/>
                      <w:szCs w:val="21"/>
                      <w:highlight w:val="none"/>
                    </w:rPr>
                    <w:t>无水乙醇</w:t>
                  </w:r>
                </w:p>
              </w:tc>
              <w:tc>
                <w:tcPr>
                  <w:tcW w:w="1241" w:type="dxa"/>
                  <w:vAlign w:val="center"/>
                </w:tcPr>
                <w:p>
                  <w:pPr>
                    <w:jc w:val="center"/>
                    <w:rPr>
                      <w:color w:val="auto"/>
                      <w:szCs w:val="21"/>
                      <w:highlight w:val="none"/>
                    </w:rPr>
                  </w:pPr>
                  <w:r>
                    <w:rPr>
                      <w:color w:val="auto"/>
                      <w:szCs w:val="21"/>
                      <w:highlight w:val="none"/>
                    </w:rPr>
                    <w:t>危化品仓库</w:t>
                  </w:r>
                </w:p>
              </w:tc>
              <w:tc>
                <w:tcPr>
                  <w:tcW w:w="919" w:type="dxa"/>
                  <w:vAlign w:val="center"/>
                </w:tcPr>
                <w:p>
                  <w:pPr>
                    <w:jc w:val="center"/>
                    <w:rPr>
                      <w:color w:val="auto"/>
                      <w:szCs w:val="21"/>
                      <w:highlight w:val="none"/>
                    </w:rPr>
                  </w:pPr>
                  <w:r>
                    <w:rPr>
                      <w:color w:val="auto"/>
                      <w:szCs w:val="21"/>
                      <w:highlight w:val="none"/>
                    </w:rPr>
                    <w:t>0.16</w:t>
                  </w:r>
                </w:p>
              </w:tc>
              <w:tc>
                <w:tcPr>
                  <w:tcW w:w="1060" w:type="dxa"/>
                  <w:tcBorders>
                    <w:bottom w:val="single" w:color="auto" w:sz="4" w:space="0"/>
                  </w:tcBorders>
                  <w:vAlign w:val="center"/>
                </w:tcPr>
                <w:p>
                  <w:pPr>
                    <w:jc w:val="center"/>
                    <w:rPr>
                      <w:b/>
                      <w:color w:val="auto"/>
                      <w:szCs w:val="21"/>
                      <w:highlight w:val="none"/>
                    </w:rPr>
                  </w:pPr>
                  <w:r>
                    <w:rPr>
                      <w:b/>
                      <w:color w:val="auto"/>
                      <w:szCs w:val="21"/>
                      <w:highlight w:val="none"/>
                      <w:rtl/>
                    </w:rPr>
                    <w:t>500</w:t>
                  </w:r>
                </w:p>
              </w:tc>
              <w:tc>
                <w:tcPr>
                  <w:tcW w:w="1077" w:type="dxa"/>
                  <w:vMerge w:val="restart"/>
                  <w:vAlign w:val="center"/>
                </w:tcPr>
                <w:p>
                  <w:pPr>
                    <w:jc w:val="center"/>
                    <w:rPr>
                      <w:color w:val="auto"/>
                      <w:kern w:val="0"/>
                      <w:szCs w:val="21"/>
                      <w:highlight w:val="none"/>
                    </w:rPr>
                  </w:pPr>
                  <w:r>
                    <w:rPr>
                      <w:color w:val="auto"/>
                      <w:kern w:val="0"/>
                      <w:szCs w:val="21"/>
                      <w:highlight w:val="none"/>
                    </w:rPr>
                    <w:t>《企业突发环境事件分级方法》附录A中第八部分其他类物质及污染物。</w:t>
                  </w:r>
                </w:p>
              </w:tc>
              <w:tc>
                <w:tcPr>
                  <w:tcW w:w="1096" w:type="dxa"/>
                  <w:vMerge w:val="restart"/>
                  <w:vAlign w:val="center"/>
                </w:tcPr>
                <w:p>
                  <w:pPr>
                    <w:jc w:val="center"/>
                    <w:rPr>
                      <w:color w:val="auto"/>
                      <w:szCs w:val="21"/>
                      <w:highlight w:val="none"/>
                    </w:rPr>
                  </w:pPr>
                  <w:r>
                    <w:rPr>
                      <w:color w:val="auto"/>
                      <w:szCs w:val="21"/>
                      <w:highlight w:val="none"/>
                    </w:rPr>
                    <w:t>瓶装</w:t>
                  </w:r>
                </w:p>
              </w:tc>
              <w:tc>
                <w:tcPr>
                  <w:tcW w:w="1565" w:type="dxa"/>
                  <w:vMerge w:val="restart"/>
                  <w:vAlign w:val="center"/>
                </w:tcPr>
                <w:p>
                  <w:pPr>
                    <w:jc w:val="center"/>
                    <w:rPr>
                      <w:color w:val="auto"/>
                      <w:szCs w:val="21"/>
                      <w:highlight w:val="none"/>
                    </w:rPr>
                  </w:pPr>
                  <w:r>
                    <w:rPr>
                      <w:color w:val="auto"/>
                      <w:szCs w:val="21"/>
                      <w:highlight w:val="none"/>
                    </w:rPr>
                    <w:t>危化品仓库</w:t>
                  </w:r>
                </w:p>
              </w:tc>
              <w:tc>
                <w:tcPr>
                  <w:tcW w:w="981" w:type="dxa"/>
                  <w:tcBorders>
                    <w:bottom w:val="single" w:color="auto" w:sz="4" w:space="0"/>
                  </w:tcBorders>
                  <w:vAlign w:val="center"/>
                </w:tcPr>
                <w:p>
                  <w:pPr>
                    <w:jc w:val="center"/>
                    <w:rPr>
                      <w:color w:val="auto"/>
                      <w:szCs w:val="21"/>
                      <w:highlight w:val="none"/>
                    </w:rPr>
                  </w:pPr>
                  <w:r>
                    <w:rPr>
                      <w:color w:val="auto"/>
                      <w:szCs w:val="21"/>
                      <w:highlight w:val="none"/>
                    </w:rPr>
                    <w:t>0.0003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20" w:hRule="atLeast"/>
              </w:trPr>
              <w:tc>
                <w:tcPr>
                  <w:tcW w:w="1033" w:type="dxa"/>
                  <w:vMerge w:val="continue"/>
                  <w:vAlign w:val="center"/>
                </w:tcPr>
                <w:p>
                  <w:pPr>
                    <w:jc w:val="center"/>
                    <w:rPr>
                      <w:color w:val="auto"/>
                      <w:szCs w:val="21"/>
                      <w:highlight w:val="none"/>
                    </w:rPr>
                  </w:pPr>
                </w:p>
              </w:tc>
              <w:tc>
                <w:tcPr>
                  <w:tcW w:w="1241" w:type="dxa"/>
                  <w:vAlign w:val="center"/>
                </w:tcPr>
                <w:p>
                  <w:pPr>
                    <w:jc w:val="center"/>
                    <w:rPr>
                      <w:color w:val="auto"/>
                      <w:szCs w:val="21"/>
                      <w:highlight w:val="none"/>
                    </w:rPr>
                  </w:pPr>
                  <w:r>
                    <w:rPr>
                      <w:color w:val="auto"/>
                      <w:szCs w:val="21"/>
                      <w:highlight w:val="none"/>
                    </w:rPr>
                    <w:t>玻壳清洗间</w:t>
                  </w:r>
                </w:p>
              </w:tc>
              <w:tc>
                <w:tcPr>
                  <w:tcW w:w="919" w:type="dxa"/>
                  <w:vAlign w:val="center"/>
                </w:tcPr>
                <w:p>
                  <w:pPr>
                    <w:jc w:val="center"/>
                    <w:rPr>
                      <w:color w:val="auto"/>
                      <w:szCs w:val="21"/>
                      <w:highlight w:val="none"/>
                    </w:rPr>
                  </w:pPr>
                  <w:r>
                    <w:rPr>
                      <w:color w:val="auto"/>
                      <w:szCs w:val="21"/>
                      <w:highlight w:val="none"/>
                    </w:rPr>
                    <w:t>0.032</w:t>
                  </w:r>
                </w:p>
              </w:tc>
              <w:tc>
                <w:tcPr>
                  <w:tcW w:w="1060" w:type="dxa"/>
                  <w:tcBorders>
                    <w:top w:val="single" w:color="auto" w:sz="4" w:space="0"/>
                  </w:tcBorders>
                  <w:vAlign w:val="center"/>
                </w:tcPr>
                <w:p>
                  <w:pPr>
                    <w:jc w:val="center"/>
                    <w:rPr>
                      <w:b/>
                      <w:color w:val="auto"/>
                      <w:szCs w:val="21"/>
                      <w:highlight w:val="none"/>
                    </w:rPr>
                  </w:pPr>
                  <w:r>
                    <w:rPr>
                      <w:b/>
                      <w:color w:val="auto"/>
                      <w:szCs w:val="21"/>
                      <w:highlight w:val="none"/>
                      <w:rtl/>
                    </w:rPr>
                    <w:t>500</w:t>
                  </w:r>
                </w:p>
              </w:tc>
              <w:tc>
                <w:tcPr>
                  <w:tcW w:w="1077" w:type="dxa"/>
                  <w:vMerge w:val="continue"/>
                  <w:vAlign w:val="center"/>
                </w:tcPr>
                <w:p>
                  <w:pPr>
                    <w:jc w:val="center"/>
                    <w:rPr>
                      <w:color w:val="auto"/>
                      <w:szCs w:val="21"/>
                      <w:highlight w:val="none"/>
                    </w:rPr>
                  </w:pPr>
                </w:p>
              </w:tc>
              <w:tc>
                <w:tcPr>
                  <w:tcW w:w="1096" w:type="dxa"/>
                  <w:vMerge w:val="continue"/>
                  <w:vAlign w:val="center"/>
                </w:tcPr>
                <w:p>
                  <w:pPr>
                    <w:jc w:val="center"/>
                    <w:rPr>
                      <w:color w:val="auto"/>
                      <w:szCs w:val="21"/>
                      <w:highlight w:val="none"/>
                    </w:rPr>
                  </w:pPr>
                </w:p>
              </w:tc>
              <w:tc>
                <w:tcPr>
                  <w:tcW w:w="1565" w:type="dxa"/>
                  <w:vMerge w:val="continue"/>
                  <w:vAlign w:val="center"/>
                </w:tcPr>
                <w:p>
                  <w:pPr>
                    <w:jc w:val="center"/>
                    <w:rPr>
                      <w:color w:val="auto"/>
                      <w:szCs w:val="21"/>
                      <w:highlight w:val="none"/>
                    </w:rPr>
                  </w:pPr>
                </w:p>
              </w:tc>
              <w:tc>
                <w:tcPr>
                  <w:tcW w:w="981" w:type="dxa"/>
                  <w:tcBorders>
                    <w:top w:val="single" w:color="auto" w:sz="4" w:space="0"/>
                  </w:tcBorders>
                  <w:vAlign w:val="center"/>
                </w:tcPr>
                <w:p>
                  <w:pPr>
                    <w:jc w:val="center"/>
                    <w:rPr>
                      <w:color w:val="auto"/>
                      <w:szCs w:val="21"/>
                      <w:highlight w:val="none"/>
                    </w:rPr>
                  </w:pPr>
                  <w:r>
                    <w:rPr>
                      <w:color w:val="auto"/>
                      <w:szCs w:val="21"/>
                      <w:highlight w:val="none"/>
                    </w:rPr>
                    <w:t>0.0001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20" w:hRule="atLeast"/>
              </w:trPr>
              <w:tc>
                <w:tcPr>
                  <w:tcW w:w="1033" w:type="dxa"/>
                  <w:vMerge w:val="restart"/>
                  <w:vAlign w:val="center"/>
                </w:tcPr>
                <w:p>
                  <w:pPr>
                    <w:jc w:val="center"/>
                    <w:rPr>
                      <w:color w:val="auto"/>
                      <w:kern w:val="0"/>
                      <w:szCs w:val="21"/>
                      <w:highlight w:val="none"/>
                    </w:rPr>
                  </w:pPr>
                  <w:r>
                    <w:rPr>
                      <w:color w:val="auto"/>
                      <w:kern w:val="0"/>
                      <w:szCs w:val="21"/>
                      <w:highlight w:val="none"/>
                    </w:rPr>
                    <w:t>盐酸</w:t>
                  </w:r>
                </w:p>
              </w:tc>
              <w:tc>
                <w:tcPr>
                  <w:tcW w:w="1241" w:type="dxa"/>
                  <w:vAlign w:val="center"/>
                </w:tcPr>
                <w:p>
                  <w:pPr>
                    <w:jc w:val="center"/>
                    <w:rPr>
                      <w:color w:val="auto"/>
                      <w:kern w:val="0"/>
                      <w:szCs w:val="21"/>
                      <w:highlight w:val="none"/>
                    </w:rPr>
                  </w:pPr>
                  <w:r>
                    <w:rPr>
                      <w:color w:val="auto"/>
                      <w:kern w:val="0"/>
                      <w:szCs w:val="21"/>
                      <w:highlight w:val="none"/>
                    </w:rPr>
                    <w:t>危化品仓库</w:t>
                  </w:r>
                </w:p>
              </w:tc>
              <w:tc>
                <w:tcPr>
                  <w:tcW w:w="919" w:type="dxa"/>
                  <w:vAlign w:val="center"/>
                </w:tcPr>
                <w:p>
                  <w:pPr>
                    <w:jc w:val="center"/>
                    <w:rPr>
                      <w:color w:val="auto"/>
                      <w:kern w:val="0"/>
                      <w:szCs w:val="21"/>
                      <w:highlight w:val="none"/>
                    </w:rPr>
                  </w:pPr>
                  <w:r>
                    <w:rPr>
                      <w:color w:val="auto"/>
                      <w:kern w:val="0"/>
                      <w:szCs w:val="21"/>
                      <w:highlight w:val="none"/>
                    </w:rPr>
                    <w:t>0.01</w:t>
                  </w:r>
                </w:p>
              </w:tc>
              <w:tc>
                <w:tcPr>
                  <w:tcW w:w="1060" w:type="dxa"/>
                  <w:tcBorders>
                    <w:bottom w:val="single" w:color="auto" w:sz="4" w:space="0"/>
                  </w:tcBorders>
                  <w:vAlign w:val="center"/>
                </w:tcPr>
                <w:p>
                  <w:pPr>
                    <w:jc w:val="center"/>
                    <w:rPr>
                      <w:color w:val="auto"/>
                      <w:szCs w:val="21"/>
                      <w:highlight w:val="none"/>
                    </w:rPr>
                  </w:pPr>
                  <w:r>
                    <w:rPr>
                      <w:color w:val="auto"/>
                      <w:szCs w:val="21"/>
                      <w:highlight w:val="none"/>
                      <w:rtl/>
                    </w:rPr>
                    <w:t>7.5</w:t>
                  </w:r>
                </w:p>
              </w:tc>
              <w:tc>
                <w:tcPr>
                  <w:tcW w:w="1077" w:type="dxa"/>
                  <w:vMerge w:val="continue"/>
                  <w:vAlign w:val="center"/>
                </w:tcPr>
                <w:p>
                  <w:pPr>
                    <w:jc w:val="center"/>
                    <w:rPr>
                      <w:color w:val="auto"/>
                      <w:szCs w:val="21"/>
                      <w:highlight w:val="none"/>
                    </w:rPr>
                  </w:pPr>
                </w:p>
              </w:tc>
              <w:tc>
                <w:tcPr>
                  <w:tcW w:w="1096" w:type="dxa"/>
                  <w:vMerge w:val="restart"/>
                  <w:vAlign w:val="center"/>
                </w:tcPr>
                <w:p>
                  <w:pPr>
                    <w:jc w:val="center"/>
                    <w:rPr>
                      <w:color w:val="auto"/>
                      <w:szCs w:val="21"/>
                      <w:highlight w:val="none"/>
                    </w:rPr>
                  </w:pPr>
                  <w:r>
                    <w:rPr>
                      <w:color w:val="auto"/>
                      <w:szCs w:val="21"/>
                      <w:highlight w:val="none"/>
                    </w:rPr>
                    <w:t>瓶装</w:t>
                  </w:r>
                </w:p>
              </w:tc>
              <w:tc>
                <w:tcPr>
                  <w:tcW w:w="1565" w:type="dxa"/>
                  <w:vMerge w:val="restart"/>
                  <w:vAlign w:val="center"/>
                </w:tcPr>
                <w:p>
                  <w:pPr>
                    <w:jc w:val="center"/>
                    <w:rPr>
                      <w:color w:val="auto"/>
                      <w:szCs w:val="21"/>
                      <w:highlight w:val="none"/>
                    </w:rPr>
                  </w:pPr>
                  <w:r>
                    <w:rPr>
                      <w:color w:val="auto"/>
                      <w:szCs w:val="21"/>
                      <w:highlight w:val="none"/>
                    </w:rPr>
                    <w:t>危化品仓库</w:t>
                  </w:r>
                </w:p>
              </w:tc>
              <w:tc>
                <w:tcPr>
                  <w:tcW w:w="981" w:type="dxa"/>
                  <w:vAlign w:val="center"/>
                </w:tcPr>
                <w:p>
                  <w:pPr>
                    <w:jc w:val="center"/>
                    <w:rPr>
                      <w:color w:val="auto"/>
                      <w:szCs w:val="21"/>
                      <w:highlight w:val="none"/>
                    </w:rPr>
                  </w:pPr>
                  <w:r>
                    <w:rPr>
                      <w:color w:val="auto"/>
                      <w:szCs w:val="21"/>
                      <w:highlight w:val="none"/>
                    </w:rPr>
                    <w:t>0.0013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20" w:hRule="atLeast"/>
              </w:trPr>
              <w:tc>
                <w:tcPr>
                  <w:tcW w:w="1033" w:type="dxa"/>
                  <w:vMerge w:val="continue"/>
                  <w:vAlign w:val="center"/>
                </w:tcPr>
                <w:p>
                  <w:pPr>
                    <w:jc w:val="center"/>
                    <w:rPr>
                      <w:color w:val="auto"/>
                      <w:szCs w:val="21"/>
                      <w:highlight w:val="none"/>
                    </w:rPr>
                  </w:pPr>
                </w:p>
              </w:tc>
              <w:tc>
                <w:tcPr>
                  <w:tcW w:w="1241" w:type="dxa"/>
                  <w:vAlign w:val="center"/>
                </w:tcPr>
                <w:p>
                  <w:pPr>
                    <w:jc w:val="center"/>
                    <w:rPr>
                      <w:color w:val="auto"/>
                      <w:kern w:val="0"/>
                      <w:szCs w:val="21"/>
                      <w:highlight w:val="none"/>
                    </w:rPr>
                  </w:pPr>
                  <w:r>
                    <w:rPr>
                      <w:color w:val="auto"/>
                      <w:kern w:val="0"/>
                      <w:szCs w:val="21"/>
                      <w:highlight w:val="none"/>
                    </w:rPr>
                    <w:t>玻壳清洗间</w:t>
                  </w:r>
                </w:p>
              </w:tc>
              <w:tc>
                <w:tcPr>
                  <w:tcW w:w="919" w:type="dxa"/>
                  <w:vAlign w:val="center"/>
                </w:tcPr>
                <w:p>
                  <w:pPr>
                    <w:jc w:val="center"/>
                    <w:rPr>
                      <w:color w:val="auto"/>
                      <w:kern w:val="0"/>
                      <w:szCs w:val="21"/>
                      <w:highlight w:val="none"/>
                    </w:rPr>
                  </w:pPr>
                  <w:r>
                    <w:rPr>
                      <w:color w:val="auto"/>
                      <w:kern w:val="0"/>
                      <w:szCs w:val="21"/>
                      <w:highlight w:val="none"/>
                    </w:rPr>
                    <w:t>0.01</w:t>
                  </w:r>
                </w:p>
              </w:tc>
              <w:tc>
                <w:tcPr>
                  <w:tcW w:w="1060" w:type="dxa"/>
                  <w:tcBorders>
                    <w:top w:val="single" w:color="auto" w:sz="4" w:space="0"/>
                  </w:tcBorders>
                  <w:vAlign w:val="center"/>
                </w:tcPr>
                <w:p>
                  <w:pPr>
                    <w:jc w:val="center"/>
                    <w:rPr>
                      <w:color w:val="auto"/>
                      <w:szCs w:val="21"/>
                      <w:highlight w:val="none"/>
                    </w:rPr>
                  </w:pPr>
                  <w:r>
                    <w:rPr>
                      <w:color w:val="auto"/>
                      <w:szCs w:val="21"/>
                      <w:highlight w:val="none"/>
                      <w:rtl/>
                    </w:rPr>
                    <w:t>7.5</w:t>
                  </w:r>
                </w:p>
              </w:tc>
              <w:tc>
                <w:tcPr>
                  <w:tcW w:w="1077" w:type="dxa"/>
                  <w:vMerge w:val="continue"/>
                  <w:vAlign w:val="center"/>
                </w:tcPr>
                <w:p>
                  <w:pPr>
                    <w:jc w:val="center"/>
                    <w:rPr>
                      <w:color w:val="auto"/>
                      <w:szCs w:val="21"/>
                      <w:highlight w:val="none"/>
                    </w:rPr>
                  </w:pPr>
                </w:p>
              </w:tc>
              <w:tc>
                <w:tcPr>
                  <w:tcW w:w="1096" w:type="dxa"/>
                  <w:vMerge w:val="continue"/>
                  <w:vAlign w:val="center"/>
                </w:tcPr>
                <w:p>
                  <w:pPr>
                    <w:jc w:val="center"/>
                    <w:rPr>
                      <w:color w:val="auto"/>
                      <w:szCs w:val="21"/>
                      <w:highlight w:val="none"/>
                    </w:rPr>
                  </w:pPr>
                </w:p>
              </w:tc>
              <w:tc>
                <w:tcPr>
                  <w:tcW w:w="1565" w:type="dxa"/>
                  <w:vMerge w:val="continue"/>
                  <w:vAlign w:val="center"/>
                </w:tcPr>
                <w:p>
                  <w:pPr>
                    <w:jc w:val="center"/>
                    <w:rPr>
                      <w:color w:val="auto"/>
                      <w:szCs w:val="21"/>
                      <w:highlight w:val="none"/>
                    </w:rPr>
                  </w:pPr>
                </w:p>
              </w:tc>
              <w:tc>
                <w:tcPr>
                  <w:tcW w:w="981" w:type="dxa"/>
                  <w:vAlign w:val="center"/>
                </w:tcPr>
                <w:p>
                  <w:pPr>
                    <w:jc w:val="center"/>
                    <w:rPr>
                      <w:color w:val="auto"/>
                      <w:szCs w:val="21"/>
                      <w:highlight w:val="none"/>
                    </w:rPr>
                  </w:pPr>
                  <w:r>
                    <w:rPr>
                      <w:color w:val="auto"/>
                      <w:szCs w:val="21"/>
                      <w:highlight w:val="none"/>
                    </w:rPr>
                    <w:t>0.0013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20" w:hRule="atLeast"/>
              </w:trPr>
              <w:tc>
                <w:tcPr>
                  <w:tcW w:w="1033" w:type="dxa"/>
                  <w:vMerge w:val="restart"/>
                  <w:tcBorders>
                    <w:top w:val="single" w:color="auto" w:sz="4" w:space="0"/>
                  </w:tcBorders>
                  <w:vAlign w:val="center"/>
                </w:tcPr>
                <w:p>
                  <w:pPr>
                    <w:jc w:val="center"/>
                    <w:rPr>
                      <w:color w:val="auto"/>
                      <w:kern w:val="0"/>
                      <w:szCs w:val="21"/>
                      <w:highlight w:val="none"/>
                    </w:rPr>
                  </w:pPr>
                  <w:r>
                    <w:rPr>
                      <w:color w:val="auto"/>
                      <w:kern w:val="0"/>
                      <w:szCs w:val="21"/>
                      <w:highlight w:val="none"/>
                    </w:rPr>
                    <w:t>丙酮</w:t>
                  </w:r>
                </w:p>
              </w:tc>
              <w:tc>
                <w:tcPr>
                  <w:tcW w:w="1241" w:type="dxa"/>
                  <w:tcBorders>
                    <w:top w:val="single" w:color="auto" w:sz="4" w:space="0"/>
                    <w:bottom w:val="single" w:color="auto" w:sz="4" w:space="0"/>
                    <w:right w:val="single" w:color="auto" w:sz="4" w:space="0"/>
                  </w:tcBorders>
                  <w:vAlign w:val="center"/>
                </w:tcPr>
                <w:p>
                  <w:pPr>
                    <w:jc w:val="center"/>
                    <w:rPr>
                      <w:color w:val="auto"/>
                      <w:kern w:val="0"/>
                      <w:szCs w:val="21"/>
                      <w:highlight w:val="none"/>
                    </w:rPr>
                  </w:pPr>
                  <w:r>
                    <w:rPr>
                      <w:color w:val="auto"/>
                      <w:kern w:val="0"/>
                      <w:szCs w:val="21"/>
                      <w:highlight w:val="none"/>
                    </w:rPr>
                    <w:t>危化品仓库</w:t>
                  </w:r>
                </w:p>
              </w:tc>
              <w:tc>
                <w:tcPr>
                  <w:tcW w:w="919" w:type="dxa"/>
                  <w:tcBorders>
                    <w:top w:val="single" w:color="auto" w:sz="4" w:space="0"/>
                    <w:left w:val="single" w:color="auto" w:sz="4" w:space="0"/>
                    <w:bottom w:val="single" w:color="auto" w:sz="4" w:space="0"/>
                  </w:tcBorders>
                  <w:vAlign w:val="center"/>
                </w:tcPr>
                <w:p>
                  <w:pPr>
                    <w:jc w:val="center"/>
                    <w:rPr>
                      <w:color w:val="auto"/>
                      <w:kern w:val="0"/>
                      <w:szCs w:val="21"/>
                      <w:highlight w:val="none"/>
                    </w:rPr>
                  </w:pPr>
                  <w:r>
                    <w:rPr>
                      <w:color w:val="auto"/>
                      <w:kern w:val="0"/>
                      <w:szCs w:val="21"/>
                      <w:highlight w:val="none"/>
                    </w:rPr>
                    <w:t>0.03</w:t>
                  </w:r>
                </w:p>
              </w:tc>
              <w:tc>
                <w:tcPr>
                  <w:tcW w:w="1060" w:type="dxa"/>
                  <w:tcBorders>
                    <w:top w:val="single" w:color="auto" w:sz="4" w:space="0"/>
                    <w:bottom w:val="single" w:color="auto" w:sz="4" w:space="0"/>
                  </w:tcBorders>
                  <w:vAlign w:val="center"/>
                </w:tcPr>
                <w:p>
                  <w:pPr>
                    <w:jc w:val="center"/>
                    <w:rPr>
                      <w:color w:val="auto"/>
                      <w:szCs w:val="21"/>
                      <w:highlight w:val="none"/>
                    </w:rPr>
                  </w:pPr>
                  <w:r>
                    <w:rPr>
                      <w:color w:val="auto"/>
                      <w:szCs w:val="21"/>
                      <w:highlight w:val="none"/>
                      <w:rtl/>
                    </w:rPr>
                    <w:t>10</w:t>
                  </w:r>
                </w:p>
              </w:tc>
              <w:tc>
                <w:tcPr>
                  <w:tcW w:w="1077" w:type="dxa"/>
                  <w:vMerge w:val="continue"/>
                  <w:vAlign w:val="center"/>
                </w:tcPr>
                <w:p>
                  <w:pPr>
                    <w:jc w:val="center"/>
                    <w:rPr>
                      <w:color w:val="auto"/>
                      <w:kern w:val="0"/>
                      <w:szCs w:val="21"/>
                      <w:highlight w:val="none"/>
                    </w:rPr>
                  </w:pPr>
                </w:p>
              </w:tc>
              <w:tc>
                <w:tcPr>
                  <w:tcW w:w="1096" w:type="dxa"/>
                  <w:vMerge w:val="restart"/>
                  <w:tcBorders>
                    <w:top w:val="single" w:color="auto" w:sz="4" w:space="0"/>
                  </w:tcBorders>
                  <w:vAlign w:val="center"/>
                </w:tcPr>
                <w:p>
                  <w:pPr>
                    <w:jc w:val="center"/>
                    <w:rPr>
                      <w:color w:val="auto"/>
                      <w:szCs w:val="21"/>
                      <w:highlight w:val="none"/>
                    </w:rPr>
                  </w:pPr>
                  <w:r>
                    <w:rPr>
                      <w:color w:val="auto"/>
                      <w:szCs w:val="21"/>
                      <w:highlight w:val="none"/>
                    </w:rPr>
                    <w:t>瓶装</w:t>
                  </w:r>
                </w:p>
              </w:tc>
              <w:tc>
                <w:tcPr>
                  <w:tcW w:w="1565" w:type="dxa"/>
                  <w:vMerge w:val="restart"/>
                  <w:tcBorders>
                    <w:top w:val="single" w:color="auto" w:sz="4" w:space="0"/>
                  </w:tcBorders>
                  <w:vAlign w:val="center"/>
                </w:tcPr>
                <w:p>
                  <w:pPr>
                    <w:jc w:val="center"/>
                    <w:rPr>
                      <w:color w:val="auto"/>
                      <w:szCs w:val="21"/>
                      <w:highlight w:val="none"/>
                    </w:rPr>
                  </w:pPr>
                  <w:r>
                    <w:rPr>
                      <w:color w:val="auto"/>
                      <w:szCs w:val="21"/>
                      <w:highlight w:val="none"/>
                    </w:rPr>
                    <w:t>危化品仓库</w:t>
                  </w:r>
                </w:p>
              </w:tc>
              <w:tc>
                <w:tcPr>
                  <w:tcW w:w="981" w:type="dxa"/>
                  <w:tcBorders>
                    <w:top w:val="single" w:color="auto" w:sz="4" w:space="0"/>
                    <w:bottom w:val="single" w:color="auto" w:sz="4" w:space="0"/>
                  </w:tcBorders>
                  <w:vAlign w:val="center"/>
                </w:tcPr>
                <w:p>
                  <w:pPr>
                    <w:jc w:val="center"/>
                    <w:rPr>
                      <w:color w:val="auto"/>
                      <w:szCs w:val="21"/>
                      <w:highlight w:val="none"/>
                    </w:rPr>
                  </w:pPr>
                  <w:r>
                    <w:rPr>
                      <w:color w:val="auto"/>
                      <w:szCs w:val="21"/>
                      <w:highlight w:val="none"/>
                    </w:rPr>
                    <w:t>0.003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20" w:hRule="atLeast"/>
              </w:trPr>
              <w:tc>
                <w:tcPr>
                  <w:tcW w:w="1033" w:type="dxa"/>
                  <w:vMerge w:val="continue"/>
                  <w:vAlign w:val="center"/>
                </w:tcPr>
                <w:p>
                  <w:pPr>
                    <w:jc w:val="center"/>
                    <w:rPr>
                      <w:color w:val="auto"/>
                      <w:szCs w:val="21"/>
                      <w:highlight w:val="none"/>
                    </w:rPr>
                  </w:pPr>
                </w:p>
              </w:tc>
              <w:tc>
                <w:tcPr>
                  <w:tcW w:w="1241" w:type="dxa"/>
                  <w:tcBorders>
                    <w:top w:val="single" w:color="auto" w:sz="4" w:space="0"/>
                    <w:right w:val="single" w:color="auto" w:sz="4" w:space="0"/>
                  </w:tcBorders>
                  <w:vAlign w:val="center"/>
                </w:tcPr>
                <w:p>
                  <w:pPr>
                    <w:jc w:val="center"/>
                    <w:rPr>
                      <w:color w:val="auto"/>
                      <w:kern w:val="0"/>
                      <w:szCs w:val="21"/>
                      <w:highlight w:val="none"/>
                    </w:rPr>
                  </w:pPr>
                  <w:r>
                    <w:rPr>
                      <w:color w:val="auto"/>
                      <w:kern w:val="0"/>
                      <w:szCs w:val="21"/>
                      <w:highlight w:val="none"/>
                    </w:rPr>
                    <w:t>玻壳清洗间</w:t>
                  </w:r>
                </w:p>
              </w:tc>
              <w:tc>
                <w:tcPr>
                  <w:tcW w:w="919" w:type="dxa"/>
                  <w:tcBorders>
                    <w:top w:val="single" w:color="auto" w:sz="4" w:space="0"/>
                    <w:left w:val="single" w:color="auto" w:sz="4" w:space="0"/>
                  </w:tcBorders>
                  <w:vAlign w:val="center"/>
                </w:tcPr>
                <w:p>
                  <w:pPr>
                    <w:jc w:val="center"/>
                    <w:rPr>
                      <w:color w:val="auto"/>
                      <w:kern w:val="0"/>
                      <w:szCs w:val="21"/>
                      <w:highlight w:val="none"/>
                    </w:rPr>
                  </w:pPr>
                  <w:r>
                    <w:rPr>
                      <w:color w:val="auto"/>
                      <w:kern w:val="0"/>
                      <w:szCs w:val="21"/>
                      <w:highlight w:val="none"/>
                    </w:rPr>
                    <w:t>0.005</w:t>
                  </w:r>
                </w:p>
              </w:tc>
              <w:tc>
                <w:tcPr>
                  <w:tcW w:w="1060" w:type="dxa"/>
                  <w:tcBorders>
                    <w:top w:val="single" w:color="auto" w:sz="4" w:space="0"/>
                  </w:tcBorders>
                  <w:vAlign w:val="center"/>
                </w:tcPr>
                <w:p>
                  <w:pPr>
                    <w:jc w:val="center"/>
                    <w:rPr>
                      <w:color w:val="auto"/>
                      <w:szCs w:val="21"/>
                      <w:highlight w:val="none"/>
                    </w:rPr>
                  </w:pPr>
                  <w:r>
                    <w:rPr>
                      <w:color w:val="auto"/>
                      <w:szCs w:val="21"/>
                      <w:highlight w:val="none"/>
                      <w:rtl/>
                    </w:rPr>
                    <w:t>10</w:t>
                  </w:r>
                </w:p>
              </w:tc>
              <w:tc>
                <w:tcPr>
                  <w:tcW w:w="1077" w:type="dxa"/>
                  <w:vMerge w:val="continue"/>
                  <w:vAlign w:val="center"/>
                </w:tcPr>
                <w:p>
                  <w:pPr>
                    <w:jc w:val="center"/>
                    <w:rPr>
                      <w:color w:val="auto"/>
                      <w:kern w:val="0"/>
                      <w:szCs w:val="21"/>
                      <w:highlight w:val="none"/>
                    </w:rPr>
                  </w:pPr>
                </w:p>
              </w:tc>
              <w:tc>
                <w:tcPr>
                  <w:tcW w:w="1096" w:type="dxa"/>
                  <w:vMerge w:val="continue"/>
                  <w:vAlign w:val="center"/>
                </w:tcPr>
                <w:p>
                  <w:pPr>
                    <w:jc w:val="center"/>
                    <w:rPr>
                      <w:color w:val="auto"/>
                      <w:szCs w:val="21"/>
                      <w:highlight w:val="none"/>
                    </w:rPr>
                  </w:pPr>
                </w:p>
              </w:tc>
              <w:tc>
                <w:tcPr>
                  <w:tcW w:w="1565" w:type="dxa"/>
                  <w:vMerge w:val="continue"/>
                  <w:vAlign w:val="center"/>
                </w:tcPr>
                <w:p>
                  <w:pPr>
                    <w:jc w:val="center"/>
                    <w:rPr>
                      <w:color w:val="auto"/>
                      <w:szCs w:val="21"/>
                      <w:highlight w:val="none"/>
                    </w:rPr>
                  </w:pPr>
                </w:p>
              </w:tc>
              <w:tc>
                <w:tcPr>
                  <w:tcW w:w="981" w:type="dxa"/>
                  <w:tcBorders>
                    <w:top w:val="single" w:color="auto" w:sz="4" w:space="0"/>
                  </w:tcBorders>
                  <w:vAlign w:val="center"/>
                </w:tcPr>
                <w:p>
                  <w:pPr>
                    <w:jc w:val="center"/>
                    <w:rPr>
                      <w:color w:val="auto"/>
                      <w:szCs w:val="21"/>
                      <w:highlight w:val="none"/>
                    </w:rPr>
                  </w:pPr>
                  <w:r>
                    <w:rPr>
                      <w:color w:val="auto"/>
                      <w:szCs w:val="21"/>
                      <w:highlight w:val="none"/>
                    </w:rPr>
                    <w:t>0.0005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20" w:hRule="atLeast"/>
              </w:trPr>
              <w:tc>
                <w:tcPr>
                  <w:tcW w:w="1033" w:type="dxa"/>
                  <w:vMerge w:val="restart"/>
                  <w:tcBorders>
                    <w:top w:val="single" w:color="auto" w:sz="4" w:space="0"/>
                  </w:tcBorders>
                  <w:vAlign w:val="center"/>
                </w:tcPr>
                <w:p>
                  <w:pPr>
                    <w:jc w:val="center"/>
                    <w:rPr>
                      <w:color w:val="auto"/>
                      <w:kern w:val="0"/>
                      <w:szCs w:val="21"/>
                      <w:highlight w:val="none"/>
                    </w:rPr>
                  </w:pPr>
                  <w:r>
                    <w:rPr>
                      <w:color w:val="auto"/>
                      <w:kern w:val="0"/>
                      <w:szCs w:val="21"/>
                      <w:highlight w:val="none"/>
                    </w:rPr>
                    <w:t>十氟戊烷</w:t>
                  </w:r>
                </w:p>
              </w:tc>
              <w:tc>
                <w:tcPr>
                  <w:tcW w:w="1241" w:type="dxa"/>
                  <w:tcBorders>
                    <w:top w:val="single" w:color="auto" w:sz="4" w:space="0"/>
                    <w:bottom w:val="single" w:color="auto" w:sz="4" w:space="0"/>
                    <w:right w:val="single" w:color="auto" w:sz="4" w:space="0"/>
                  </w:tcBorders>
                  <w:vAlign w:val="center"/>
                </w:tcPr>
                <w:p>
                  <w:pPr>
                    <w:jc w:val="center"/>
                    <w:rPr>
                      <w:color w:val="auto"/>
                      <w:kern w:val="0"/>
                      <w:szCs w:val="21"/>
                      <w:highlight w:val="none"/>
                    </w:rPr>
                  </w:pPr>
                  <w:r>
                    <w:rPr>
                      <w:color w:val="auto"/>
                      <w:kern w:val="0"/>
                      <w:szCs w:val="21"/>
                      <w:highlight w:val="none"/>
                    </w:rPr>
                    <w:t>危化品仓库</w:t>
                  </w:r>
                </w:p>
              </w:tc>
              <w:tc>
                <w:tcPr>
                  <w:tcW w:w="919" w:type="dxa"/>
                  <w:tcBorders>
                    <w:top w:val="single" w:color="auto" w:sz="4" w:space="0"/>
                    <w:left w:val="single" w:color="auto" w:sz="4" w:space="0"/>
                    <w:bottom w:val="single" w:color="auto" w:sz="4" w:space="0"/>
                  </w:tcBorders>
                  <w:vAlign w:val="center"/>
                </w:tcPr>
                <w:p>
                  <w:pPr>
                    <w:jc w:val="center"/>
                    <w:rPr>
                      <w:color w:val="auto"/>
                      <w:szCs w:val="21"/>
                      <w:highlight w:val="none"/>
                    </w:rPr>
                  </w:pPr>
                  <w:r>
                    <w:rPr>
                      <w:color w:val="auto"/>
                      <w:szCs w:val="21"/>
                      <w:highlight w:val="none"/>
                      <w:rtl/>
                    </w:rPr>
                    <w:t>0.001</w:t>
                  </w:r>
                </w:p>
              </w:tc>
              <w:tc>
                <w:tcPr>
                  <w:tcW w:w="1060" w:type="dxa"/>
                  <w:tcBorders>
                    <w:top w:val="single" w:color="auto" w:sz="4" w:space="0"/>
                    <w:bottom w:val="single" w:color="auto" w:sz="4" w:space="0"/>
                  </w:tcBorders>
                  <w:vAlign w:val="center"/>
                </w:tcPr>
                <w:p>
                  <w:pPr>
                    <w:jc w:val="center"/>
                    <w:rPr>
                      <w:color w:val="auto"/>
                      <w:szCs w:val="21"/>
                      <w:highlight w:val="none"/>
                    </w:rPr>
                  </w:pPr>
                  <w:r>
                    <w:rPr>
                      <w:color w:val="auto"/>
                      <w:szCs w:val="21"/>
                      <w:highlight w:val="none"/>
                      <w:rtl/>
                    </w:rPr>
                    <w:t>--</w:t>
                  </w:r>
                </w:p>
              </w:tc>
              <w:tc>
                <w:tcPr>
                  <w:tcW w:w="1077" w:type="dxa"/>
                  <w:vMerge w:val="continue"/>
                  <w:vAlign w:val="center"/>
                </w:tcPr>
                <w:p>
                  <w:pPr>
                    <w:jc w:val="center"/>
                    <w:rPr>
                      <w:color w:val="auto"/>
                      <w:kern w:val="0"/>
                      <w:szCs w:val="21"/>
                      <w:highlight w:val="none"/>
                    </w:rPr>
                  </w:pPr>
                </w:p>
              </w:tc>
              <w:tc>
                <w:tcPr>
                  <w:tcW w:w="1096" w:type="dxa"/>
                  <w:vMerge w:val="restart"/>
                  <w:tcBorders>
                    <w:top w:val="single" w:color="auto" w:sz="4" w:space="0"/>
                  </w:tcBorders>
                  <w:vAlign w:val="center"/>
                </w:tcPr>
                <w:p>
                  <w:pPr>
                    <w:jc w:val="center"/>
                    <w:rPr>
                      <w:color w:val="auto"/>
                      <w:szCs w:val="21"/>
                      <w:highlight w:val="none"/>
                    </w:rPr>
                  </w:pPr>
                  <w:r>
                    <w:rPr>
                      <w:color w:val="auto"/>
                      <w:szCs w:val="21"/>
                      <w:highlight w:val="none"/>
                    </w:rPr>
                    <w:t>瓶装</w:t>
                  </w:r>
                </w:p>
              </w:tc>
              <w:tc>
                <w:tcPr>
                  <w:tcW w:w="1565" w:type="dxa"/>
                  <w:vMerge w:val="restart"/>
                  <w:tcBorders>
                    <w:top w:val="single" w:color="auto" w:sz="4" w:space="0"/>
                  </w:tcBorders>
                  <w:vAlign w:val="center"/>
                </w:tcPr>
                <w:p>
                  <w:pPr>
                    <w:jc w:val="center"/>
                    <w:rPr>
                      <w:color w:val="auto"/>
                      <w:szCs w:val="21"/>
                      <w:highlight w:val="none"/>
                    </w:rPr>
                  </w:pPr>
                  <w:r>
                    <w:rPr>
                      <w:color w:val="auto"/>
                      <w:szCs w:val="21"/>
                      <w:highlight w:val="none"/>
                    </w:rPr>
                    <w:t>危化品仓库</w:t>
                  </w:r>
                </w:p>
              </w:tc>
              <w:tc>
                <w:tcPr>
                  <w:tcW w:w="981" w:type="dxa"/>
                  <w:vMerge w:val="restart"/>
                  <w:tcBorders>
                    <w:top w:val="single" w:color="auto" w:sz="4" w:space="0"/>
                  </w:tcBorders>
                  <w:vAlign w:val="center"/>
                </w:tcPr>
                <w:p>
                  <w:pPr>
                    <w:jc w:val="center"/>
                    <w:rPr>
                      <w:color w:val="auto"/>
                      <w:szCs w:val="21"/>
                      <w:highlight w:val="none"/>
                    </w:rPr>
                  </w:pPr>
                  <w:r>
                    <w:rPr>
                      <w:color w:val="auto"/>
                      <w:szCs w:val="21"/>
                      <w:highlight w:val="none"/>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20" w:hRule="atLeast"/>
              </w:trPr>
              <w:tc>
                <w:tcPr>
                  <w:tcW w:w="1033" w:type="dxa"/>
                  <w:vMerge w:val="continue"/>
                  <w:tcBorders>
                    <w:bottom w:val="single" w:color="auto" w:sz="4" w:space="0"/>
                  </w:tcBorders>
                  <w:vAlign w:val="center"/>
                </w:tcPr>
                <w:p>
                  <w:pPr>
                    <w:jc w:val="center"/>
                    <w:rPr>
                      <w:color w:val="auto"/>
                      <w:szCs w:val="21"/>
                      <w:highlight w:val="none"/>
                    </w:rPr>
                  </w:pPr>
                </w:p>
              </w:tc>
              <w:tc>
                <w:tcPr>
                  <w:tcW w:w="1241" w:type="dxa"/>
                  <w:tcBorders>
                    <w:top w:val="single" w:color="auto" w:sz="4" w:space="0"/>
                    <w:bottom w:val="single" w:color="auto" w:sz="4" w:space="0"/>
                    <w:right w:val="single" w:color="auto" w:sz="4" w:space="0"/>
                  </w:tcBorders>
                  <w:vAlign w:val="center"/>
                </w:tcPr>
                <w:p>
                  <w:pPr>
                    <w:jc w:val="center"/>
                    <w:rPr>
                      <w:color w:val="auto"/>
                      <w:kern w:val="0"/>
                      <w:szCs w:val="21"/>
                      <w:highlight w:val="none"/>
                    </w:rPr>
                  </w:pPr>
                  <w:r>
                    <w:rPr>
                      <w:color w:val="auto"/>
                      <w:kern w:val="0"/>
                      <w:szCs w:val="21"/>
                      <w:highlight w:val="none"/>
                    </w:rPr>
                    <w:t>玻壳清洗间</w:t>
                  </w:r>
                </w:p>
              </w:tc>
              <w:tc>
                <w:tcPr>
                  <w:tcW w:w="919" w:type="dxa"/>
                  <w:tcBorders>
                    <w:top w:val="single" w:color="auto" w:sz="4" w:space="0"/>
                    <w:left w:val="single" w:color="auto" w:sz="4" w:space="0"/>
                    <w:bottom w:val="single" w:color="auto" w:sz="4" w:space="0"/>
                  </w:tcBorders>
                  <w:vAlign w:val="center"/>
                </w:tcPr>
                <w:p>
                  <w:pPr>
                    <w:jc w:val="center"/>
                    <w:rPr>
                      <w:color w:val="auto"/>
                      <w:szCs w:val="21"/>
                      <w:highlight w:val="none"/>
                    </w:rPr>
                  </w:pPr>
                  <w:r>
                    <w:rPr>
                      <w:color w:val="auto"/>
                      <w:szCs w:val="21"/>
                      <w:highlight w:val="none"/>
                    </w:rPr>
                    <w:t>0.001</w:t>
                  </w:r>
                </w:p>
              </w:tc>
              <w:tc>
                <w:tcPr>
                  <w:tcW w:w="1060" w:type="dxa"/>
                  <w:tcBorders>
                    <w:top w:val="single" w:color="auto" w:sz="4" w:space="0"/>
                    <w:bottom w:val="single" w:color="auto" w:sz="4" w:space="0"/>
                  </w:tcBorders>
                  <w:vAlign w:val="center"/>
                </w:tcPr>
                <w:p>
                  <w:pPr>
                    <w:jc w:val="center"/>
                    <w:rPr>
                      <w:color w:val="auto"/>
                      <w:szCs w:val="21"/>
                      <w:highlight w:val="none"/>
                    </w:rPr>
                  </w:pPr>
                  <w:r>
                    <w:rPr>
                      <w:color w:val="auto"/>
                      <w:szCs w:val="21"/>
                      <w:highlight w:val="none"/>
                      <w:rtl/>
                    </w:rPr>
                    <w:t>--</w:t>
                  </w:r>
                </w:p>
              </w:tc>
              <w:tc>
                <w:tcPr>
                  <w:tcW w:w="1077" w:type="dxa"/>
                  <w:vMerge w:val="continue"/>
                  <w:vAlign w:val="center"/>
                </w:tcPr>
                <w:p>
                  <w:pPr>
                    <w:jc w:val="center"/>
                    <w:rPr>
                      <w:color w:val="auto"/>
                      <w:kern w:val="0"/>
                      <w:szCs w:val="21"/>
                      <w:highlight w:val="none"/>
                    </w:rPr>
                  </w:pPr>
                </w:p>
              </w:tc>
              <w:tc>
                <w:tcPr>
                  <w:tcW w:w="1096" w:type="dxa"/>
                  <w:vMerge w:val="continue"/>
                  <w:tcBorders>
                    <w:bottom w:val="single" w:color="auto" w:sz="4" w:space="0"/>
                  </w:tcBorders>
                  <w:vAlign w:val="center"/>
                </w:tcPr>
                <w:p>
                  <w:pPr>
                    <w:jc w:val="center"/>
                    <w:rPr>
                      <w:color w:val="auto"/>
                      <w:szCs w:val="21"/>
                      <w:highlight w:val="none"/>
                    </w:rPr>
                  </w:pPr>
                </w:p>
              </w:tc>
              <w:tc>
                <w:tcPr>
                  <w:tcW w:w="1565" w:type="dxa"/>
                  <w:vMerge w:val="continue"/>
                  <w:tcBorders>
                    <w:bottom w:val="single" w:color="auto" w:sz="4" w:space="0"/>
                  </w:tcBorders>
                  <w:vAlign w:val="center"/>
                </w:tcPr>
                <w:p>
                  <w:pPr>
                    <w:jc w:val="center"/>
                    <w:rPr>
                      <w:color w:val="auto"/>
                      <w:szCs w:val="21"/>
                      <w:highlight w:val="none"/>
                    </w:rPr>
                  </w:pPr>
                </w:p>
              </w:tc>
              <w:tc>
                <w:tcPr>
                  <w:tcW w:w="981" w:type="dxa"/>
                  <w:vMerge w:val="continue"/>
                  <w:tcBorders>
                    <w:bottom w:val="single" w:color="auto" w:sz="4" w:space="0"/>
                  </w:tcBorders>
                  <w:vAlign w:val="center"/>
                </w:tcPr>
                <w:p>
                  <w:pPr>
                    <w:jc w:val="center"/>
                    <w:rPr>
                      <w:color w:val="auto"/>
                      <w:szCs w:val="21"/>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20" w:hRule="atLeast"/>
              </w:trPr>
              <w:tc>
                <w:tcPr>
                  <w:tcW w:w="1033" w:type="dxa"/>
                  <w:vMerge w:val="restart"/>
                  <w:tcBorders>
                    <w:top w:val="single" w:color="auto" w:sz="4" w:space="0"/>
                  </w:tcBorders>
                  <w:vAlign w:val="center"/>
                </w:tcPr>
                <w:p>
                  <w:pPr>
                    <w:jc w:val="center"/>
                    <w:rPr>
                      <w:color w:val="auto"/>
                      <w:szCs w:val="21"/>
                      <w:highlight w:val="none"/>
                    </w:rPr>
                  </w:pPr>
                  <w:r>
                    <w:rPr>
                      <w:color w:val="auto"/>
                      <w:szCs w:val="21"/>
                      <w:highlight w:val="none"/>
                    </w:rPr>
                    <w:t>液化石油气</w:t>
                  </w:r>
                </w:p>
              </w:tc>
              <w:tc>
                <w:tcPr>
                  <w:tcW w:w="1241" w:type="dxa"/>
                  <w:tcBorders>
                    <w:top w:val="single" w:color="auto" w:sz="4" w:space="0"/>
                    <w:bottom w:val="single" w:color="auto" w:sz="4" w:space="0"/>
                    <w:right w:val="single" w:color="auto" w:sz="4" w:space="0"/>
                  </w:tcBorders>
                  <w:vAlign w:val="center"/>
                </w:tcPr>
                <w:p>
                  <w:pPr>
                    <w:jc w:val="center"/>
                    <w:rPr>
                      <w:color w:val="auto"/>
                      <w:kern w:val="0"/>
                      <w:szCs w:val="21"/>
                      <w:highlight w:val="none"/>
                    </w:rPr>
                  </w:pPr>
                  <w:r>
                    <w:rPr>
                      <w:color w:val="auto"/>
                      <w:kern w:val="0"/>
                      <w:szCs w:val="21"/>
                      <w:highlight w:val="none"/>
                    </w:rPr>
                    <w:t>液化气棚</w:t>
                  </w:r>
                </w:p>
              </w:tc>
              <w:tc>
                <w:tcPr>
                  <w:tcW w:w="919" w:type="dxa"/>
                  <w:tcBorders>
                    <w:top w:val="single" w:color="auto" w:sz="4" w:space="0"/>
                    <w:left w:val="single" w:color="auto" w:sz="4" w:space="0"/>
                    <w:bottom w:val="single" w:color="auto" w:sz="4" w:space="0"/>
                  </w:tcBorders>
                  <w:vAlign w:val="center"/>
                </w:tcPr>
                <w:p>
                  <w:pPr>
                    <w:jc w:val="center"/>
                    <w:rPr>
                      <w:color w:val="auto"/>
                      <w:kern w:val="0"/>
                      <w:szCs w:val="21"/>
                      <w:highlight w:val="none"/>
                    </w:rPr>
                  </w:pPr>
                  <w:r>
                    <w:rPr>
                      <w:color w:val="auto"/>
                      <w:kern w:val="0"/>
                      <w:szCs w:val="21"/>
                      <w:highlight w:val="none"/>
                    </w:rPr>
                    <w:t>50kg</w:t>
                  </w:r>
                </w:p>
              </w:tc>
              <w:tc>
                <w:tcPr>
                  <w:tcW w:w="1060" w:type="dxa"/>
                  <w:tcBorders>
                    <w:top w:val="single" w:color="auto" w:sz="4" w:space="0"/>
                    <w:bottom w:val="single" w:color="auto" w:sz="4" w:space="0"/>
                  </w:tcBorders>
                  <w:vAlign w:val="center"/>
                </w:tcPr>
                <w:p>
                  <w:pPr>
                    <w:jc w:val="center"/>
                    <w:rPr>
                      <w:color w:val="auto"/>
                      <w:szCs w:val="21"/>
                      <w:highlight w:val="none"/>
                    </w:rPr>
                  </w:pPr>
                  <w:r>
                    <w:rPr>
                      <w:color w:val="auto"/>
                      <w:szCs w:val="21"/>
                      <w:highlight w:val="none"/>
                      <w:rtl/>
                    </w:rPr>
                    <w:t>10</w:t>
                  </w:r>
                </w:p>
              </w:tc>
              <w:tc>
                <w:tcPr>
                  <w:tcW w:w="1077" w:type="dxa"/>
                  <w:vMerge w:val="continue"/>
                  <w:vAlign w:val="center"/>
                </w:tcPr>
                <w:p>
                  <w:pPr>
                    <w:jc w:val="center"/>
                    <w:rPr>
                      <w:color w:val="auto"/>
                      <w:kern w:val="0"/>
                      <w:szCs w:val="21"/>
                      <w:highlight w:val="none"/>
                    </w:rPr>
                  </w:pPr>
                </w:p>
              </w:tc>
              <w:tc>
                <w:tcPr>
                  <w:tcW w:w="1096" w:type="dxa"/>
                  <w:vMerge w:val="restart"/>
                  <w:tcBorders>
                    <w:top w:val="single" w:color="auto" w:sz="4" w:space="0"/>
                  </w:tcBorders>
                  <w:vAlign w:val="center"/>
                </w:tcPr>
                <w:p>
                  <w:pPr>
                    <w:jc w:val="center"/>
                    <w:rPr>
                      <w:color w:val="auto"/>
                      <w:szCs w:val="21"/>
                      <w:highlight w:val="none"/>
                    </w:rPr>
                  </w:pPr>
                  <w:r>
                    <w:rPr>
                      <w:rFonts w:hint="eastAsia" w:ascii="宋体" w:hAnsi="宋体" w:cs="宋体"/>
                      <w:color w:val="auto"/>
                      <w:szCs w:val="21"/>
                      <w:highlight w:val="none"/>
                      <w:rtl/>
                    </w:rPr>
                    <w:t>钢瓶</w:t>
                  </w:r>
                </w:p>
              </w:tc>
              <w:tc>
                <w:tcPr>
                  <w:tcW w:w="1565" w:type="dxa"/>
                  <w:vMerge w:val="restart"/>
                  <w:tcBorders>
                    <w:top w:val="single" w:color="auto" w:sz="4" w:space="0"/>
                  </w:tcBorders>
                  <w:vAlign w:val="center"/>
                </w:tcPr>
                <w:p>
                  <w:pPr>
                    <w:jc w:val="center"/>
                    <w:rPr>
                      <w:color w:val="auto"/>
                      <w:szCs w:val="21"/>
                      <w:highlight w:val="none"/>
                    </w:rPr>
                  </w:pPr>
                  <w:r>
                    <w:rPr>
                      <w:color w:val="auto"/>
                      <w:szCs w:val="21"/>
                      <w:highlight w:val="none"/>
                    </w:rPr>
                    <w:t>液危化品仓库化气棚</w:t>
                  </w:r>
                </w:p>
              </w:tc>
              <w:tc>
                <w:tcPr>
                  <w:tcW w:w="981" w:type="dxa"/>
                  <w:tcBorders>
                    <w:top w:val="single" w:color="auto" w:sz="4" w:space="0"/>
                    <w:bottom w:val="single" w:color="auto" w:sz="4" w:space="0"/>
                  </w:tcBorders>
                  <w:vAlign w:val="center"/>
                </w:tcPr>
                <w:p>
                  <w:pPr>
                    <w:jc w:val="center"/>
                    <w:rPr>
                      <w:color w:val="auto"/>
                      <w:szCs w:val="21"/>
                      <w:highlight w:val="none"/>
                    </w:rPr>
                  </w:pPr>
                  <w:r>
                    <w:rPr>
                      <w:color w:val="auto"/>
                      <w:szCs w:val="21"/>
                      <w:highlight w:val="none"/>
                    </w:rPr>
                    <w:t>0.005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20" w:hRule="atLeast"/>
              </w:trPr>
              <w:tc>
                <w:tcPr>
                  <w:tcW w:w="1033" w:type="dxa"/>
                  <w:vMerge w:val="continue"/>
                  <w:tcBorders>
                    <w:bottom w:val="single" w:color="auto" w:sz="4" w:space="0"/>
                  </w:tcBorders>
                  <w:vAlign w:val="center"/>
                </w:tcPr>
                <w:p>
                  <w:pPr>
                    <w:jc w:val="center"/>
                    <w:rPr>
                      <w:color w:val="auto"/>
                      <w:szCs w:val="21"/>
                      <w:highlight w:val="none"/>
                    </w:rPr>
                  </w:pPr>
                </w:p>
              </w:tc>
              <w:tc>
                <w:tcPr>
                  <w:tcW w:w="1241" w:type="dxa"/>
                  <w:tcBorders>
                    <w:top w:val="single" w:color="auto" w:sz="4" w:space="0"/>
                    <w:bottom w:val="single" w:color="auto" w:sz="4" w:space="0"/>
                    <w:right w:val="single" w:color="auto" w:sz="4" w:space="0"/>
                  </w:tcBorders>
                  <w:vAlign w:val="center"/>
                </w:tcPr>
                <w:p>
                  <w:pPr>
                    <w:jc w:val="center"/>
                    <w:rPr>
                      <w:color w:val="auto"/>
                      <w:kern w:val="0"/>
                      <w:szCs w:val="21"/>
                      <w:highlight w:val="none"/>
                    </w:rPr>
                  </w:pPr>
                  <w:r>
                    <w:rPr>
                      <w:color w:val="auto"/>
                      <w:kern w:val="0"/>
                      <w:szCs w:val="21"/>
                      <w:highlight w:val="none"/>
                    </w:rPr>
                    <w:t>封口间</w:t>
                  </w:r>
                </w:p>
              </w:tc>
              <w:tc>
                <w:tcPr>
                  <w:tcW w:w="919" w:type="dxa"/>
                  <w:tcBorders>
                    <w:top w:val="single" w:color="auto" w:sz="4" w:space="0"/>
                    <w:left w:val="single" w:color="auto" w:sz="4" w:space="0"/>
                    <w:bottom w:val="single" w:color="auto" w:sz="4" w:space="0"/>
                  </w:tcBorders>
                  <w:vAlign w:val="center"/>
                </w:tcPr>
                <w:p>
                  <w:pPr>
                    <w:jc w:val="center"/>
                    <w:rPr>
                      <w:color w:val="auto"/>
                      <w:kern w:val="0"/>
                      <w:szCs w:val="21"/>
                      <w:highlight w:val="none"/>
                    </w:rPr>
                  </w:pPr>
                  <w:r>
                    <w:rPr>
                      <w:color w:val="auto"/>
                      <w:kern w:val="0"/>
                      <w:szCs w:val="21"/>
                      <w:highlight w:val="none"/>
                    </w:rPr>
                    <w:t>50kg</w:t>
                  </w:r>
                </w:p>
              </w:tc>
              <w:tc>
                <w:tcPr>
                  <w:tcW w:w="1060" w:type="dxa"/>
                  <w:tcBorders>
                    <w:top w:val="single" w:color="auto" w:sz="4" w:space="0"/>
                    <w:bottom w:val="single" w:color="auto" w:sz="4" w:space="0"/>
                  </w:tcBorders>
                  <w:vAlign w:val="center"/>
                </w:tcPr>
                <w:p>
                  <w:pPr>
                    <w:jc w:val="center"/>
                    <w:rPr>
                      <w:color w:val="auto"/>
                      <w:szCs w:val="21"/>
                      <w:highlight w:val="none"/>
                    </w:rPr>
                  </w:pPr>
                  <w:r>
                    <w:rPr>
                      <w:color w:val="auto"/>
                      <w:szCs w:val="21"/>
                      <w:highlight w:val="none"/>
                      <w:rtl/>
                    </w:rPr>
                    <w:t>10</w:t>
                  </w:r>
                </w:p>
              </w:tc>
              <w:tc>
                <w:tcPr>
                  <w:tcW w:w="1077" w:type="dxa"/>
                  <w:vMerge w:val="continue"/>
                  <w:vAlign w:val="center"/>
                </w:tcPr>
                <w:p>
                  <w:pPr>
                    <w:jc w:val="center"/>
                    <w:rPr>
                      <w:color w:val="auto"/>
                      <w:kern w:val="0"/>
                      <w:szCs w:val="21"/>
                      <w:highlight w:val="none"/>
                    </w:rPr>
                  </w:pPr>
                </w:p>
              </w:tc>
              <w:tc>
                <w:tcPr>
                  <w:tcW w:w="1096" w:type="dxa"/>
                  <w:vMerge w:val="continue"/>
                  <w:tcBorders>
                    <w:bottom w:val="single" w:color="auto" w:sz="4" w:space="0"/>
                  </w:tcBorders>
                  <w:vAlign w:val="center"/>
                </w:tcPr>
                <w:p>
                  <w:pPr>
                    <w:jc w:val="center"/>
                    <w:rPr>
                      <w:color w:val="auto"/>
                      <w:szCs w:val="21"/>
                      <w:highlight w:val="none"/>
                    </w:rPr>
                  </w:pPr>
                </w:p>
              </w:tc>
              <w:tc>
                <w:tcPr>
                  <w:tcW w:w="1565" w:type="dxa"/>
                  <w:vMerge w:val="continue"/>
                  <w:tcBorders>
                    <w:bottom w:val="single" w:color="auto" w:sz="4" w:space="0"/>
                  </w:tcBorders>
                  <w:vAlign w:val="center"/>
                </w:tcPr>
                <w:p>
                  <w:pPr>
                    <w:jc w:val="center"/>
                    <w:rPr>
                      <w:color w:val="auto"/>
                      <w:szCs w:val="21"/>
                      <w:highlight w:val="none"/>
                    </w:rPr>
                  </w:pPr>
                </w:p>
              </w:tc>
              <w:tc>
                <w:tcPr>
                  <w:tcW w:w="981" w:type="dxa"/>
                  <w:tcBorders>
                    <w:top w:val="single" w:color="auto" w:sz="4" w:space="0"/>
                    <w:bottom w:val="single" w:color="auto" w:sz="4" w:space="0"/>
                  </w:tcBorders>
                  <w:vAlign w:val="center"/>
                </w:tcPr>
                <w:p>
                  <w:pPr>
                    <w:jc w:val="center"/>
                    <w:rPr>
                      <w:color w:val="auto"/>
                      <w:szCs w:val="21"/>
                      <w:highlight w:val="none"/>
                    </w:rPr>
                  </w:pPr>
                  <w:r>
                    <w:rPr>
                      <w:color w:val="auto"/>
                      <w:szCs w:val="21"/>
                      <w:highlight w:val="none"/>
                    </w:rPr>
                    <w:t>0.005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20" w:hRule="atLeast"/>
              </w:trPr>
              <w:tc>
                <w:tcPr>
                  <w:tcW w:w="1033" w:type="dxa"/>
                  <w:tcBorders>
                    <w:top w:val="single" w:color="auto" w:sz="4" w:space="0"/>
                    <w:bottom w:val="single" w:color="auto" w:sz="4" w:space="0"/>
                  </w:tcBorders>
                  <w:vAlign w:val="center"/>
                </w:tcPr>
                <w:p>
                  <w:pPr>
                    <w:jc w:val="center"/>
                    <w:rPr>
                      <w:color w:val="auto"/>
                      <w:szCs w:val="21"/>
                      <w:highlight w:val="none"/>
                    </w:rPr>
                  </w:pPr>
                  <w:r>
                    <w:rPr>
                      <w:color w:val="auto"/>
                      <w:szCs w:val="21"/>
                      <w:highlight w:val="none"/>
                    </w:rPr>
                    <w:t>润滑油</w:t>
                  </w:r>
                </w:p>
              </w:tc>
              <w:tc>
                <w:tcPr>
                  <w:tcW w:w="1241" w:type="dxa"/>
                  <w:tcBorders>
                    <w:top w:val="single" w:color="auto" w:sz="4" w:space="0"/>
                    <w:bottom w:val="single" w:color="auto" w:sz="4" w:space="0"/>
                    <w:right w:val="single" w:color="auto" w:sz="4" w:space="0"/>
                  </w:tcBorders>
                  <w:vAlign w:val="center"/>
                </w:tcPr>
                <w:p>
                  <w:pPr>
                    <w:jc w:val="center"/>
                    <w:rPr>
                      <w:color w:val="auto"/>
                      <w:kern w:val="0"/>
                      <w:szCs w:val="21"/>
                      <w:highlight w:val="none"/>
                    </w:rPr>
                  </w:pPr>
                  <w:r>
                    <w:rPr>
                      <w:color w:val="auto"/>
                      <w:kern w:val="0"/>
                      <w:szCs w:val="21"/>
                      <w:highlight w:val="none"/>
                    </w:rPr>
                    <w:t>危化品仓库</w:t>
                  </w:r>
                </w:p>
              </w:tc>
              <w:tc>
                <w:tcPr>
                  <w:tcW w:w="919" w:type="dxa"/>
                  <w:tcBorders>
                    <w:top w:val="single" w:color="auto" w:sz="4" w:space="0"/>
                    <w:left w:val="single" w:color="auto" w:sz="4" w:space="0"/>
                    <w:bottom w:val="single" w:color="auto" w:sz="4" w:space="0"/>
                  </w:tcBorders>
                  <w:vAlign w:val="center"/>
                </w:tcPr>
                <w:p>
                  <w:pPr>
                    <w:jc w:val="center"/>
                    <w:rPr>
                      <w:color w:val="auto"/>
                      <w:kern w:val="0"/>
                      <w:szCs w:val="21"/>
                      <w:highlight w:val="none"/>
                    </w:rPr>
                  </w:pPr>
                  <w:r>
                    <w:rPr>
                      <w:color w:val="auto"/>
                      <w:kern w:val="0"/>
                      <w:szCs w:val="21"/>
                      <w:highlight w:val="none"/>
                    </w:rPr>
                    <w:t>0.5</w:t>
                  </w:r>
                </w:p>
              </w:tc>
              <w:tc>
                <w:tcPr>
                  <w:tcW w:w="1060" w:type="dxa"/>
                  <w:tcBorders>
                    <w:top w:val="single" w:color="auto" w:sz="4" w:space="0"/>
                    <w:bottom w:val="single" w:color="auto" w:sz="4" w:space="0"/>
                  </w:tcBorders>
                  <w:vAlign w:val="center"/>
                </w:tcPr>
                <w:p>
                  <w:pPr>
                    <w:jc w:val="center"/>
                    <w:rPr>
                      <w:color w:val="auto"/>
                      <w:szCs w:val="21"/>
                      <w:highlight w:val="none"/>
                      <w:rtl/>
                    </w:rPr>
                  </w:pPr>
                  <w:r>
                    <w:rPr>
                      <w:color w:val="auto"/>
                      <w:szCs w:val="21"/>
                      <w:highlight w:val="none"/>
                    </w:rPr>
                    <w:t>2500</w:t>
                  </w:r>
                </w:p>
              </w:tc>
              <w:tc>
                <w:tcPr>
                  <w:tcW w:w="1077" w:type="dxa"/>
                  <w:vMerge w:val="continue"/>
                  <w:vAlign w:val="center"/>
                </w:tcPr>
                <w:p>
                  <w:pPr>
                    <w:jc w:val="center"/>
                    <w:rPr>
                      <w:color w:val="auto"/>
                      <w:kern w:val="0"/>
                      <w:szCs w:val="21"/>
                      <w:highlight w:val="none"/>
                    </w:rPr>
                  </w:pPr>
                </w:p>
              </w:tc>
              <w:tc>
                <w:tcPr>
                  <w:tcW w:w="1096" w:type="dxa"/>
                  <w:tcBorders>
                    <w:top w:val="single" w:color="auto" w:sz="4" w:space="0"/>
                    <w:bottom w:val="single" w:color="auto" w:sz="4" w:space="0"/>
                  </w:tcBorders>
                  <w:vAlign w:val="center"/>
                </w:tcPr>
                <w:p>
                  <w:pPr>
                    <w:jc w:val="center"/>
                    <w:rPr>
                      <w:color w:val="auto"/>
                      <w:szCs w:val="21"/>
                      <w:highlight w:val="none"/>
                    </w:rPr>
                  </w:pPr>
                  <w:r>
                    <w:rPr>
                      <w:rFonts w:hint="eastAsia" w:ascii="宋体" w:hAnsi="宋体" w:cs="宋体"/>
                      <w:color w:val="auto"/>
                      <w:szCs w:val="21"/>
                      <w:highlight w:val="none"/>
                      <w:rtl/>
                    </w:rPr>
                    <w:t>装桶</w:t>
                  </w:r>
                </w:p>
              </w:tc>
              <w:tc>
                <w:tcPr>
                  <w:tcW w:w="1565" w:type="dxa"/>
                  <w:tcBorders>
                    <w:top w:val="single" w:color="auto" w:sz="4" w:space="0"/>
                    <w:bottom w:val="single" w:color="auto" w:sz="4" w:space="0"/>
                  </w:tcBorders>
                  <w:vAlign w:val="center"/>
                </w:tcPr>
                <w:p>
                  <w:pPr>
                    <w:jc w:val="center"/>
                    <w:rPr>
                      <w:color w:val="auto"/>
                      <w:szCs w:val="21"/>
                      <w:highlight w:val="none"/>
                    </w:rPr>
                  </w:pPr>
                  <w:r>
                    <w:rPr>
                      <w:rFonts w:hint="eastAsia" w:ascii="宋体" w:hAnsi="宋体" w:cs="宋体"/>
                      <w:color w:val="auto"/>
                      <w:szCs w:val="21"/>
                      <w:highlight w:val="none"/>
                      <w:rtl/>
                    </w:rPr>
                    <w:t>装桶</w:t>
                  </w:r>
                </w:p>
              </w:tc>
              <w:tc>
                <w:tcPr>
                  <w:tcW w:w="981" w:type="dxa"/>
                  <w:tcBorders>
                    <w:top w:val="single" w:color="auto" w:sz="4" w:space="0"/>
                    <w:bottom w:val="single" w:color="auto" w:sz="4" w:space="0"/>
                  </w:tcBorders>
                  <w:vAlign w:val="center"/>
                </w:tcPr>
                <w:p>
                  <w:pPr>
                    <w:jc w:val="center"/>
                    <w:rPr>
                      <w:color w:val="auto"/>
                      <w:szCs w:val="21"/>
                      <w:highlight w:val="none"/>
                    </w:rPr>
                  </w:pPr>
                  <w:r>
                    <w:rPr>
                      <w:rFonts w:hint="eastAsia"/>
                      <w:color w:val="auto"/>
                      <w:szCs w:val="21"/>
                      <w:highlight w:val="none"/>
                    </w:rPr>
                    <w:t>0.0002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20" w:hRule="atLeast"/>
              </w:trPr>
              <w:tc>
                <w:tcPr>
                  <w:tcW w:w="1033" w:type="dxa"/>
                  <w:tcBorders>
                    <w:top w:val="single" w:color="auto" w:sz="4" w:space="0"/>
                    <w:bottom w:val="single" w:color="auto" w:sz="4" w:space="0"/>
                  </w:tcBorders>
                  <w:vAlign w:val="center"/>
                </w:tcPr>
                <w:p>
                  <w:pPr>
                    <w:jc w:val="center"/>
                    <w:rPr>
                      <w:color w:val="auto"/>
                      <w:szCs w:val="21"/>
                      <w:highlight w:val="none"/>
                    </w:rPr>
                  </w:pPr>
                  <w:r>
                    <w:rPr>
                      <w:rFonts w:hint="eastAsia" w:ascii="宋体" w:hAnsi="宋体" w:cs="宋体"/>
                      <w:color w:val="auto"/>
                      <w:szCs w:val="21"/>
                      <w:highlight w:val="none"/>
                      <w:rtl/>
                    </w:rPr>
                    <w:t>危废</w:t>
                  </w:r>
                </w:p>
              </w:tc>
              <w:tc>
                <w:tcPr>
                  <w:tcW w:w="1241" w:type="dxa"/>
                  <w:tcBorders>
                    <w:top w:val="single" w:color="auto" w:sz="4" w:space="0"/>
                    <w:bottom w:val="single" w:color="auto" w:sz="4" w:space="0"/>
                    <w:right w:val="single" w:color="auto" w:sz="4" w:space="0"/>
                  </w:tcBorders>
                  <w:vAlign w:val="center"/>
                </w:tcPr>
                <w:p>
                  <w:pPr>
                    <w:jc w:val="center"/>
                    <w:rPr>
                      <w:color w:val="auto"/>
                      <w:kern w:val="0"/>
                      <w:szCs w:val="21"/>
                      <w:highlight w:val="none"/>
                    </w:rPr>
                  </w:pPr>
                  <w:r>
                    <w:rPr>
                      <w:color w:val="auto"/>
                      <w:kern w:val="0"/>
                      <w:szCs w:val="21"/>
                      <w:highlight w:val="none"/>
                    </w:rPr>
                    <w:t>危废库</w:t>
                  </w:r>
                </w:p>
              </w:tc>
              <w:tc>
                <w:tcPr>
                  <w:tcW w:w="919" w:type="dxa"/>
                  <w:tcBorders>
                    <w:top w:val="single" w:color="auto" w:sz="4" w:space="0"/>
                    <w:left w:val="single" w:color="auto" w:sz="4" w:space="0"/>
                    <w:bottom w:val="single" w:color="auto" w:sz="4" w:space="0"/>
                  </w:tcBorders>
                  <w:vAlign w:val="center"/>
                </w:tcPr>
                <w:p>
                  <w:pPr>
                    <w:jc w:val="center"/>
                    <w:rPr>
                      <w:color w:val="auto"/>
                      <w:kern w:val="0"/>
                      <w:szCs w:val="21"/>
                      <w:highlight w:val="none"/>
                    </w:rPr>
                  </w:pPr>
                  <w:r>
                    <w:rPr>
                      <w:color w:val="auto"/>
                      <w:kern w:val="0"/>
                      <w:szCs w:val="21"/>
                      <w:highlight w:val="none"/>
                    </w:rPr>
                    <w:t>1.35</w:t>
                  </w:r>
                </w:p>
              </w:tc>
              <w:tc>
                <w:tcPr>
                  <w:tcW w:w="1060" w:type="dxa"/>
                  <w:tcBorders>
                    <w:top w:val="single" w:color="auto" w:sz="4" w:space="0"/>
                    <w:bottom w:val="single" w:color="auto" w:sz="4" w:space="0"/>
                  </w:tcBorders>
                  <w:vAlign w:val="center"/>
                </w:tcPr>
                <w:p>
                  <w:pPr>
                    <w:jc w:val="center"/>
                    <w:rPr>
                      <w:color w:val="auto"/>
                      <w:szCs w:val="21"/>
                      <w:highlight w:val="none"/>
                    </w:rPr>
                  </w:pPr>
                  <w:r>
                    <w:rPr>
                      <w:color w:val="auto"/>
                      <w:szCs w:val="21"/>
                      <w:highlight w:val="none"/>
                      <w:rtl/>
                    </w:rPr>
                    <w:t>10</w:t>
                  </w:r>
                </w:p>
              </w:tc>
              <w:tc>
                <w:tcPr>
                  <w:tcW w:w="1077" w:type="dxa"/>
                  <w:vMerge w:val="continue"/>
                  <w:tcBorders>
                    <w:bottom w:val="single" w:color="auto" w:sz="4" w:space="0"/>
                  </w:tcBorders>
                  <w:vAlign w:val="center"/>
                </w:tcPr>
                <w:p>
                  <w:pPr>
                    <w:jc w:val="center"/>
                    <w:rPr>
                      <w:color w:val="auto"/>
                      <w:kern w:val="0"/>
                      <w:szCs w:val="21"/>
                      <w:highlight w:val="none"/>
                    </w:rPr>
                  </w:pPr>
                </w:p>
              </w:tc>
              <w:tc>
                <w:tcPr>
                  <w:tcW w:w="1096" w:type="dxa"/>
                  <w:tcBorders>
                    <w:top w:val="single" w:color="auto" w:sz="4" w:space="0"/>
                    <w:bottom w:val="single" w:color="auto" w:sz="4" w:space="0"/>
                  </w:tcBorders>
                  <w:vAlign w:val="center"/>
                </w:tcPr>
                <w:p>
                  <w:pPr>
                    <w:jc w:val="center"/>
                    <w:rPr>
                      <w:color w:val="auto"/>
                      <w:szCs w:val="21"/>
                      <w:highlight w:val="none"/>
                    </w:rPr>
                  </w:pPr>
                  <w:r>
                    <w:rPr>
                      <w:rFonts w:hint="eastAsia" w:ascii="宋体" w:hAnsi="宋体" w:cs="宋体"/>
                      <w:color w:val="auto"/>
                      <w:szCs w:val="21"/>
                      <w:highlight w:val="none"/>
                      <w:rtl/>
                    </w:rPr>
                    <w:t>装桶</w:t>
                  </w:r>
                </w:p>
              </w:tc>
              <w:tc>
                <w:tcPr>
                  <w:tcW w:w="1565" w:type="dxa"/>
                  <w:tcBorders>
                    <w:top w:val="single" w:color="auto" w:sz="4" w:space="0"/>
                    <w:bottom w:val="single" w:color="auto" w:sz="4" w:space="0"/>
                  </w:tcBorders>
                  <w:vAlign w:val="center"/>
                </w:tcPr>
                <w:p>
                  <w:pPr>
                    <w:jc w:val="center"/>
                    <w:rPr>
                      <w:color w:val="auto"/>
                      <w:szCs w:val="21"/>
                      <w:highlight w:val="none"/>
                    </w:rPr>
                  </w:pPr>
                  <w:r>
                    <w:rPr>
                      <w:color w:val="auto"/>
                      <w:szCs w:val="21"/>
                      <w:highlight w:val="none"/>
                    </w:rPr>
                    <w:t>危废库</w:t>
                  </w:r>
                </w:p>
              </w:tc>
              <w:tc>
                <w:tcPr>
                  <w:tcW w:w="981" w:type="dxa"/>
                  <w:tcBorders>
                    <w:top w:val="single" w:color="auto" w:sz="4" w:space="0"/>
                    <w:bottom w:val="single" w:color="auto" w:sz="4" w:space="0"/>
                  </w:tcBorders>
                  <w:vAlign w:val="center"/>
                </w:tcPr>
                <w:p>
                  <w:pPr>
                    <w:jc w:val="center"/>
                    <w:rPr>
                      <w:color w:val="auto"/>
                      <w:szCs w:val="21"/>
                      <w:highlight w:val="none"/>
                    </w:rPr>
                  </w:pPr>
                  <w:r>
                    <w:rPr>
                      <w:color w:val="auto"/>
                      <w:szCs w:val="21"/>
                      <w:highlight w:val="none"/>
                    </w:rPr>
                    <w:t>0.135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20" w:hRule="atLeast"/>
              </w:trPr>
              <w:tc>
                <w:tcPr>
                  <w:tcW w:w="7991" w:type="dxa"/>
                  <w:gridSpan w:val="7"/>
                  <w:tcBorders>
                    <w:top w:val="single" w:color="auto" w:sz="4" w:space="0"/>
                  </w:tcBorders>
                  <w:vAlign w:val="center"/>
                </w:tcPr>
                <w:p>
                  <w:pPr>
                    <w:jc w:val="center"/>
                    <w:rPr>
                      <w:color w:val="auto"/>
                      <w:szCs w:val="21"/>
                      <w:highlight w:val="none"/>
                    </w:rPr>
                  </w:pPr>
                  <w:r>
                    <w:rPr>
                      <w:color w:val="auto"/>
                      <w:szCs w:val="21"/>
                      <w:highlight w:val="none"/>
                    </w:rPr>
                    <w:t>合计</w:t>
                  </w:r>
                </w:p>
              </w:tc>
              <w:tc>
                <w:tcPr>
                  <w:tcW w:w="981" w:type="dxa"/>
                  <w:tcBorders>
                    <w:top w:val="single" w:color="auto" w:sz="4" w:space="0"/>
                  </w:tcBorders>
                  <w:vAlign w:val="center"/>
                </w:tcPr>
                <w:p>
                  <w:pPr>
                    <w:jc w:val="center"/>
                    <w:rPr>
                      <w:color w:val="auto"/>
                      <w:szCs w:val="21"/>
                      <w:highlight w:val="none"/>
                    </w:rPr>
                  </w:pPr>
                  <w:r>
                    <w:rPr>
                      <w:color w:val="auto"/>
                      <w:szCs w:val="21"/>
                      <w:highlight w:val="none"/>
                    </w:rPr>
                    <w:t>0.</w:t>
                  </w:r>
                  <w:r>
                    <w:rPr>
                      <w:rFonts w:hint="eastAsia"/>
                      <w:color w:val="auto"/>
                      <w:szCs w:val="21"/>
                      <w:highlight w:val="none"/>
                    </w:rPr>
                    <w:t>1517</w:t>
                  </w:r>
                </w:p>
              </w:tc>
            </w:tr>
          </w:tbl>
          <w:p>
            <w:pPr>
              <w:pStyle w:val="3"/>
              <w:spacing w:beforeLines="50" w:line="360" w:lineRule="auto"/>
              <w:ind w:firstLine="480" w:firstLineChars="200"/>
              <w:jc w:val="both"/>
              <w:rPr>
                <w:color w:val="auto"/>
                <w:sz w:val="24"/>
                <w:szCs w:val="24"/>
                <w:highlight w:val="none"/>
              </w:rPr>
            </w:pPr>
            <w:r>
              <w:rPr>
                <w:color w:val="auto"/>
                <w:sz w:val="24"/>
                <w:szCs w:val="24"/>
                <w:highlight w:val="none"/>
              </w:rPr>
              <w:t>计算所涉及的每种危险物质在厂界内的最大存在总量与其对应临界量的比值Q。当只涉及一种危险物质时，计算该物质的总量与其临界量比值，即为Q；当存在多种危险物质时，则按公式计算物质总量与其临界量比值（Q）：</w:t>
            </w:r>
          </w:p>
          <w:p>
            <w:pPr>
              <w:jc w:val="center"/>
              <w:rPr>
                <w:color w:val="auto"/>
                <w:highlight w:val="none"/>
              </w:rPr>
            </w:pPr>
            <w:r>
              <w:rPr>
                <w:color w:val="auto"/>
                <w:highlight w:val="none"/>
              </w:rPr>
              <w:drawing>
                <wp:inline distT="0" distB="0" distL="0" distR="0">
                  <wp:extent cx="1507490" cy="435610"/>
                  <wp:effectExtent l="19050" t="0" r="0" b="0"/>
                  <wp:docPr id="1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
                          <pic:cNvPicPr>
                            <a:picLocks noChangeAspect="1" noChangeArrowheads="1"/>
                          </pic:cNvPicPr>
                        </pic:nvPicPr>
                        <pic:blipFill>
                          <a:blip r:embed="rId21"/>
                          <a:srcRect/>
                          <a:stretch>
                            <a:fillRect/>
                          </a:stretch>
                        </pic:blipFill>
                        <pic:spPr>
                          <a:xfrm>
                            <a:off x="0" y="0"/>
                            <a:ext cx="1507490" cy="435610"/>
                          </a:xfrm>
                          <a:prstGeom prst="rect">
                            <a:avLst/>
                          </a:prstGeom>
                          <a:noFill/>
                          <a:ln w="9525">
                            <a:noFill/>
                            <a:miter lim="800000"/>
                            <a:headEnd/>
                            <a:tailEnd/>
                          </a:ln>
                        </pic:spPr>
                      </pic:pic>
                    </a:graphicData>
                  </a:graphic>
                </wp:inline>
              </w:drawing>
            </w:r>
          </w:p>
          <w:p>
            <w:pPr>
              <w:pStyle w:val="3"/>
              <w:spacing w:line="360" w:lineRule="auto"/>
              <w:ind w:firstLine="480" w:firstLineChars="200"/>
              <w:jc w:val="both"/>
              <w:rPr>
                <w:color w:val="auto"/>
                <w:sz w:val="24"/>
                <w:szCs w:val="24"/>
                <w:highlight w:val="none"/>
              </w:rPr>
            </w:pPr>
            <w:r>
              <w:rPr>
                <w:color w:val="auto"/>
                <w:sz w:val="24"/>
                <w:szCs w:val="24"/>
                <w:highlight w:val="none"/>
              </w:rPr>
              <w:t>式中：q1，q2，...，qn——每种危险物质的最大存在总量，t；</w:t>
            </w:r>
          </w:p>
          <w:p>
            <w:pPr>
              <w:pStyle w:val="3"/>
              <w:spacing w:line="360" w:lineRule="auto"/>
              <w:ind w:firstLine="480" w:firstLineChars="200"/>
              <w:jc w:val="both"/>
              <w:rPr>
                <w:color w:val="auto"/>
                <w:sz w:val="24"/>
                <w:szCs w:val="24"/>
                <w:highlight w:val="none"/>
              </w:rPr>
            </w:pPr>
            <w:r>
              <w:rPr>
                <w:color w:val="auto"/>
                <w:sz w:val="24"/>
                <w:szCs w:val="24"/>
                <w:highlight w:val="none"/>
              </w:rPr>
              <w:t>Q1,Q2,...,Qn——每种危险物质的临界量，t。</w:t>
            </w:r>
          </w:p>
          <w:p>
            <w:pPr>
              <w:pStyle w:val="3"/>
              <w:spacing w:line="360" w:lineRule="auto"/>
              <w:ind w:firstLine="480" w:firstLineChars="200"/>
              <w:jc w:val="both"/>
              <w:rPr>
                <w:color w:val="auto"/>
                <w:sz w:val="24"/>
                <w:szCs w:val="24"/>
                <w:highlight w:val="none"/>
              </w:rPr>
            </w:pPr>
            <w:r>
              <w:rPr>
                <w:color w:val="auto"/>
                <w:sz w:val="24"/>
                <w:szCs w:val="24"/>
                <w:highlight w:val="none"/>
              </w:rPr>
              <w:t>当Q＜1时，该项目环境风险潜势为</w:t>
            </w:r>
            <w:r>
              <w:rPr>
                <w:rFonts w:hint="eastAsia" w:ascii="宋体" w:hAnsi="宋体" w:cs="宋体"/>
                <w:color w:val="auto"/>
                <w:sz w:val="24"/>
                <w:szCs w:val="24"/>
                <w:highlight w:val="none"/>
              </w:rPr>
              <w:t>Ⅰ</w:t>
            </w:r>
            <w:r>
              <w:rPr>
                <w:color w:val="auto"/>
                <w:sz w:val="24"/>
                <w:szCs w:val="24"/>
                <w:highlight w:val="none"/>
              </w:rPr>
              <w:t>。</w:t>
            </w:r>
          </w:p>
          <w:p>
            <w:pPr>
              <w:pStyle w:val="3"/>
              <w:spacing w:line="360" w:lineRule="auto"/>
              <w:ind w:firstLine="480" w:firstLineChars="200"/>
              <w:jc w:val="both"/>
              <w:rPr>
                <w:color w:val="auto"/>
                <w:sz w:val="24"/>
                <w:szCs w:val="24"/>
                <w:highlight w:val="none"/>
              </w:rPr>
            </w:pPr>
            <w:r>
              <w:rPr>
                <w:color w:val="auto"/>
                <w:sz w:val="24"/>
                <w:szCs w:val="24"/>
                <w:highlight w:val="none"/>
              </w:rPr>
              <w:t>当Q≥1时，将Q值划分为：（1）1≤Q＜10；（2）10≤Q＜100；（3）Q≥100。</w:t>
            </w:r>
          </w:p>
          <w:p>
            <w:pPr>
              <w:pStyle w:val="3"/>
              <w:spacing w:line="360" w:lineRule="auto"/>
              <w:ind w:firstLine="480" w:firstLineChars="200"/>
              <w:jc w:val="both"/>
              <w:rPr>
                <w:color w:val="auto"/>
                <w:sz w:val="24"/>
                <w:szCs w:val="24"/>
                <w:highlight w:val="none"/>
              </w:rPr>
            </w:pPr>
            <w:r>
              <w:rPr>
                <w:color w:val="auto"/>
                <w:sz w:val="24"/>
                <w:szCs w:val="24"/>
                <w:highlight w:val="none"/>
              </w:rPr>
              <w:t>上式计算结果可知：本企业Q=0.1</w:t>
            </w:r>
            <w:r>
              <w:rPr>
                <w:rFonts w:hint="eastAsia"/>
                <w:color w:val="auto"/>
                <w:sz w:val="24"/>
                <w:szCs w:val="24"/>
                <w:highlight w:val="none"/>
              </w:rPr>
              <w:t>517</w:t>
            </w:r>
            <w:r>
              <w:rPr>
                <w:color w:val="auto"/>
                <w:sz w:val="24"/>
                <w:szCs w:val="24"/>
                <w:highlight w:val="none"/>
              </w:rPr>
              <w:t>&lt;1，确定本项目环境风险潜势为I，根据《建设项目环境风险评价技术导则》（HJ169-2018）附录C.1.1中的规定，当项目危险物质数量与临界量比Q＜1时，则项目环境风险潜势为I，无需进行环境风险评价专项分析。</w:t>
            </w:r>
          </w:p>
          <w:p>
            <w:pPr>
              <w:pStyle w:val="3"/>
              <w:spacing w:line="360" w:lineRule="auto"/>
              <w:ind w:firstLine="482" w:firstLineChars="200"/>
              <w:jc w:val="left"/>
              <w:rPr>
                <w:b/>
                <w:color w:val="auto"/>
                <w:sz w:val="24"/>
                <w:szCs w:val="24"/>
                <w:highlight w:val="none"/>
              </w:rPr>
            </w:pPr>
            <w:r>
              <w:rPr>
                <w:b/>
                <w:color w:val="auto"/>
                <w:sz w:val="24"/>
                <w:szCs w:val="24"/>
                <w:highlight w:val="none"/>
              </w:rPr>
              <w:t>（2）环境风险分析</w:t>
            </w:r>
          </w:p>
          <w:p>
            <w:pPr>
              <w:pStyle w:val="3"/>
              <w:spacing w:line="360" w:lineRule="auto"/>
              <w:ind w:firstLine="480" w:firstLineChars="200"/>
              <w:jc w:val="both"/>
              <w:rPr>
                <w:color w:val="auto"/>
                <w:sz w:val="24"/>
                <w:szCs w:val="24"/>
                <w:highlight w:val="none"/>
              </w:rPr>
            </w:pPr>
            <w:r>
              <w:rPr>
                <w:color w:val="auto"/>
                <w:sz w:val="24"/>
                <w:szCs w:val="24"/>
                <w:highlight w:val="none"/>
              </w:rPr>
              <w:t>原辅料在储存、使用与危险废物转运及储存过程中，泄漏遇明火发生火灾、爆炸事故，可能引发次生环境事故，消防尾水进入雨水管网有污染周边水体的环境风险，泄漏物挥发污染大气环境，原辅料中无水乙醇、盐酸、丙酮、液化石油气、十氟戊烷及危险清洗废液等需加强监管并采取严格防范措施。</w:t>
            </w:r>
          </w:p>
          <w:p>
            <w:pPr>
              <w:pStyle w:val="3"/>
              <w:spacing w:line="360" w:lineRule="auto"/>
              <w:ind w:left="482"/>
              <w:jc w:val="left"/>
              <w:rPr>
                <w:b/>
                <w:color w:val="auto"/>
                <w:sz w:val="24"/>
                <w:szCs w:val="24"/>
                <w:highlight w:val="none"/>
              </w:rPr>
            </w:pPr>
            <w:r>
              <w:rPr>
                <w:b/>
                <w:color w:val="auto"/>
                <w:sz w:val="24"/>
                <w:szCs w:val="24"/>
                <w:highlight w:val="none"/>
              </w:rPr>
              <w:t>（3）环境风险防范措施及要求</w:t>
            </w:r>
          </w:p>
          <w:p>
            <w:pPr>
              <w:pStyle w:val="3"/>
              <w:spacing w:line="360" w:lineRule="auto"/>
              <w:ind w:firstLine="482" w:firstLineChars="200"/>
              <w:jc w:val="left"/>
              <w:rPr>
                <w:b/>
                <w:color w:val="auto"/>
                <w:sz w:val="24"/>
                <w:szCs w:val="24"/>
                <w:highlight w:val="none"/>
              </w:rPr>
            </w:pPr>
            <w:r>
              <w:rPr>
                <w:b/>
                <w:color w:val="auto"/>
                <w:sz w:val="24"/>
                <w:szCs w:val="24"/>
                <w:highlight w:val="none"/>
              </w:rPr>
              <w:fldChar w:fldCharType="begin"/>
            </w:r>
            <w:r>
              <w:rPr>
                <w:b/>
                <w:color w:val="auto"/>
                <w:sz w:val="24"/>
                <w:szCs w:val="24"/>
                <w:highlight w:val="none"/>
              </w:rPr>
              <w:instrText xml:space="preserve"> = 1 \* GB3 </w:instrText>
            </w:r>
            <w:r>
              <w:rPr>
                <w:b/>
                <w:color w:val="auto"/>
                <w:sz w:val="24"/>
                <w:szCs w:val="24"/>
                <w:highlight w:val="none"/>
              </w:rPr>
              <w:fldChar w:fldCharType="separate"/>
            </w:r>
            <w:r>
              <w:rPr>
                <w:rFonts w:hint="eastAsia" w:ascii="宋体" w:hAnsi="宋体" w:cs="宋体"/>
                <w:b/>
                <w:color w:val="auto"/>
                <w:sz w:val="24"/>
                <w:szCs w:val="24"/>
                <w:highlight w:val="none"/>
              </w:rPr>
              <w:t>①</w:t>
            </w:r>
            <w:r>
              <w:rPr>
                <w:b/>
                <w:color w:val="auto"/>
                <w:sz w:val="24"/>
                <w:szCs w:val="24"/>
                <w:highlight w:val="none"/>
              </w:rPr>
              <w:fldChar w:fldCharType="end"/>
            </w:r>
            <w:r>
              <w:rPr>
                <w:b/>
                <w:color w:val="auto"/>
                <w:sz w:val="24"/>
                <w:szCs w:val="24"/>
                <w:highlight w:val="none"/>
              </w:rPr>
              <w:t>贮运工程风险防范措施：</w:t>
            </w:r>
          </w:p>
          <w:p>
            <w:pPr>
              <w:pStyle w:val="3"/>
              <w:spacing w:line="360" w:lineRule="auto"/>
              <w:ind w:firstLine="480" w:firstLineChars="200"/>
              <w:jc w:val="left"/>
              <w:rPr>
                <w:color w:val="auto"/>
                <w:sz w:val="24"/>
                <w:szCs w:val="24"/>
                <w:highlight w:val="none"/>
              </w:rPr>
            </w:pPr>
            <w:r>
              <w:rPr>
                <w:color w:val="auto"/>
                <w:sz w:val="24"/>
                <w:szCs w:val="24"/>
                <w:highlight w:val="none"/>
              </w:rPr>
              <w:t>危化品严格按规定储存和使用，原辅料不得露天堆放，储存于阴凉通风的仓库中，远离火种、热源，防止阳光直射。搬运时轻装轻卸，划定禁火区，</w:t>
            </w:r>
            <w:r>
              <w:rPr>
                <w:rFonts w:hint="eastAsia"/>
                <w:color w:val="auto"/>
                <w:sz w:val="24"/>
                <w:szCs w:val="24"/>
                <w:highlight w:val="none"/>
              </w:rPr>
              <w:t>库内物质分类存放，</w:t>
            </w:r>
            <w:r>
              <w:rPr>
                <w:color w:val="auto"/>
                <w:sz w:val="24"/>
                <w:szCs w:val="24"/>
                <w:highlight w:val="none"/>
              </w:rPr>
              <w:t>在明显地点设有警示标志，输配电线、灯具、火灾事故照明和疏散指示标志均应符合安全要求。</w:t>
            </w:r>
          </w:p>
          <w:p>
            <w:pPr>
              <w:pStyle w:val="3"/>
              <w:spacing w:line="360" w:lineRule="auto"/>
              <w:ind w:firstLine="480" w:firstLineChars="200"/>
              <w:jc w:val="left"/>
              <w:rPr>
                <w:color w:val="auto"/>
                <w:sz w:val="24"/>
                <w:szCs w:val="24"/>
                <w:highlight w:val="none"/>
              </w:rPr>
            </w:pPr>
            <w:r>
              <w:rPr>
                <w:rFonts w:hint="eastAsia"/>
                <w:color w:val="auto"/>
                <w:sz w:val="24"/>
                <w:szCs w:val="24"/>
                <w:highlight w:val="none"/>
              </w:rPr>
              <w:t>尽可能减少危险品储存量和储存周期。物料储存应符合《常用化学危险品贮存通则》、《易燃易爆性商品储藏养护技术条件》。</w:t>
            </w:r>
          </w:p>
          <w:p>
            <w:pPr>
              <w:pStyle w:val="3"/>
              <w:spacing w:line="360" w:lineRule="auto"/>
              <w:ind w:firstLine="480" w:firstLineChars="200"/>
              <w:jc w:val="left"/>
              <w:rPr>
                <w:color w:val="auto"/>
                <w:sz w:val="24"/>
                <w:szCs w:val="24"/>
                <w:highlight w:val="none"/>
              </w:rPr>
            </w:pPr>
            <w:r>
              <w:rPr>
                <w:rFonts w:hint="eastAsia"/>
                <w:color w:val="auto"/>
                <w:sz w:val="24"/>
                <w:szCs w:val="24"/>
                <w:highlight w:val="none"/>
              </w:rPr>
              <w:t>厂内配备专业技术人员负责管理，同时配备必要的个人防护用品，化学品储存场所等应设立检查制度；化学物料输送管道应安装切断阀、流量检测或检漏设备。</w:t>
            </w:r>
          </w:p>
          <w:p>
            <w:pPr>
              <w:spacing w:line="360" w:lineRule="auto"/>
              <w:ind w:firstLine="482" w:firstLineChars="200"/>
              <w:rPr>
                <w:color w:val="auto"/>
                <w:sz w:val="24"/>
                <w:highlight w:val="none"/>
              </w:rPr>
            </w:pPr>
            <w:r>
              <w:rPr>
                <w:b/>
                <w:color w:val="auto"/>
                <w:sz w:val="24"/>
                <w:highlight w:val="none"/>
              </w:rPr>
              <w:fldChar w:fldCharType="begin"/>
            </w:r>
            <w:r>
              <w:rPr>
                <w:b/>
                <w:color w:val="auto"/>
                <w:sz w:val="24"/>
                <w:highlight w:val="none"/>
              </w:rPr>
              <w:instrText xml:space="preserve"> = 2 \* GB3 </w:instrText>
            </w:r>
            <w:r>
              <w:rPr>
                <w:b/>
                <w:color w:val="auto"/>
                <w:sz w:val="24"/>
                <w:highlight w:val="none"/>
              </w:rPr>
              <w:fldChar w:fldCharType="separate"/>
            </w:r>
            <w:r>
              <w:rPr>
                <w:rFonts w:hint="eastAsia" w:ascii="宋体" w:hAnsi="宋体" w:cs="宋体"/>
                <w:b/>
                <w:color w:val="auto"/>
                <w:sz w:val="24"/>
                <w:highlight w:val="none"/>
              </w:rPr>
              <w:t>②</w:t>
            </w:r>
            <w:r>
              <w:rPr>
                <w:b/>
                <w:color w:val="auto"/>
                <w:sz w:val="24"/>
                <w:highlight w:val="none"/>
              </w:rPr>
              <w:fldChar w:fldCharType="end"/>
            </w:r>
            <w:r>
              <w:rPr>
                <w:b/>
                <w:color w:val="auto"/>
                <w:sz w:val="24"/>
                <w:highlight w:val="none"/>
              </w:rPr>
              <w:t>危废库防范措施</w:t>
            </w:r>
          </w:p>
          <w:p>
            <w:pPr>
              <w:spacing w:line="360" w:lineRule="auto"/>
              <w:ind w:firstLine="480" w:firstLineChars="200"/>
              <w:rPr>
                <w:color w:val="auto"/>
                <w:sz w:val="24"/>
                <w:highlight w:val="none"/>
              </w:rPr>
            </w:pPr>
            <w:r>
              <w:rPr>
                <w:rFonts w:hint="eastAsia"/>
                <w:color w:val="auto"/>
                <w:sz w:val="24"/>
                <w:highlight w:val="none"/>
              </w:rPr>
              <w:t>a</w:t>
            </w:r>
            <w:r>
              <w:rPr>
                <w:color w:val="auto"/>
                <w:sz w:val="24"/>
                <w:highlight w:val="none"/>
              </w:rPr>
              <w:t>严格执行《危险废物贮存污染控制标准》（GB18597-2001）（2013年修订）、《环境保护图形标志固体废物贮存（处置）场》（GB15562.2-1995）和危险废物识别标识规范设置标志，配备通讯设备、照明设施和消防设施，设置气体导出口及气体净化装置。</w:t>
            </w:r>
          </w:p>
          <w:p>
            <w:pPr>
              <w:pStyle w:val="2"/>
              <w:spacing w:line="360" w:lineRule="auto"/>
              <w:ind w:firstLine="480" w:firstLineChars="200"/>
              <w:rPr>
                <w:color w:val="auto"/>
                <w:sz w:val="24"/>
                <w:szCs w:val="24"/>
                <w:highlight w:val="none"/>
              </w:rPr>
            </w:pPr>
            <w:r>
              <w:rPr>
                <w:rFonts w:hint="eastAsia"/>
                <w:color w:val="auto"/>
                <w:sz w:val="24"/>
                <w:szCs w:val="24"/>
                <w:highlight w:val="none"/>
              </w:rPr>
              <w:t>b</w:t>
            </w:r>
            <w:r>
              <w:rPr>
                <w:color w:val="auto"/>
                <w:sz w:val="24"/>
                <w:szCs w:val="24"/>
                <w:highlight w:val="none"/>
              </w:rPr>
              <w:t>、在出入口、设施内部、危险废物运输车辆通道等关键位置按照危险废物贮存设施视频监控布设要求设置视频监控，并与中控室联网。</w:t>
            </w:r>
          </w:p>
          <w:p>
            <w:pPr>
              <w:spacing w:line="360" w:lineRule="auto"/>
              <w:ind w:firstLine="480" w:firstLineChars="200"/>
              <w:rPr>
                <w:color w:val="auto"/>
                <w:sz w:val="24"/>
                <w:highlight w:val="none"/>
              </w:rPr>
            </w:pPr>
            <w:r>
              <w:rPr>
                <w:rFonts w:hint="eastAsia"/>
                <w:color w:val="auto"/>
                <w:sz w:val="24"/>
                <w:highlight w:val="none"/>
              </w:rPr>
              <w:t>c</w:t>
            </w:r>
            <w:r>
              <w:rPr>
                <w:color w:val="auto"/>
                <w:sz w:val="24"/>
                <w:highlight w:val="none"/>
              </w:rPr>
              <w:t>、根据危险废物的种类和特性进行分区、分类贮存，设置防雨、防火、防雷、防扬散、防渗漏装置及泄漏液体收集装置。</w:t>
            </w:r>
          </w:p>
          <w:p>
            <w:pPr>
              <w:pStyle w:val="3"/>
              <w:spacing w:line="360" w:lineRule="auto"/>
              <w:ind w:firstLine="480" w:firstLineChars="200"/>
              <w:jc w:val="both"/>
              <w:rPr>
                <w:color w:val="auto"/>
                <w:sz w:val="24"/>
                <w:szCs w:val="24"/>
                <w:highlight w:val="none"/>
              </w:rPr>
            </w:pPr>
            <w:r>
              <w:rPr>
                <w:rFonts w:hint="eastAsia"/>
                <w:color w:val="auto"/>
                <w:sz w:val="24"/>
                <w:szCs w:val="24"/>
                <w:highlight w:val="none"/>
              </w:rPr>
              <w:t>d</w:t>
            </w:r>
            <w:r>
              <w:rPr>
                <w:color w:val="auto"/>
                <w:sz w:val="24"/>
                <w:szCs w:val="24"/>
                <w:highlight w:val="none"/>
              </w:rPr>
              <w:t>、在常温常压下对易爆、易燃及排出有毒气体的危险废物进行预处理，使之稳定后贮存，否则按易爆、易燃危险品贮存。</w:t>
            </w:r>
          </w:p>
          <w:p>
            <w:pPr>
              <w:spacing w:line="360" w:lineRule="auto"/>
              <w:ind w:firstLine="480" w:firstLineChars="200"/>
              <w:rPr>
                <w:color w:val="auto"/>
                <w:sz w:val="24"/>
                <w:highlight w:val="none"/>
              </w:rPr>
            </w:pPr>
            <w:r>
              <w:rPr>
                <w:rFonts w:hint="eastAsia"/>
                <w:color w:val="auto"/>
                <w:sz w:val="24"/>
                <w:highlight w:val="none"/>
              </w:rPr>
              <w:t>e</w:t>
            </w:r>
            <w:r>
              <w:rPr>
                <w:color w:val="auto"/>
                <w:sz w:val="24"/>
                <w:highlight w:val="none"/>
              </w:rPr>
              <w:t>、装载液体、半固体危险废物的容器内须留足够空间，容器顶部与液体表面之间保留100毫米以上的空间。</w:t>
            </w:r>
          </w:p>
          <w:p>
            <w:pPr>
              <w:pStyle w:val="2"/>
              <w:spacing w:line="360" w:lineRule="auto"/>
              <w:ind w:firstLine="480" w:firstLineChars="200"/>
              <w:rPr>
                <w:color w:val="auto"/>
                <w:sz w:val="24"/>
                <w:szCs w:val="24"/>
                <w:highlight w:val="none"/>
              </w:rPr>
            </w:pPr>
            <w:r>
              <w:rPr>
                <w:rFonts w:hint="eastAsia"/>
                <w:color w:val="auto"/>
                <w:sz w:val="24"/>
                <w:szCs w:val="24"/>
                <w:highlight w:val="none"/>
              </w:rPr>
              <w:t>f</w:t>
            </w:r>
            <w:r>
              <w:rPr>
                <w:color w:val="auto"/>
                <w:sz w:val="24"/>
                <w:szCs w:val="24"/>
                <w:highlight w:val="none"/>
              </w:rPr>
              <w:t>、盛装危险废物的容器上必须粘贴符合本标准附录A所示的标签。本标准指《危险废物贮存污染控制标准》</w:t>
            </w:r>
          </w:p>
          <w:p>
            <w:pPr>
              <w:pStyle w:val="3"/>
              <w:spacing w:line="360" w:lineRule="auto"/>
              <w:ind w:firstLine="480" w:firstLineChars="200"/>
              <w:jc w:val="left"/>
              <w:rPr>
                <w:color w:val="auto"/>
                <w:highlight w:val="none"/>
              </w:rPr>
            </w:pPr>
            <w:r>
              <w:rPr>
                <w:rFonts w:hint="eastAsia"/>
                <w:color w:val="auto"/>
                <w:sz w:val="24"/>
                <w:szCs w:val="24"/>
                <w:highlight w:val="none"/>
              </w:rPr>
              <w:t>g</w:t>
            </w:r>
            <w:r>
              <w:rPr>
                <w:color w:val="auto"/>
                <w:sz w:val="24"/>
                <w:szCs w:val="24"/>
                <w:highlight w:val="none"/>
              </w:rPr>
              <w:t>、危险废物堆要防风、防雨、防晒。</w:t>
            </w:r>
          </w:p>
          <w:p>
            <w:pPr>
              <w:pStyle w:val="3"/>
              <w:spacing w:line="360" w:lineRule="auto"/>
              <w:ind w:firstLine="482" w:firstLineChars="200"/>
              <w:jc w:val="left"/>
              <w:rPr>
                <w:b/>
                <w:color w:val="auto"/>
                <w:sz w:val="24"/>
                <w:szCs w:val="24"/>
                <w:highlight w:val="none"/>
              </w:rPr>
            </w:pPr>
            <w:r>
              <w:rPr>
                <w:b/>
                <w:color w:val="auto"/>
                <w:sz w:val="24"/>
                <w:szCs w:val="24"/>
                <w:highlight w:val="none"/>
              </w:rPr>
              <w:fldChar w:fldCharType="begin"/>
            </w:r>
            <w:r>
              <w:rPr>
                <w:b/>
                <w:color w:val="auto"/>
                <w:sz w:val="24"/>
                <w:szCs w:val="24"/>
                <w:highlight w:val="none"/>
              </w:rPr>
              <w:instrText xml:space="preserve"> = 3 \* GB3 </w:instrText>
            </w:r>
            <w:r>
              <w:rPr>
                <w:b/>
                <w:color w:val="auto"/>
                <w:sz w:val="24"/>
                <w:szCs w:val="24"/>
                <w:highlight w:val="none"/>
              </w:rPr>
              <w:fldChar w:fldCharType="separate"/>
            </w:r>
            <w:r>
              <w:rPr>
                <w:rFonts w:hint="eastAsia" w:ascii="宋体" w:hAnsi="宋体" w:cs="宋体"/>
                <w:b/>
                <w:color w:val="auto"/>
                <w:sz w:val="24"/>
                <w:szCs w:val="24"/>
                <w:highlight w:val="none"/>
              </w:rPr>
              <w:t>③</w:t>
            </w:r>
            <w:r>
              <w:rPr>
                <w:b/>
                <w:color w:val="auto"/>
                <w:sz w:val="24"/>
                <w:szCs w:val="24"/>
                <w:highlight w:val="none"/>
              </w:rPr>
              <w:fldChar w:fldCharType="end"/>
            </w:r>
            <w:r>
              <w:rPr>
                <w:b/>
                <w:color w:val="auto"/>
                <w:sz w:val="24"/>
                <w:szCs w:val="24"/>
                <w:highlight w:val="none"/>
              </w:rPr>
              <w:t>废水/废液事故排放防范措施</w:t>
            </w:r>
          </w:p>
          <w:p>
            <w:pPr>
              <w:pStyle w:val="3"/>
              <w:spacing w:line="360" w:lineRule="auto"/>
              <w:ind w:firstLine="480" w:firstLineChars="200"/>
              <w:jc w:val="left"/>
              <w:rPr>
                <w:color w:val="auto"/>
                <w:sz w:val="24"/>
                <w:szCs w:val="24"/>
                <w:highlight w:val="none"/>
              </w:rPr>
            </w:pPr>
            <w:r>
              <w:rPr>
                <w:rFonts w:hint="eastAsia"/>
                <w:color w:val="auto"/>
                <w:sz w:val="24"/>
                <w:szCs w:val="24"/>
                <w:highlight w:val="none"/>
              </w:rPr>
              <w:t>厂区按照“雨污分流、清污分流”设置内部排水系统，设置规范化雨水排放口和污水接管口。本项目新建事故池，设置800m</w:t>
            </w:r>
            <w:r>
              <w:rPr>
                <w:rFonts w:hint="eastAsia"/>
                <w:color w:val="auto"/>
                <w:sz w:val="24"/>
                <w:szCs w:val="24"/>
                <w:highlight w:val="none"/>
                <w:vertAlign w:val="superscript"/>
              </w:rPr>
              <w:t>3</w:t>
            </w:r>
            <w:r>
              <w:rPr>
                <w:rFonts w:hint="eastAsia"/>
                <w:color w:val="auto"/>
                <w:sz w:val="24"/>
                <w:szCs w:val="24"/>
                <w:highlight w:val="none"/>
              </w:rPr>
              <w:t>厂区事故水池，</w:t>
            </w:r>
            <w:r>
              <w:rPr>
                <w:color w:val="auto"/>
                <w:sz w:val="24"/>
                <w:szCs w:val="24"/>
                <w:highlight w:val="none"/>
              </w:rPr>
              <w:t>在雨污水总排口装应急切断阀门。</w:t>
            </w:r>
          </w:p>
          <w:p>
            <w:pPr>
              <w:pStyle w:val="3"/>
              <w:spacing w:line="360" w:lineRule="auto"/>
              <w:ind w:firstLine="480" w:firstLineChars="200"/>
              <w:jc w:val="left"/>
              <w:rPr>
                <w:color w:val="auto"/>
                <w:sz w:val="24"/>
                <w:szCs w:val="24"/>
                <w:highlight w:val="none"/>
              </w:rPr>
            </w:pPr>
            <w:r>
              <w:rPr>
                <w:rFonts w:hint="eastAsia"/>
                <w:color w:val="auto"/>
                <w:sz w:val="24"/>
                <w:szCs w:val="24"/>
                <w:highlight w:val="none"/>
              </w:rPr>
              <w:t>一旦发生事故，应立即关闭雨水排放截止阀，将雨水系统废水排入事故池；同时检查厂区污水处理设施的运行情况，如事故对整个污水处理设施不造成任何影响，则立即启动事故应急监测，确保废水仍能达标排放；如果事故造成设备故障或其他问题，导致污水处理设施不能发挥正常的处理功能，则立即关闭排水总阀，废水送至事故应急池暂存，直到所有事故、故障解决、废水处理系统能力恢复、出水监控池内经检测达到排放标准后，方可打开排水总阀，进入</w:t>
            </w:r>
            <w:r>
              <w:rPr>
                <w:color w:val="auto"/>
                <w:sz w:val="24"/>
                <w:highlight w:val="none"/>
              </w:rPr>
              <w:t>江宁经济技术</w:t>
            </w:r>
            <w:r>
              <w:rPr>
                <w:rFonts w:hint="eastAsia"/>
                <w:color w:val="auto"/>
                <w:sz w:val="24"/>
                <w:szCs w:val="24"/>
                <w:highlight w:val="none"/>
              </w:rPr>
              <w:t>开发区污水处理厂。</w:t>
            </w:r>
          </w:p>
          <w:p>
            <w:pPr>
              <w:spacing w:line="360" w:lineRule="auto"/>
              <w:ind w:firstLine="482" w:firstLineChars="200"/>
              <w:rPr>
                <w:b/>
                <w:color w:val="auto"/>
                <w:sz w:val="24"/>
                <w:highlight w:val="none"/>
              </w:rPr>
            </w:pPr>
            <w:r>
              <w:rPr>
                <w:rFonts w:hint="eastAsia"/>
                <w:b/>
                <w:color w:val="auto"/>
                <w:sz w:val="24"/>
                <w:highlight w:val="none"/>
              </w:rPr>
              <w:t>事故池容积核算过程</w:t>
            </w:r>
          </w:p>
          <w:p>
            <w:pPr>
              <w:pStyle w:val="3"/>
              <w:spacing w:line="360" w:lineRule="auto"/>
              <w:ind w:firstLine="480" w:firstLineChars="200"/>
              <w:jc w:val="left"/>
              <w:rPr>
                <w:color w:val="auto"/>
                <w:sz w:val="24"/>
                <w:szCs w:val="24"/>
                <w:highlight w:val="none"/>
              </w:rPr>
            </w:pPr>
            <w:r>
              <w:rPr>
                <w:color w:val="auto"/>
                <w:sz w:val="24"/>
                <w:szCs w:val="24"/>
                <w:highlight w:val="none"/>
              </w:rPr>
              <w:t>现有项目未设置事故池，本项目“以新带老”设置事故废水收集池，在雨污水总排口装应急切断阀门，防止消防废水及泄漏物料置进入周边水体污染水环境。</w:t>
            </w:r>
          </w:p>
          <w:p>
            <w:pPr>
              <w:spacing w:line="360" w:lineRule="auto"/>
              <w:ind w:firstLine="480" w:firstLineChars="200"/>
              <w:rPr>
                <w:color w:val="auto"/>
                <w:sz w:val="24"/>
                <w:highlight w:val="none"/>
              </w:rPr>
            </w:pPr>
            <w:r>
              <w:rPr>
                <w:color w:val="auto"/>
                <w:sz w:val="24"/>
                <w:highlight w:val="none"/>
              </w:rPr>
              <w:t>项目设置有</w:t>
            </w:r>
            <w:r>
              <w:rPr>
                <w:rFonts w:hint="eastAsia"/>
                <w:color w:val="auto"/>
                <w:sz w:val="24"/>
                <w:highlight w:val="none"/>
              </w:rPr>
              <w:t>50</w:t>
            </w:r>
            <w:r>
              <w:rPr>
                <w:color w:val="auto"/>
                <w:sz w:val="24"/>
                <w:highlight w:val="none"/>
              </w:rPr>
              <w:t>0m</w:t>
            </w:r>
            <w:r>
              <w:rPr>
                <w:color w:val="auto"/>
                <w:sz w:val="24"/>
                <w:highlight w:val="none"/>
                <w:vertAlign w:val="superscript"/>
              </w:rPr>
              <w:t>3</w:t>
            </w:r>
            <w:r>
              <w:rPr>
                <w:color w:val="auto"/>
                <w:sz w:val="24"/>
                <w:highlight w:val="none"/>
              </w:rPr>
              <w:t>事故应急池，参照中石化集团印发的《水体污染防控紧急措施设计导则》（中国石化建标[2006]43号文）、《化工建设项目环境保护设计规范》（GB50483-2009）和石油天然气工程设计防火规范（GB50183-2004）进行分析计算。明确事故存储设施总有效容积的计算公式如下：</w:t>
            </w:r>
          </w:p>
          <w:p>
            <w:pPr>
              <w:spacing w:line="360" w:lineRule="auto"/>
              <w:ind w:firstLine="480" w:firstLineChars="200"/>
              <w:rPr>
                <w:color w:val="auto"/>
                <w:sz w:val="24"/>
                <w:highlight w:val="none"/>
              </w:rPr>
            </w:pPr>
            <w:r>
              <w:rPr>
                <w:color w:val="auto"/>
                <w:sz w:val="24"/>
                <w:highlight w:val="none"/>
              </w:rPr>
              <w:t>V总＝（V</w:t>
            </w:r>
            <w:r>
              <w:rPr>
                <w:color w:val="auto"/>
                <w:sz w:val="24"/>
                <w:highlight w:val="none"/>
                <w:vertAlign w:val="subscript"/>
              </w:rPr>
              <w:t>1</w:t>
            </w:r>
            <w:r>
              <w:rPr>
                <w:color w:val="auto"/>
                <w:sz w:val="24"/>
                <w:highlight w:val="none"/>
              </w:rPr>
              <w:t>＋V</w:t>
            </w:r>
            <w:r>
              <w:rPr>
                <w:color w:val="auto"/>
                <w:sz w:val="24"/>
                <w:highlight w:val="none"/>
                <w:vertAlign w:val="subscript"/>
              </w:rPr>
              <w:t>2</w:t>
            </w:r>
            <w:r>
              <w:rPr>
                <w:color w:val="auto"/>
                <w:sz w:val="24"/>
                <w:highlight w:val="none"/>
              </w:rPr>
              <w:t>－V</w:t>
            </w:r>
            <w:r>
              <w:rPr>
                <w:color w:val="auto"/>
                <w:sz w:val="24"/>
                <w:highlight w:val="none"/>
                <w:vertAlign w:val="subscript"/>
              </w:rPr>
              <w:t>3</w:t>
            </w:r>
            <w:r>
              <w:rPr>
                <w:color w:val="auto"/>
                <w:sz w:val="24"/>
                <w:highlight w:val="none"/>
              </w:rPr>
              <w:t>）max＋V</w:t>
            </w:r>
            <w:r>
              <w:rPr>
                <w:color w:val="auto"/>
                <w:sz w:val="24"/>
                <w:highlight w:val="none"/>
                <w:vertAlign w:val="subscript"/>
              </w:rPr>
              <w:t>4</w:t>
            </w:r>
            <w:r>
              <w:rPr>
                <w:color w:val="auto"/>
                <w:sz w:val="24"/>
                <w:highlight w:val="none"/>
              </w:rPr>
              <w:t>+V</w:t>
            </w:r>
            <w:r>
              <w:rPr>
                <w:color w:val="auto"/>
                <w:sz w:val="24"/>
                <w:highlight w:val="none"/>
                <w:vertAlign w:val="subscript"/>
              </w:rPr>
              <w:t>5</w:t>
            </w:r>
          </w:p>
          <w:p>
            <w:pPr>
              <w:spacing w:line="360" w:lineRule="auto"/>
              <w:ind w:firstLine="480" w:firstLineChars="200"/>
              <w:rPr>
                <w:color w:val="auto"/>
                <w:sz w:val="24"/>
                <w:highlight w:val="none"/>
              </w:rPr>
            </w:pPr>
            <w:r>
              <w:rPr>
                <w:color w:val="auto"/>
                <w:sz w:val="24"/>
                <w:highlight w:val="none"/>
              </w:rPr>
              <w:t>注：（V</w:t>
            </w:r>
            <w:r>
              <w:rPr>
                <w:color w:val="auto"/>
                <w:sz w:val="24"/>
                <w:highlight w:val="none"/>
                <w:vertAlign w:val="subscript"/>
              </w:rPr>
              <w:t>1</w:t>
            </w:r>
            <w:r>
              <w:rPr>
                <w:color w:val="auto"/>
                <w:sz w:val="24"/>
                <w:highlight w:val="none"/>
              </w:rPr>
              <w:t>＋V</w:t>
            </w:r>
            <w:r>
              <w:rPr>
                <w:color w:val="auto"/>
                <w:sz w:val="24"/>
                <w:highlight w:val="none"/>
                <w:vertAlign w:val="subscript"/>
              </w:rPr>
              <w:t>2</w:t>
            </w:r>
            <w:r>
              <w:rPr>
                <w:color w:val="auto"/>
                <w:sz w:val="24"/>
                <w:highlight w:val="none"/>
              </w:rPr>
              <w:t>-V</w:t>
            </w:r>
            <w:r>
              <w:rPr>
                <w:color w:val="auto"/>
                <w:sz w:val="24"/>
                <w:highlight w:val="none"/>
                <w:vertAlign w:val="subscript"/>
              </w:rPr>
              <w:t>3</w:t>
            </w:r>
            <w:r>
              <w:rPr>
                <w:color w:val="auto"/>
                <w:sz w:val="24"/>
                <w:highlight w:val="none"/>
              </w:rPr>
              <w:t>）max是指对收集系统范围内不同库房或装置分别计算V</w:t>
            </w:r>
            <w:r>
              <w:rPr>
                <w:color w:val="auto"/>
                <w:sz w:val="24"/>
                <w:highlight w:val="none"/>
                <w:vertAlign w:val="subscript"/>
              </w:rPr>
              <w:t>1</w:t>
            </w:r>
            <w:r>
              <w:rPr>
                <w:color w:val="auto"/>
                <w:sz w:val="24"/>
                <w:highlight w:val="none"/>
              </w:rPr>
              <w:t>＋V</w:t>
            </w:r>
            <w:r>
              <w:rPr>
                <w:color w:val="auto"/>
                <w:sz w:val="24"/>
                <w:highlight w:val="none"/>
                <w:vertAlign w:val="subscript"/>
              </w:rPr>
              <w:t>2</w:t>
            </w:r>
            <w:r>
              <w:rPr>
                <w:color w:val="auto"/>
                <w:sz w:val="24"/>
                <w:highlight w:val="none"/>
              </w:rPr>
              <w:t>－V</w:t>
            </w:r>
            <w:r>
              <w:rPr>
                <w:color w:val="auto"/>
                <w:sz w:val="24"/>
                <w:highlight w:val="none"/>
                <w:vertAlign w:val="subscript"/>
              </w:rPr>
              <w:t>3</w:t>
            </w:r>
            <w:r>
              <w:rPr>
                <w:color w:val="auto"/>
                <w:sz w:val="24"/>
                <w:highlight w:val="none"/>
              </w:rPr>
              <w:t>，取其中最大值。</w:t>
            </w:r>
          </w:p>
          <w:p>
            <w:pPr>
              <w:spacing w:line="360" w:lineRule="auto"/>
              <w:ind w:firstLine="480" w:firstLineChars="200"/>
              <w:rPr>
                <w:color w:val="auto"/>
                <w:sz w:val="24"/>
                <w:highlight w:val="none"/>
              </w:rPr>
            </w:pPr>
            <w:r>
              <w:rPr>
                <w:color w:val="auto"/>
                <w:sz w:val="24"/>
                <w:highlight w:val="none"/>
              </w:rPr>
              <w:t>V</w:t>
            </w:r>
            <w:r>
              <w:rPr>
                <w:color w:val="auto"/>
                <w:sz w:val="24"/>
                <w:highlight w:val="none"/>
                <w:vertAlign w:val="subscript"/>
              </w:rPr>
              <w:t>1</w:t>
            </w:r>
            <w:r>
              <w:rPr>
                <w:color w:val="auto"/>
                <w:sz w:val="24"/>
                <w:highlight w:val="none"/>
              </w:rPr>
              <w:t>——收集系统范围内发生事故的一个库房或一套装置的物料量。</w:t>
            </w:r>
          </w:p>
          <w:p>
            <w:pPr>
              <w:spacing w:line="360" w:lineRule="auto"/>
              <w:ind w:firstLine="480" w:firstLineChars="200"/>
              <w:rPr>
                <w:color w:val="auto"/>
                <w:sz w:val="24"/>
                <w:highlight w:val="none"/>
              </w:rPr>
            </w:pPr>
            <w:r>
              <w:rPr>
                <w:color w:val="auto"/>
                <w:sz w:val="24"/>
                <w:highlight w:val="none"/>
              </w:rPr>
              <w:t>V</w:t>
            </w:r>
            <w:r>
              <w:rPr>
                <w:color w:val="auto"/>
                <w:sz w:val="24"/>
                <w:highlight w:val="none"/>
                <w:vertAlign w:val="subscript"/>
              </w:rPr>
              <w:t>2</w:t>
            </w:r>
            <w:r>
              <w:rPr>
                <w:color w:val="auto"/>
                <w:sz w:val="24"/>
                <w:highlight w:val="none"/>
              </w:rPr>
              <w:t>——发生事故的储罐或装置的消防水量，m³；</w:t>
            </w:r>
          </w:p>
          <w:p>
            <w:pPr>
              <w:spacing w:line="360" w:lineRule="auto"/>
              <w:ind w:firstLine="480" w:firstLineChars="200"/>
              <w:rPr>
                <w:color w:val="auto"/>
                <w:sz w:val="24"/>
                <w:highlight w:val="none"/>
              </w:rPr>
            </w:pPr>
            <w:r>
              <w:rPr>
                <w:color w:val="auto"/>
                <w:sz w:val="24"/>
                <w:highlight w:val="none"/>
              </w:rPr>
              <w:t>V</w:t>
            </w:r>
            <w:r>
              <w:rPr>
                <w:color w:val="auto"/>
                <w:sz w:val="24"/>
                <w:highlight w:val="none"/>
                <w:vertAlign w:val="subscript"/>
              </w:rPr>
              <w:t>2</w:t>
            </w:r>
            <w:r>
              <w:rPr>
                <w:color w:val="auto"/>
                <w:sz w:val="24"/>
                <w:highlight w:val="none"/>
              </w:rPr>
              <w:t>=ΣQ消t消</w:t>
            </w:r>
          </w:p>
          <w:p>
            <w:pPr>
              <w:spacing w:line="360" w:lineRule="auto"/>
              <w:ind w:firstLine="480" w:firstLineChars="200"/>
              <w:rPr>
                <w:color w:val="auto"/>
                <w:sz w:val="24"/>
                <w:highlight w:val="none"/>
              </w:rPr>
            </w:pPr>
            <w:r>
              <w:rPr>
                <w:color w:val="auto"/>
                <w:sz w:val="24"/>
                <w:highlight w:val="none"/>
              </w:rPr>
              <w:t>Q消——发生事故的储罐或装置的同时使用的消防设施给水流量，m³/h；</w:t>
            </w:r>
          </w:p>
          <w:p>
            <w:pPr>
              <w:spacing w:line="360" w:lineRule="auto"/>
              <w:ind w:firstLine="480" w:firstLineChars="200"/>
              <w:rPr>
                <w:color w:val="auto"/>
                <w:sz w:val="24"/>
                <w:highlight w:val="none"/>
              </w:rPr>
            </w:pPr>
            <w:r>
              <w:rPr>
                <w:color w:val="auto"/>
                <w:sz w:val="24"/>
                <w:highlight w:val="none"/>
              </w:rPr>
              <w:t>t消——消防设施对应的设计消防历时，h，取1h；</w:t>
            </w:r>
          </w:p>
          <w:p>
            <w:pPr>
              <w:spacing w:line="360" w:lineRule="auto"/>
              <w:ind w:firstLine="480" w:firstLineChars="200"/>
              <w:rPr>
                <w:color w:val="auto"/>
                <w:sz w:val="24"/>
                <w:highlight w:val="none"/>
              </w:rPr>
            </w:pPr>
            <w:r>
              <w:rPr>
                <w:color w:val="auto"/>
                <w:sz w:val="24"/>
                <w:highlight w:val="none"/>
              </w:rPr>
              <w:t>V</w:t>
            </w:r>
            <w:r>
              <w:rPr>
                <w:color w:val="auto"/>
                <w:sz w:val="24"/>
                <w:highlight w:val="none"/>
                <w:vertAlign w:val="subscript"/>
              </w:rPr>
              <w:t>3</w:t>
            </w:r>
            <w:r>
              <w:rPr>
                <w:color w:val="auto"/>
                <w:sz w:val="24"/>
                <w:highlight w:val="none"/>
              </w:rPr>
              <w:t>——发生事故时可以转输到其他储存或处理设施的物料量，m³；</w:t>
            </w:r>
          </w:p>
          <w:p>
            <w:pPr>
              <w:spacing w:line="360" w:lineRule="auto"/>
              <w:ind w:firstLine="480" w:firstLineChars="200"/>
              <w:rPr>
                <w:color w:val="auto"/>
                <w:sz w:val="24"/>
                <w:highlight w:val="none"/>
              </w:rPr>
            </w:pPr>
            <w:r>
              <w:rPr>
                <w:color w:val="auto"/>
                <w:sz w:val="24"/>
                <w:highlight w:val="none"/>
              </w:rPr>
              <w:t>V</w:t>
            </w:r>
            <w:r>
              <w:rPr>
                <w:color w:val="auto"/>
                <w:sz w:val="24"/>
                <w:highlight w:val="none"/>
                <w:vertAlign w:val="subscript"/>
              </w:rPr>
              <w:t>4</w:t>
            </w:r>
            <w:r>
              <w:rPr>
                <w:color w:val="auto"/>
                <w:sz w:val="24"/>
                <w:highlight w:val="none"/>
              </w:rPr>
              <w:t>——发生事故时仍必须进入该收集系统的生产废水量，m³；</w:t>
            </w:r>
          </w:p>
          <w:p>
            <w:pPr>
              <w:spacing w:line="360" w:lineRule="auto"/>
              <w:ind w:firstLine="480" w:firstLineChars="200"/>
              <w:rPr>
                <w:color w:val="auto"/>
                <w:sz w:val="24"/>
                <w:highlight w:val="none"/>
              </w:rPr>
            </w:pPr>
            <w:r>
              <w:rPr>
                <w:color w:val="auto"/>
                <w:sz w:val="24"/>
                <w:highlight w:val="none"/>
              </w:rPr>
              <w:t>V</w:t>
            </w:r>
            <w:r>
              <w:rPr>
                <w:color w:val="auto"/>
                <w:sz w:val="24"/>
                <w:highlight w:val="none"/>
                <w:vertAlign w:val="subscript"/>
              </w:rPr>
              <w:t>5</w:t>
            </w:r>
            <w:r>
              <w:rPr>
                <w:color w:val="auto"/>
                <w:sz w:val="24"/>
                <w:highlight w:val="none"/>
              </w:rPr>
              <w:t>——发生事故时可能进入该收集系统的降雨量，m³；</w:t>
            </w:r>
          </w:p>
          <w:p>
            <w:pPr>
              <w:spacing w:line="360" w:lineRule="auto"/>
              <w:ind w:firstLine="480" w:firstLineChars="200"/>
              <w:rPr>
                <w:color w:val="auto"/>
                <w:sz w:val="24"/>
                <w:highlight w:val="none"/>
              </w:rPr>
            </w:pPr>
            <w:r>
              <w:rPr>
                <w:color w:val="auto"/>
                <w:sz w:val="24"/>
                <w:highlight w:val="none"/>
              </w:rPr>
              <w:t>V</w:t>
            </w:r>
            <w:r>
              <w:rPr>
                <w:color w:val="auto"/>
                <w:sz w:val="24"/>
                <w:highlight w:val="none"/>
                <w:vertAlign w:val="subscript"/>
              </w:rPr>
              <w:t>5</w:t>
            </w:r>
            <w:r>
              <w:rPr>
                <w:color w:val="auto"/>
                <w:sz w:val="24"/>
                <w:highlight w:val="none"/>
              </w:rPr>
              <w:t>＝10qF</w:t>
            </w:r>
          </w:p>
          <w:p>
            <w:pPr>
              <w:spacing w:line="360" w:lineRule="auto"/>
              <w:ind w:firstLine="480" w:firstLineChars="200"/>
              <w:rPr>
                <w:color w:val="auto"/>
                <w:sz w:val="24"/>
                <w:highlight w:val="none"/>
              </w:rPr>
            </w:pPr>
            <w:r>
              <w:rPr>
                <w:color w:val="auto"/>
                <w:sz w:val="24"/>
                <w:highlight w:val="none"/>
              </w:rPr>
              <w:t>q——降雨强度，mm；按平均日降雨量；</w:t>
            </w:r>
          </w:p>
          <w:p>
            <w:pPr>
              <w:spacing w:line="360" w:lineRule="auto"/>
              <w:ind w:firstLine="480" w:firstLineChars="200"/>
              <w:rPr>
                <w:color w:val="auto"/>
                <w:sz w:val="24"/>
                <w:highlight w:val="none"/>
              </w:rPr>
            </w:pPr>
            <w:r>
              <w:rPr>
                <w:color w:val="auto"/>
                <w:sz w:val="24"/>
                <w:highlight w:val="none"/>
              </w:rPr>
              <w:t>q=qa/n</w:t>
            </w:r>
          </w:p>
          <w:p>
            <w:pPr>
              <w:spacing w:line="360" w:lineRule="auto"/>
              <w:ind w:firstLine="480" w:firstLineChars="200"/>
              <w:rPr>
                <w:color w:val="auto"/>
                <w:sz w:val="24"/>
                <w:highlight w:val="none"/>
              </w:rPr>
            </w:pPr>
            <w:r>
              <w:rPr>
                <w:color w:val="auto"/>
                <w:sz w:val="24"/>
                <w:highlight w:val="none"/>
              </w:rPr>
              <w:t>qa——年平均降雨量，mm；</w:t>
            </w:r>
          </w:p>
          <w:p>
            <w:pPr>
              <w:spacing w:line="360" w:lineRule="auto"/>
              <w:ind w:firstLine="480" w:firstLineChars="200"/>
              <w:rPr>
                <w:color w:val="auto"/>
                <w:sz w:val="24"/>
                <w:highlight w:val="none"/>
              </w:rPr>
            </w:pPr>
            <w:r>
              <w:rPr>
                <w:color w:val="auto"/>
                <w:sz w:val="24"/>
                <w:highlight w:val="none"/>
              </w:rPr>
              <w:t>n——年平均降雨日数。</w:t>
            </w:r>
          </w:p>
          <w:p>
            <w:pPr>
              <w:spacing w:line="360" w:lineRule="auto"/>
              <w:ind w:firstLine="480" w:firstLineChars="200"/>
              <w:rPr>
                <w:color w:val="auto"/>
                <w:sz w:val="24"/>
                <w:highlight w:val="none"/>
              </w:rPr>
            </w:pPr>
            <w:r>
              <w:rPr>
                <w:color w:val="auto"/>
                <w:sz w:val="24"/>
                <w:highlight w:val="none"/>
              </w:rPr>
              <w:t>F——必须进入事故废水收集系统的雨水汇水面积，hm</w:t>
            </w:r>
            <w:r>
              <w:rPr>
                <w:color w:val="auto"/>
                <w:sz w:val="24"/>
                <w:highlight w:val="none"/>
                <w:vertAlign w:val="superscript"/>
              </w:rPr>
              <w:t>2</w:t>
            </w:r>
            <w:r>
              <w:rPr>
                <w:color w:val="auto"/>
                <w:sz w:val="24"/>
                <w:highlight w:val="none"/>
              </w:rPr>
              <w:t>。</w:t>
            </w:r>
          </w:p>
          <w:p>
            <w:pPr>
              <w:spacing w:line="360" w:lineRule="auto"/>
              <w:ind w:firstLine="480" w:firstLineChars="200"/>
              <w:rPr>
                <w:color w:val="auto"/>
                <w:sz w:val="24"/>
                <w:highlight w:val="none"/>
              </w:rPr>
            </w:pPr>
            <w:r>
              <w:rPr>
                <w:color w:val="auto"/>
                <w:sz w:val="24"/>
                <w:highlight w:val="none"/>
              </w:rPr>
              <w:t>罐区防火堤内容积可作为事故排水储存有效容积。</w:t>
            </w:r>
          </w:p>
          <w:p>
            <w:pPr>
              <w:spacing w:line="360" w:lineRule="auto"/>
              <w:ind w:firstLine="480" w:firstLineChars="200"/>
              <w:rPr>
                <w:color w:val="auto"/>
                <w:sz w:val="24"/>
                <w:highlight w:val="none"/>
              </w:rPr>
            </w:pPr>
            <w:r>
              <w:rPr>
                <w:color w:val="auto"/>
                <w:sz w:val="24"/>
                <w:highlight w:val="none"/>
              </w:rPr>
              <w:t>在储存设施不能满足事故排水储存容量要求时，应设置事故池。</w:t>
            </w:r>
          </w:p>
          <w:p>
            <w:pPr>
              <w:spacing w:line="360" w:lineRule="auto"/>
              <w:ind w:firstLine="480" w:firstLineChars="200"/>
              <w:rPr>
                <w:color w:val="auto"/>
                <w:sz w:val="24"/>
                <w:highlight w:val="none"/>
              </w:rPr>
            </w:pPr>
            <w:r>
              <w:rPr>
                <w:color w:val="auto"/>
                <w:sz w:val="24"/>
                <w:highlight w:val="none"/>
              </w:rPr>
              <w:t>本项目环评以项目建成后全厂项目事故状态进行核算，事故存储设施总有效容积计算如下：</w:t>
            </w:r>
          </w:p>
          <w:p>
            <w:pPr>
              <w:spacing w:line="360" w:lineRule="auto"/>
              <w:ind w:firstLine="480" w:firstLineChars="200"/>
              <w:rPr>
                <w:color w:val="auto"/>
                <w:sz w:val="24"/>
                <w:highlight w:val="none"/>
              </w:rPr>
            </w:pPr>
            <w:r>
              <w:rPr>
                <w:color w:val="auto"/>
                <w:sz w:val="24"/>
                <w:highlight w:val="none"/>
              </w:rPr>
              <w:t>本项目环评以本项目建成后全厂项目事故状态进行核算，事故存储设施总有效容积计算如下：</w:t>
            </w:r>
          </w:p>
          <w:p>
            <w:pPr>
              <w:spacing w:line="360" w:lineRule="auto"/>
              <w:ind w:firstLine="480" w:firstLineChars="200"/>
              <w:rPr>
                <w:color w:val="auto"/>
                <w:sz w:val="24"/>
                <w:highlight w:val="none"/>
              </w:rPr>
            </w:pPr>
            <w:r>
              <w:rPr>
                <w:color w:val="auto"/>
                <w:sz w:val="24"/>
                <w:highlight w:val="none"/>
              </w:rPr>
              <w:t>A、（V</w:t>
            </w:r>
            <w:r>
              <w:rPr>
                <w:color w:val="auto"/>
                <w:sz w:val="24"/>
                <w:highlight w:val="none"/>
                <w:vertAlign w:val="subscript"/>
              </w:rPr>
              <w:t>1</w:t>
            </w:r>
            <w:r>
              <w:rPr>
                <w:color w:val="auto"/>
                <w:sz w:val="24"/>
                <w:highlight w:val="none"/>
              </w:rPr>
              <w:t>＋V</w:t>
            </w:r>
            <w:r>
              <w:rPr>
                <w:color w:val="auto"/>
                <w:sz w:val="24"/>
                <w:highlight w:val="none"/>
                <w:vertAlign w:val="subscript"/>
              </w:rPr>
              <w:t>2</w:t>
            </w:r>
            <w:r>
              <w:rPr>
                <w:color w:val="auto"/>
                <w:sz w:val="24"/>
                <w:highlight w:val="none"/>
              </w:rPr>
              <w:t>-V</w:t>
            </w:r>
            <w:r>
              <w:rPr>
                <w:color w:val="auto"/>
                <w:sz w:val="24"/>
                <w:highlight w:val="none"/>
                <w:vertAlign w:val="subscript"/>
              </w:rPr>
              <w:t>3</w:t>
            </w:r>
            <w:r>
              <w:rPr>
                <w:color w:val="auto"/>
                <w:sz w:val="24"/>
                <w:highlight w:val="none"/>
              </w:rPr>
              <w:t>）max计算：</w:t>
            </w:r>
          </w:p>
          <w:p>
            <w:pPr>
              <w:spacing w:line="360" w:lineRule="auto"/>
              <w:ind w:firstLine="480" w:firstLineChars="200"/>
              <w:rPr>
                <w:color w:val="auto"/>
                <w:sz w:val="24"/>
                <w:highlight w:val="none"/>
              </w:rPr>
            </w:pPr>
            <w:r>
              <w:rPr>
                <w:rFonts w:hint="eastAsia" w:ascii="宋体" w:hAnsi="宋体" w:cs="宋体"/>
                <w:color w:val="auto"/>
                <w:sz w:val="24"/>
                <w:highlight w:val="none"/>
              </w:rPr>
              <w:t>①</w:t>
            </w:r>
            <w:r>
              <w:rPr>
                <w:rFonts w:hint="eastAsia"/>
                <w:color w:val="auto"/>
                <w:sz w:val="24"/>
                <w:highlight w:val="none"/>
              </w:rPr>
              <w:t>危废库</w:t>
            </w:r>
          </w:p>
          <w:p>
            <w:pPr>
              <w:spacing w:line="360" w:lineRule="auto"/>
              <w:ind w:firstLine="480" w:firstLineChars="200"/>
              <w:rPr>
                <w:color w:val="auto"/>
                <w:sz w:val="24"/>
                <w:highlight w:val="none"/>
              </w:rPr>
            </w:pPr>
            <w:r>
              <w:rPr>
                <w:color w:val="auto"/>
                <w:sz w:val="24"/>
                <w:highlight w:val="none"/>
              </w:rPr>
              <w:t>V</w:t>
            </w:r>
            <w:r>
              <w:rPr>
                <w:color w:val="auto"/>
                <w:sz w:val="24"/>
                <w:highlight w:val="none"/>
                <w:vertAlign w:val="subscript"/>
              </w:rPr>
              <w:t>1</w:t>
            </w:r>
            <w:r>
              <w:rPr>
                <w:color w:val="auto"/>
                <w:sz w:val="24"/>
                <w:highlight w:val="none"/>
              </w:rPr>
              <w:t>＝</w:t>
            </w:r>
            <w:r>
              <w:rPr>
                <w:rFonts w:hint="eastAsia"/>
                <w:color w:val="auto"/>
                <w:sz w:val="24"/>
                <w:highlight w:val="none"/>
              </w:rPr>
              <w:t>10</w:t>
            </w:r>
            <w:r>
              <w:rPr>
                <w:color w:val="auto"/>
                <w:sz w:val="24"/>
                <w:highlight w:val="none"/>
              </w:rPr>
              <w:t>m³，</w:t>
            </w:r>
            <w:r>
              <w:rPr>
                <w:rFonts w:hint="eastAsia"/>
                <w:color w:val="auto"/>
                <w:sz w:val="24"/>
                <w:highlight w:val="none"/>
              </w:rPr>
              <w:t>危废库</w:t>
            </w:r>
            <w:r>
              <w:rPr>
                <w:color w:val="auto"/>
                <w:sz w:val="24"/>
                <w:highlight w:val="none"/>
              </w:rPr>
              <w:t>内发生事故时泄漏物料量约为</w:t>
            </w:r>
            <w:r>
              <w:rPr>
                <w:rFonts w:hint="eastAsia"/>
                <w:color w:val="auto"/>
                <w:sz w:val="24"/>
                <w:highlight w:val="none"/>
              </w:rPr>
              <w:t>10</w:t>
            </w:r>
            <w:r>
              <w:rPr>
                <w:color w:val="auto"/>
                <w:sz w:val="24"/>
                <w:highlight w:val="none"/>
              </w:rPr>
              <w:t>m</w:t>
            </w:r>
            <w:r>
              <w:rPr>
                <w:color w:val="auto"/>
                <w:sz w:val="24"/>
                <w:highlight w:val="none"/>
                <w:vertAlign w:val="superscript"/>
              </w:rPr>
              <w:t>3</w:t>
            </w:r>
            <w:r>
              <w:rPr>
                <w:color w:val="auto"/>
                <w:sz w:val="24"/>
                <w:highlight w:val="none"/>
              </w:rPr>
              <w:t>。</w:t>
            </w:r>
          </w:p>
          <w:p>
            <w:pPr>
              <w:spacing w:line="360" w:lineRule="auto"/>
              <w:ind w:firstLine="480" w:firstLineChars="200"/>
              <w:rPr>
                <w:color w:val="auto"/>
                <w:sz w:val="24"/>
                <w:highlight w:val="none"/>
              </w:rPr>
            </w:pPr>
            <w:r>
              <w:rPr>
                <w:color w:val="auto"/>
                <w:sz w:val="24"/>
                <w:highlight w:val="none"/>
              </w:rPr>
              <w:t>V</w:t>
            </w:r>
            <w:r>
              <w:rPr>
                <w:color w:val="auto"/>
                <w:sz w:val="24"/>
                <w:highlight w:val="none"/>
                <w:vertAlign w:val="subscript"/>
              </w:rPr>
              <w:t>2</w:t>
            </w:r>
            <w:r>
              <w:rPr>
                <w:color w:val="auto"/>
                <w:sz w:val="24"/>
                <w:highlight w:val="none"/>
              </w:rPr>
              <w:t>＝</w:t>
            </w:r>
            <w:r>
              <w:rPr>
                <w:rFonts w:hint="eastAsia"/>
                <w:color w:val="auto"/>
                <w:sz w:val="24"/>
                <w:highlight w:val="none"/>
              </w:rPr>
              <w:t>583</w:t>
            </w:r>
            <w:r>
              <w:rPr>
                <w:color w:val="auto"/>
                <w:sz w:val="24"/>
                <w:highlight w:val="none"/>
              </w:rPr>
              <w:t>m</w:t>
            </w:r>
            <w:r>
              <w:rPr>
                <w:color w:val="auto"/>
                <w:sz w:val="24"/>
                <w:highlight w:val="none"/>
                <w:vertAlign w:val="superscript"/>
              </w:rPr>
              <w:t>3</w:t>
            </w:r>
            <w:r>
              <w:rPr>
                <w:color w:val="auto"/>
                <w:sz w:val="24"/>
                <w:highlight w:val="none"/>
              </w:rPr>
              <w:t>，</w:t>
            </w:r>
            <w:r>
              <w:rPr>
                <w:rFonts w:hint="eastAsia"/>
                <w:color w:val="auto"/>
                <w:sz w:val="24"/>
                <w:highlight w:val="none"/>
              </w:rPr>
              <w:t>根据消防设计最大消防水用量648</w:t>
            </w:r>
            <w:r>
              <w:rPr>
                <w:color w:val="auto"/>
                <w:sz w:val="24"/>
                <w:highlight w:val="none"/>
              </w:rPr>
              <w:t>m</w:t>
            </w:r>
            <w:r>
              <w:rPr>
                <w:color w:val="auto"/>
                <w:sz w:val="24"/>
                <w:highlight w:val="none"/>
                <w:vertAlign w:val="superscript"/>
              </w:rPr>
              <w:t>3</w:t>
            </w:r>
            <w:r>
              <w:rPr>
                <w:color w:val="auto"/>
                <w:sz w:val="24"/>
                <w:highlight w:val="none"/>
              </w:rPr>
              <w:t>，消防废水取用水量90%，消防废水为</w:t>
            </w:r>
            <w:r>
              <w:rPr>
                <w:rFonts w:hint="eastAsia"/>
                <w:color w:val="auto"/>
                <w:sz w:val="24"/>
                <w:highlight w:val="none"/>
              </w:rPr>
              <w:t>583</w:t>
            </w:r>
            <w:r>
              <w:rPr>
                <w:color w:val="auto"/>
                <w:sz w:val="24"/>
                <w:highlight w:val="none"/>
              </w:rPr>
              <w:t>m</w:t>
            </w:r>
            <w:r>
              <w:rPr>
                <w:color w:val="auto"/>
                <w:sz w:val="24"/>
                <w:highlight w:val="none"/>
                <w:vertAlign w:val="superscript"/>
              </w:rPr>
              <w:t>3</w:t>
            </w:r>
            <w:r>
              <w:rPr>
                <w:color w:val="auto"/>
                <w:sz w:val="24"/>
                <w:highlight w:val="none"/>
              </w:rPr>
              <w:t>。</w:t>
            </w:r>
          </w:p>
          <w:p>
            <w:pPr>
              <w:spacing w:line="360" w:lineRule="auto"/>
              <w:ind w:firstLine="480" w:firstLineChars="200"/>
              <w:rPr>
                <w:color w:val="auto"/>
                <w:sz w:val="24"/>
                <w:highlight w:val="none"/>
              </w:rPr>
            </w:pPr>
            <w:r>
              <w:rPr>
                <w:color w:val="auto"/>
                <w:sz w:val="24"/>
                <w:highlight w:val="none"/>
              </w:rPr>
              <w:t>V</w:t>
            </w:r>
            <w:r>
              <w:rPr>
                <w:color w:val="auto"/>
                <w:sz w:val="24"/>
                <w:highlight w:val="none"/>
                <w:vertAlign w:val="subscript"/>
              </w:rPr>
              <w:t>3</w:t>
            </w:r>
            <w:r>
              <w:rPr>
                <w:color w:val="auto"/>
                <w:sz w:val="24"/>
                <w:highlight w:val="none"/>
              </w:rPr>
              <w:t>＝0m³。发生事故时可以转输到其他储存或处理设施的物料量</w:t>
            </w:r>
            <w:r>
              <w:rPr>
                <w:rFonts w:hint="eastAsia"/>
                <w:color w:val="auto"/>
                <w:sz w:val="24"/>
                <w:highlight w:val="none"/>
              </w:rPr>
              <w:t>为0。</w:t>
            </w:r>
          </w:p>
          <w:p>
            <w:pPr>
              <w:spacing w:line="360" w:lineRule="auto"/>
              <w:ind w:firstLine="480" w:firstLineChars="200"/>
              <w:rPr>
                <w:color w:val="auto"/>
                <w:sz w:val="24"/>
                <w:highlight w:val="none"/>
              </w:rPr>
            </w:pPr>
            <w:r>
              <w:rPr>
                <w:color w:val="auto"/>
                <w:sz w:val="24"/>
                <w:highlight w:val="none"/>
              </w:rPr>
              <w:t>因此。装置区最大值：（V</w:t>
            </w:r>
            <w:r>
              <w:rPr>
                <w:color w:val="auto"/>
                <w:sz w:val="24"/>
                <w:highlight w:val="none"/>
                <w:vertAlign w:val="subscript"/>
              </w:rPr>
              <w:t>1</w:t>
            </w:r>
            <w:r>
              <w:rPr>
                <w:color w:val="auto"/>
                <w:sz w:val="24"/>
                <w:highlight w:val="none"/>
              </w:rPr>
              <w:t>＋V</w:t>
            </w:r>
            <w:r>
              <w:rPr>
                <w:color w:val="auto"/>
                <w:sz w:val="24"/>
                <w:highlight w:val="none"/>
                <w:vertAlign w:val="subscript"/>
              </w:rPr>
              <w:t>2</w:t>
            </w:r>
            <w:r>
              <w:rPr>
                <w:color w:val="auto"/>
                <w:sz w:val="24"/>
                <w:highlight w:val="none"/>
              </w:rPr>
              <w:t>-V</w:t>
            </w:r>
            <w:r>
              <w:rPr>
                <w:color w:val="auto"/>
                <w:sz w:val="24"/>
                <w:highlight w:val="none"/>
                <w:vertAlign w:val="subscript"/>
              </w:rPr>
              <w:t>3</w:t>
            </w:r>
            <w:r>
              <w:rPr>
                <w:color w:val="auto"/>
                <w:sz w:val="24"/>
                <w:highlight w:val="none"/>
              </w:rPr>
              <w:t>）max＝</w:t>
            </w:r>
            <w:r>
              <w:rPr>
                <w:rFonts w:hint="eastAsia"/>
                <w:color w:val="auto"/>
                <w:sz w:val="24"/>
                <w:highlight w:val="none"/>
              </w:rPr>
              <w:t>10</w:t>
            </w:r>
            <w:r>
              <w:rPr>
                <w:color w:val="auto"/>
                <w:sz w:val="24"/>
                <w:highlight w:val="none"/>
              </w:rPr>
              <w:t>+</w:t>
            </w:r>
            <w:r>
              <w:rPr>
                <w:rFonts w:hint="eastAsia"/>
                <w:color w:val="auto"/>
                <w:sz w:val="24"/>
                <w:highlight w:val="none"/>
              </w:rPr>
              <w:t>583</w:t>
            </w:r>
            <w:r>
              <w:rPr>
                <w:color w:val="auto"/>
                <w:sz w:val="24"/>
                <w:highlight w:val="none"/>
              </w:rPr>
              <w:t>＝</w:t>
            </w:r>
            <w:r>
              <w:rPr>
                <w:rFonts w:hint="eastAsia"/>
                <w:color w:val="auto"/>
                <w:sz w:val="24"/>
                <w:highlight w:val="none"/>
              </w:rPr>
              <w:t>593</w:t>
            </w:r>
            <w:r>
              <w:rPr>
                <w:color w:val="auto"/>
                <w:sz w:val="24"/>
                <w:highlight w:val="none"/>
              </w:rPr>
              <w:t>m</w:t>
            </w:r>
            <w:r>
              <w:rPr>
                <w:color w:val="auto"/>
                <w:sz w:val="24"/>
                <w:highlight w:val="none"/>
                <w:vertAlign w:val="superscript"/>
              </w:rPr>
              <w:t>3</w:t>
            </w:r>
          </w:p>
          <w:p>
            <w:pPr>
              <w:spacing w:line="360" w:lineRule="auto"/>
              <w:ind w:firstLine="480" w:firstLineChars="200"/>
              <w:rPr>
                <w:color w:val="auto"/>
                <w:sz w:val="24"/>
                <w:highlight w:val="none"/>
              </w:rPr>
            </w:pPr>
            <w:r>
              <w:rPr>
                <w:rFonts w:hint="eastAsia" w:ascii="宋体" w:hAnsi="宋体" w:cs="宋体"/>
                <w:color w:val="auto"/>
                <w:sz w:val="24"/>
                <w:highlight w:val="none"/>
              </w:rPr>
              <w:t>②</w:t>
            </w:r>
            <w:r>
              <w:rPr>
                <w:color w:val="auto"/>
                <w:sz w:val="24"/>
                <w:highlight w:val="none"/>
              </w:rPr>
              <w:t>危化品库</w:t>
            </w:r>
          </w:p>
          <w:p>
            <w:pPr>
              <w:spacing w:line="360" w:lineRule="auto"/>
              <w:ind w:firstLine="480" w:firstLineChars="200"/>
              <w:rPr>
                <w:color w:val="auto"/>
                <w:sz w:val="24"/>
                <w:highlight w:val="none"/>
              </w:rPr>
            </w:pPr>
            <w:r>
              <w:rPr>
                <w:color w:val="auto"/>
                <w:sz w:val="24"/>
                <w:highlight w:val="none"/>
              </w:rPr>
              <w:t>V</w:t>
            </w:r>
            <w:r>
              <w:rPr>
                <w:color w:val="auto"/>
                <w:sz w:val="24"/>
                <w:highlight w:val="none"/>
                <w:vertAlign w:val="subscript"/>
              </w:rPr>
              <w:t>1</w:t>
            </w:r>
            <w:r>
              <w:rPr>
                <w:color w:val="auto"/>
                <w:sz w:val="24"/>
                <w:highlight w:val="none"/>
              </w:rPr>
              <w:t>：本项目危化</w:t>
            </w:r>
            <w:r>
              <w:rPr>
                <w:rFonts w:hint="eastAsia"/>
                <w:color w:val="auto"/>
                <w:sz w:val="24"/>
                <w:highlight w:val="none"/>
              </w:rPr>
              <w:t>品</w:t>
            </w:r>
            <w:r>
              <w:rPr>
                <w:color w:val="auto"/>
                <w:sz w:val="24"/>
                <w:highlight w:val="none"/>
              </w:rPr>
              <w:t>库内发生事故时泄漏物料量约为15m</w:t>
            </w:r>
            <w:r>
              <w:rPr>
                <w:color w:val="auto"/>
                <w:sz w:val="24"/>
                <w:highlight w:val="none"/>
                <w:vertAlign w:val="superscript"/>
              </w:rPr>
              <w:t>3</w:t>
            </w:r>
            <w:r>
              <w:rPr>
                <w:color w:val="auto"/>
                <w:sz w:val="24"/>
                <w:highlight w:val="none"/>
              </w:rPr>
              <w:t>。</w:t>
            </w:r>
          </w:p>
          <w:p>
            <w:pPr>
              <w:spacing w:line="360" w:lineRule="auto"/>
              <w:ind w:firstLine="480" w:firstLineChars="200"/>
              <w:rPr>
                <w:color w:val="auto"/>
                <w:sz w:val="24"/>
                <w:highlight w:val="none"/>
              </w:rPr>
            </w:pPr>
            <w:r>
              <w:rPr>
                <w:color w:val="auto"/>
                <w:sz w:val="24"/>
                <w:highlight w:val="none"/>
              </w:rPr>
              <w:t>V</w:t>
            </w:r>
            <w:r>
              <w:rPr>
                <w:color w:val="auto"/>
                <w:sz w:val="24"/>
                <w:highlight w:val="none"/>
                <w:vertAlign w:val="subscript"/>
              </w:rPr>
              <w:t>2</w:t>
            </w:r>
            <w:r>
              <w:rPr>
                <w:color w:val="auto"/>
                <w:sz w:val="24"/>
                <w:highlight w:val="none"/>
              </w:rPr>
              <w:t>：</w:t>
            </w:r>
            <w:r>
              <w:rPr>
                <w:rFonts w:hint="eastAsia"/>
                <w:color w:val="auto"/>
                <w:sz w:val="24"/>
                <w:highlight w:val="none"/>
              </w:rPr>
              <w:t>根据消防设计最大消防水用量648m</w:t>
            </w:r>
            <w:r>
              <w:rPr>
                <w:rFonts w:hint="eastAsia"/>
                <w:color w:val="auto"/>
                <w:sz w:val="24"/>
                <w:highlight w:val="none"/>
                <w:vertAlign w:val="superscript"/>
              </w:rPr>
              <w:t>3</w:t>
            </w:r>
            <w:r>
              <w:rPr>
                <w:rFonts w:hint="eastAsia"/>
                <w:color w:val="auto"/>
                <w:sz w:val="24"/>
                <w:highlight w:val="none"/>
              </w:rPr>
              <w:t>，消防废水取用水量90%，消防废水为583m</w:t>
            </w:r>
            <w:r>
              <w:rPr>
                <w:rFonts w:hint="eastAsia"/>
                <w:color w:val="auto"/>
                <w:sz w:val="24"/>
                <w:highlight w:val="none"/>
                <w:vertAlign w:val="superscript"/>
              </w:rPr>
              <w:t>3</w:t>
            </w:r>
            <w:r>
              <w:rPr>
                <w:rFonts w:hint="eastAsia"/>
                <w:color w:val="auto"/>
                <w:sz w:val="24"/>
                <w:highlight w:val="none"/>
              </w:rPr>
              <w:t>。</w:t>
            </w:r>
          </w:p>
          <w:p>
            <w:pPr>
              <w:spacing w:line="360" w:lineRule="auto"/>
              <w:ind w:firstLine="480" w:firstLineChars="200"/>
              <w:rPr>
                <w:color w:val="auto"/>
                <w:sz w:val="24"/>
                <w:highlight w:val="none"/>
              </w:rPr>
            </w:pPr>
            <w:r>
              <w:rPr>
                <w:color w:val="auto"/>
                <w:sz w:val="24"/>
                <w:highlight w:val="none"/>
              </w:rPr>
              <w:t>V</w:t>
            </w:r>
            <w:r>
              <w:rPr>
                <w:color w:val="auto"/>
                <w:sz w:val="24"/>
                <w:highlight w:val="none"/>
                <w:vertAlign w:val="subscript"/>
              </w:rPr>
              <w:t>3</w:t>
            </w:r>
            <w:r>
              <w:rPr>
                <w:color w:val="auto"/>
                <w:sz w:val="24"/>
                <w:highlight w:val="none"/>
              </w:rPr>
              <w:t>＝0m³。发生事故时可以转输到其他储存或处理设施的物料量</w:t>
            </w:r>
            <w:r>
              <w:rPr>
                <w:rFonts w:hint="eastAsia"/>
                <w:color w:val="auto"/>
                <w:sz w:val="24"/>
                <w:highlight w:val="none"/>
              </w:rPr>
              <w:t>为0。</w:t>
            </w:r>
          </w:p>
          <w:p>
            <w:pPr>
              <w:spacing w:line="360" w:lineRule="auto"/>
              <w:ind w:firstLine="480" w:firstLineChars="200"/>
              <w:rPr>
                <w:color w:val="auto"/>
                <w:sz w:val="24"/>
                <w:highlight w:val="none"/>
              </w:rPr>
            </w:pPr>
            <w:r>
              <w:rPr>
                <w:color w:val="auto"/>
                <w:sz w:val="24"/>
                <w:highlight w:val="none"/>
              </w:rPr>
              <w:t>经以上计算，本项目（V1＋V2-V3）max</w:t>
            </w:r>
            <w:r>
              <w:rPr>
                <w:rFonts w:hint="eastAsia"/>
                <w:color w:val="auto"/>
                <w:sz w:val="24"/>
                <w:highlight w:val="none"/>
              </w:rPr>
              <w:t>＝15+</w:t>
            </w:r>
            <w:r>
              <w:rPr>
                <w:color w:val="auto"/>
                <w:sz w:val="24"/>
                <w:highlight w:val="none"/>
              </w:rPr>
              <w:t>583</w:t>
            </w:r>
            <w:r>
              <w:rPr>
                <w:rFonts w:hint="eastAsia"/>
                <w:color w:val="auto"/>
                <w:sz w:val="24"/>
                <w:highlight w:val="none"/>
              </w:rPr>
              <w:t>＝598</w:t>
            </w:r>
            <w:r>
              <w:rPr>
                <w:color w:val="auto"/>
                <w:sz w:val="24"/>
                <w:highlight w:val="none"/>
              </w:rPr>
              <w:t>m</w:t>
            </w:r>
            <w:r>
              <w:rPr>
                <w:color w:val="auto"/>
                <w:sz w:val="24"/>
                <w:highlight w:val="none"/>
                <w:vertAlign w:val="superscript"/>
              </w:rPr>
              <w:t>3</w:t>
            </w:r>
            <w:r>
              <w:rPr>
                <w:color w:val="auto"/>
                <w:sz w:val="24"/>
                <w:highlight w:val="none"/>
              </w:rPr>
              <w:t>。</w:t>
            </w:r>
          </w:p>
          <w:p>
            <w:pPr>
              <w:spacing w:line="360" w:lineRule="auto"/>
              <w:ind w:firstLine="480" w:firstLineChars="200"/>
              <w:rPr>
                <w:color w:val="auto"/>
                <w:sz w:val="24"/>
                <w:highlight w:val="none"/>
              </w:rPr>
            </w:pPr>
            <w:r>
              <w:rPr>
                <w:rFonts w:hint="eastAsia" w:ascii="宋体" w:hAnsi="宋体" w:cs="宋体"/>
                <w:color w:val="auto"/>
                <w:sz w:val="24"/>
                <w:highlight w:val="none"/>
              </w:rPr>
              <w:fldChar w:fldCharType="begin"/>
            </w:r>
            <w:r>
              <w:rPr>
                <w:rFonts w:hint="eastAsia" w:ascii="宋体" w:hAnsi="宋体" w:cs="宋体"/>
                <w:color w:val="auto"/>
                <w:sz w:val="24"/>
                <w:highlight w:val="none"/>
              </w:rPr>
              <w:instrText xml:space="preserve"> = 3 \* GB3 \* MERGEFORMAT </w:instrText>
            </w:r>
            <w:r>
              <w:rPr>
                <w:rFonts w:hint="eastAsia" w:ascii="宋体" w:hAnsi="宋体" w:cs="宋体"/>
                <w:color w:val="auto"/>
                <w:sz w:val="24"/>
                <w:highlight w:val="none"/>
              </w:rPr>
              <w:fldChar w:fldCharType="separate"/>
            </w:r>
            <w:r>
              <w:rPr>
                <w:color w:val="auto"/>
                <w:highlight w:val="none"/>
              </w:rPr>
              <w:t>③</w:t>
            </w:r>
            <w:r>
              <w:rPr>
                <w:rFonts w:hint="eastAsia" w:ascii="宋体" w:hAnsi="宋体" w:cs="宋体"/>
                <w:color w:val="auto"/>
                <w:sz w:val="24"/>
                <w:highlight w:val="none"/>
              </w:rPr>
              <w:fldChar w:fldCharType="end"/>
            </w:r>
            <w:r>
              <w:rPr>
                <w:color w:val="auto"/>
                <w:sz w:val="24"/>
                <w:highlight w:val="none"/>
              </w:rPr>
              <w:t>装置区</w:t>
            </w:r>
          </w:p>
          <w:p>
            <w:pPr>
              <w:spacing w:line="360" w:lineRule="auto"/>
              <w:ind w:firstLine="480" w:firstLineChars="200"/>
              <w:rPr>
                <w:color w:val="auto"/>
                <w:sz w:val="24"/>
                <w:highlight w:val="none"/>
              </w:rPr>
            </w:pPr>
            <w:r>
              <w:rPr>
                <w:color w:val="auto"/>
                <w:sz w:val="24"/>
                <w:highlight w:val="none"/>
              </w:rPr>
              <w:t>V</w:t>
            </w:r>
            <w:r>
              <w:rPr>
                <w:color w:val="auto"/>
                <w:sz w:val="24"/>
                <w:highlight w:val="none"/>
                <w:vertAlign w:val="subscript"/>
              </w:rPr>
              <w:t>1</w:t>
            </w:r>
            <w:r>
              <w:rPr>
                <w:color w:val="auto"/>
                <w:sz w:val="24"/>
                <w:highlight w:val="none"/>
              </w:rPr>
              <w:t>＝</w:t>
            </w:r>
            <w:r>
              <w:rPr>
                <w:rFonts w:hint="eastAsia"/>
                <w:color w:val="auto"/>
                <w:sz w:val="24"/>
                <w:highlight w:val="none"/>
              </w:rPr>
              <w:t>5</w:t>
            </w:r>
            <w:r>
              <w:rPr>
                <w:color w:val="auto"/>
                <w:sz w:val="24"/>
                <w:highlight w:val="none"/>
              </w:rPr>
              <w:t>m³，本项目装置区内发生事故时泄漏物料量约为5m</w:t>
            </w:r>
            <w:r>
              <w:rPr>
                <w:color w:val="auto"/>
                <w:sz w:val="24"/>
                <w:highlight w:val="none"/>
                <w:vertAlign w:val="superscript"/>
              </w:rPr>
              <w:t>3</w:t>
            </w:r>
            <w:r>
              <w:rPr>
                <w:color w:val="auto"/>
                <w:sz w:val="24"/>
                <w:highlight w:val="none"/>
              </w:rPr>
              <w:t>。</w:t>
            </w:r>
          </w:p>
          <w:p>
            <w:pPr>
              <w:spacing w:line="360" w:lineRule="auto"/>
              <w:ind w:firstLine="480" w:firstLineChars="200"/>
              <w:rPr>
                <w:color w:val="auto"/>
                <w:sz w:val="24"/>
                <w:highlight w:val="none"/>
              </w:rPr>
            </w:pPr>
            <w:r>
              <w:rPr>
                <w:color w:val="auto"/>
                <w:sz w:val="24"/>
                <w:highlight w:val="none"/>
              </w:rPr>
              <w:t>V</w:t>
            </w:r>
            <w:r>
              <w:rPr>
                <w:color w:val="auto"/>
                <w:sz w:val="24"/>
                <w:highlight w:val="none"/>
                <w:vertAlign w:val="subscript"/>
              </w:rPr>
              <w:t>2</w:t>
            </w:r>
            <w:r>
              <w:rPr>
                <w:color w:val="auto"/>
                <w:sz w:val="24"/>
                <w:highlight w:val="none"/>
              </w:rPr>
              <w:t>＝</w:t>
            </w:r>
            <w:r>
              <w:rPr>
                <w:rFonts w:hint="eastAsia"/>
                <w:color w:val="auto"/>
                <w:sz w:val="24"/>
                <w:highlight w:val="none"/>
              </w:rPr>
              <w:t>583</w:t>
            </w:r>
            <w:r>
              <w:rPr>
                <w:color w:val="auto"/>
                <w:sz w:val="24"/>
                <w:highlight w:val="none"/>
              </w:rPr>
              <w:t>m</w:t>
            </w:r>
            <w:r>
              <w:rPr>
                <w:color w:val="auto"/>
                <w:sz w:val="24"/>
                <w:highlight w:val="none"/>
                <w:vertAlign w:val="superscript"/>
              </w:rPr>
              <w:t>3</w:t>
            </w:r>
            <w:r>
              <w:rPr>
                <w:color w:val="auto"/>
                <w:sz w:val="24"/>
                <w:highlight w:val="none"/>
              </w:rPr>
              <w:t>，</w:t>
            </w:r>
            <w:r>
              <w:rPr>
                <w:rFonts w:hint="eastAsia"/>
                <w:color w:val="auto"/>
                <w:sz w:val="24"/>
                <w:highlight w:val="none"/>
              </w:rPr>
              <w:t>根据消防设计最大消防水用量648</w:t>
            </w:r>
            <w:r>
              <w:rPr>
                <w:color w:val="auto"/>
                <w:sz w:val="24"/>
                <w:highlight w:val="none"/>
              </w:rPr>
              <w:t>m</w:t>
            </w:r>
            <w:r>
              <w:rPr>
                <w:color w:val="auto"/>
                <w:sz w:val="24"/>
                <w:highlight w:val="none"/>
                <w:vertAlign w:val="superscript"/>
              </w:rPr>
              <w:t>3</w:t>
            </w:r>
            <w:r>
              <w:rPr>
                <w:color w:val="auto"/>
                <w:sz w:val="24"/>
                <w:highlight w:val="none"/>
              </w:rPr>
              <w:t>，消防废水取用水量90%，消防废水为</w:t>
            </w:r>
            <w:r>
              <w:rPr>
                <w:rFonts w:hint="eastAsia"/>
                <w:color w:val="auto"/>
                <w:sz w:val="24"/>
                <w:highlight w:val="none"/>
              </w:rPr>
              <w:t>583</w:t>
            </w:r>
            <w:r>
              <w:rPr>
                <w:color w:val="auto"/>
                <w:sz w:val="24"/>
                <w:highlight w:val="none"/>
              </w:rPr>
              <w:t>m</w:t>
            </w:r>
            <w:r>
              <w:rPr>
                <w:color w:val="auto"/>
                <w:sz w:val="24"/>
                <w:highlight w:val="none"/>
                <w:vertAlign w:val="superscript"/>
              </w:rPr>
              <w:t>3</w:t>
            </w:r>
            <w:r>
              <w:rPr>
                <w:color w:val="auto"/>
                <w:sz w:val="24"/>
                <w:highlight w:val="none"/>
              </w:rPr>
              <w:t>。</w:t>
            </w:r>
          </w:p>
          <w:p>
            <w:pPr>
              <w:spacing w:line="360" w:lineRule="auto"/>
              <w:ind w:firstLine="480" w:firstLineChars="200"/>
              <w:rPr>
                <w:color w:val="auto"/>
                <w:sz w:val="24"/>
                <w:highlight w:val="none"/>
              </w:rPr>
            </w:pPr>
            <w:r>
              <w:rPr>
                <w:color w:val="auto"/>
                <w:sz w:val="24"/>
                <w:highlight w:val="none"/>
              </w:rPr>
              <w:t>V</w:t>
            </w:r>
            <w:r>
              <w:rPr>
                <w:color w:val="auto"/>
                <w:sz w:val="24"/>
                <w:highlight w:val="none"/>
                <w:vertAlign w:val="subscript"/>
              </w:rPr>
              <w:t>3</w:t>
            </w:r>
            <w:r>
              <w:rPr>
                <w:color w:val="auto"/>
                <w:sz w:val="24"/>
                <w:highlight w:val="none"/>
              </w:rPr>
              <w:t>＝0m³。发生事故时可以转输到其他储存或处理设施的物料量</w:t>
            </w:r>
            <w:r>
              <w:rPr>
                <w:rFonts w:hint="eastAsia"/>
                <w:color w:val="auto"/>
                <w:sz w:val="24"/>
                <w:highlight w:val="none"/>
              </w:rPr>
              <w:t>为0。</w:t>
            </w:r>
          </w:p>
          <w:p>
            <w:pPr>
              <w:spacing w:line="360" w:lineRule="auto"/>
              <w:ind w:firstLine="480" w:firstLineChars="200"/>
              <w:rPr>
                <w:color w:val="auto"/>
                <w:sz w:val="24"/>
                <w:highlight w:val="none"/>
              </w:rPr>
            </w:pPr>
            <w:r>
              <w:rPr>
                <w:color w:val="auto"/>
                <w:sz w:val="24"/>
                <w:highlight w:val="none"/>
              </w:rPr>
              <w:t>因此。装置区最大值：（V</w:t>
            </w:r>
            <w:r>
              <w:rPr>
                <w:color w:val="auto"/>
                <w:sz w:val="24"/>
                <w:highlight w:val="none"/>
                <w:vertAlign w:val="subscript"/>
              </w:rPr>
              <w:t>1</w:t>
            </w:r>
            <w:r>
              <w:rPr>
                <w:color w:val="auto"/>
                <w:sz w:val="24"/>
                <w:highlight w:val="none"/>
              </w:rPr>
              <w:t>＋V</w:t>
            </w:r>
            <w:r>
              <w:rPr>
                <w:color w:val="auto"/>
                <w:sz w:val="24"/>
                <w:highlight w:val="none"/>
                <w:vertAlign w:val="subscript"/>
              </w:rPr>
              <w:t>2</w:t>
            </w:r>
            <w:r>
              <w:rPr>
                <w:color w:val="auto"/>
                <w:sz w:val="24"/>
                <w:highlight w:val="none"/>
              </w:rPr>
              <w:t>-V</w:t>
            </w:r>
            <w:r>
              <w:rPr>
                <w:color w:val="auto"/>
                <w:sz w:val="24"/>
                <w:highlight w:val="none"/>
                <w:vertAlign w:val="subscript"/>
              </w:rPr>
              <w:t>3</w:t>
            </w:r>
            <w:r>
              <w:rPr>
                <w:color w:val="auto"/>
                <w:sz w:val="24"/>
                <w:highlight w:val="none"/>
              </w:rPr>
              <w:t>）max＝5+</w:t>
            </w:r>
            <w:r>
              <w:rPr>
                <w:rFonts w:hint="eastAsia"/>
                <w:color w:val="auto"/>
                <w:sz w:val="24"/>
                <w:highlight w:val="none"/>
              </w:rPr>
              <w:t>583</w:t>
            </w:r>
            <w:r>
              <w:rPr>
                <w:color w:val="auto"/>
                <w:sz w:val="24"/>
                <w:highlight w:val="none"/>
              </w:rPr>
              <w:t>＝</w:t>
            </w:r>
            <w:r>
              <w:rPr>
                <w:rFonts w:hint="eastAsia"/>
                <w:color w:val="auto"/>
                <w:sz w:val="24"/>
                <w:highlight w:val="none"/>
              </w:rPr>
              <w:t>588</w:t>
            </w:r>
            <w:r>
              <w:rPr>
                <w:color w:val="auto"/>
                <w:sz w:val="24"/>
                <w:highlight w:val="none"/>
              </w:rPr>
              <w:t>m</w:t>
            </w:r>
            <w:r>
              <w:rPr>
                <w:color w:val="auto"/>
                <w:sz w:val="24"/>
                <w:highlight w:val="none"/>
                <w:vertAlign w:val="superscript"/>
              </w:rPr>
              <w:t>3</w:t>
            </w:r>
          </w:p>
          <w:p>
            <w:pPr>
              <w:spacing w:line="360" w:lineRule="auto"/>
              <w:ind w:firstLine="480" w:firstLineChars="200"/>
              <w:rPr>
                <w:color w:val="auto"/>
                <w:sz w:val="24"/>
                <w:highlight w:val="none"/>
              </w:rPr>
            </w:pPr>
            <w:r>
              <w:rPr>
                <w:color w:val="auto"/>
                <w:sz w:val="24"/>
                <w:highlight w:val="none"/>
              </w:rPr>
              <w:t>B、V</w:t>
            </w:r>
            <w:r>
              <w:rPr>
                <w:color w:val="auto"/>
                <w:sz w:val="24"/>
                <w:highlight w:val="none"/>
                <w:vertAlign w:val="subscript"/>
              </w:rPr>
              <w:t>4</w:t>
            </w:r>
            <w:r>
              <w:rPr>
                <w:color w:val="auto"/>
                <w:sz w:val="24"/>
                <w:highlight w:val="none"/>
              </w:rPr>
              <w:t>＝0m³。</w:t>
            </w:r>
          </w:p>
          <w:p>
            <w:pPr>
              <w:spacing w:line="360" w:lineRule="auto"/>
              <w:ind w:firstLine="480" w:firstLineChars="200"/>
              <w:rPr>
                <w:color w:val="auto"/>
                <w:sz w:val="24"/>
                <w:highlight w:val="none"/>
              </w:rPr>
            </w:pPr>
            <w:r>
              <w:rPr>
                <w:color w:val="auto"/>
                <w:sz w:val="24"/>
                <w:highlight w:val="none"/>
              </w:rPr>
              <w:t>C、V</w:t>
            </w:r>
            <w:r>
              <w:rPr>
                <w:color w:val="auto"/>
                <w:sz w:val="24"/>
                <w:highlight w:val="none"/>
                <w:vertAlign w:val="subscript"/>
              </w:rPr>
              <w:t>5</w:t>
            </w:r>
            <w:r>
              <w:rPr>
                <w:color w:val="auto"/>
                <w:sz w:val="24"/>
                <w:highlight w:val="none"/>
              </w:rPr>
              <w:t>＝11m³。事故时，全厂最大事故区汇水面积为1.2hm</w:t>
            </w:r>
            <w:r>
              <w:rPr>
                <w:color w:val="auto"/>
                <w:sz w:val="24"/>
                <w:highlight w:val="none"/>
                <w:vertAlign w:val="superscript"/>
              </w:rPr>
              <w:t>2</w:t>
            </w:r>
            <w:r>
              <w:rPr>
                <w:color w:val="auto"/>
                <w:sz w:val="24"/>
                <w:highlight w:val="none"/>
              </w:rPr>
              <w:t>，根据气象资料统计，南京年平均降雨量1106mm，年平均降雨天数为117天。</w:t>
            </w:r>
          </w:p>
          <w:p>
            <w:pPr>
              <w:spacing w:line="360" w:lineRule="auto"/>
              <w:ind w:firstLine="480" w:firstLineChars="200"/>
              <w:rPr>
                <w:color w:val="auto"/>
                <w:sz w:val="24"/>
                <w:highlight w:val="none"/>
              </w:rPr>
            </w:pPr>
            <w:r>
              <w:rPr>
                <w:color w:val="auto"/>
                <w:sz w:val="24"/>
                <w:highlight w:val="none"/>
              </w:rPr>
              <w:t>综上，（V</w:t>
            </w:r>
            <w:r>
              <w:rPr>
                <w:color w:val="auto"/>
                <w:sz w:val="24"/>
                <w:highlight w:val="none"/>
                <w:vertAlign w:val="subscript"/>
              </w:rPr>
              <w:t>1</w:t>
            </w:r>
            <w:r>
              <w:rPr>
                <w:color w:val="auto"/>
                <w:sz w:val="24"/>
                <w:highlight w:val="none"/>
              </w:rPr>
              <w:t>＋V</w:t>
            </w:r>
            <w:r>
              <w:rPr>
                <w:color w:val="auto"/>
                <w:sz w:val="24"/>
                <w:highlight w:val="none"/>
                <w:vertAlign w:val="subscript"/>
              </w:rPr>
              <w:t>2</w:t>
            </w:r>
            <w:r>
              <w:rPr>
                <w:color w:val="auto"/>
                <w:sz w:val="24"/>
                <w:highlight w:val="none"/>
              </w:rPr>
              <w:t>－V</w:t>
            </w:r>
            <w:r>
              <w:rPr>
                <w:color w:val="auto"/>
                <w:sz w:val="24"/>
                <w:highlight w:val="none"/>
                <w:vertAlign w:val="subscript"/>
              </w:rPr>
              <w:t>3</w:t>
            </w:r>
            <w:r>
              <w:rPr>
                <w:color w:val="auto"/>
                <w:sz w:val="24"/>
                <w:highlight w:val="none"/>
              </w:rPr>
              <w:t>）max取最大值，即危化品库值，最终计算结果：</w:t>
            </w:r>
          </w:p>
          <w:p>
            <w:pPr>
              <w:spacing w:line="360" w:lineRule="auto"/>
              <w:ind w:firstLine="480" w:firstLineChars="200"/>
              <w:rPr>
                <w:color w:val="auto"/>
                <w:sz w:val="24"/>
                <w:highlight w:val="none"/>
              </w:rPr>
            </w:pPr>
            <w:r>
              <w:rPr>
                <w:color w:val="auto"/>
                <w:sz w:val="24"/>
                <w:highlight w:val="none"/>
              </w:rPr>
              <w:t>V</w:t>
            </w:r>
            <w:r>
              <w:rPr>
                <w:color w:val="auto"/>
                <w:sz w:val="24"/>
                <w:highlight w:val="none"/>
                <w:vertAlign w:val="subscript"/>
              </w:rPr>
              <w:t>总</w:t>
            </w:r>
            <w:r>
              <w:rPr>
                <w:color w:val="auto"/>
                <w:sz w:val="24"/>
                <w:highlight w:val="none"/>
              </w:rPr>
              <w:t>＝（V</w:t>
            </w:r>
            <w:r>
              <w:rPr>
                <w:color w:val="auto"/>
                <w:sz w:val="24"/>
                <w:highlight w:val="none"/>
                <w:vertAlign w:val="subscript"/>
              </w:rPr>
              <w:t>1</w:t>
            </w:r>
            <w:r>
              <w:rPr>
                <w:color w:val="auto"/>
                <w:sz w:val="24"/>
                <w:highlight w:val="none"/>
              </w:rPr>
              <w:t>＋V</w:t>
            </w:r>
            <w:r>
              <w:rPr>
                <w:color w:val="auto"/>
                <w:sz w:val="24"/>
                <w:highlight w:val="none"/>
                <w:vertAlign w:val="subscript"/>
              </w:rPr>
              <w:t>2</w:t>
            </w:r>
            <w:r>
              <w:rPr>
                <w:color w:val="auto"/>
                <w:sz w:val="24"/>
                <w:highlight w:val="none"/>
              </w:rPr>
              <w:t>－V</w:t>
            </w:r>
            <w:r>
              <w:rPr>
                <w:color w:val="auto"/>
                <w:sz w:val="24"/>
                <w:highlight w:val="none"/>
                <w:vertAlign w:val="subscript"/>
              </w:rPr>
              <w:t>3</w:t>
            </w:r>
            <w:r>
              <w:rPr>
                <w:color w:val="auto"/>
                <w:sz w:val="24"/>
                <w:highlight w:val="none"/>
              </w:rPr>
              <w:t>）max＋V4+V5＝</w:t>
            </w:r>
            <w:r>
              <w:rPr>
                <w:rFonts w:hint="eastAsia"/>
                <w:color w:val="auto"/>
                <w:sz w:val="24"/>
                <w:highlight w:val="none"/>
              </w:rPr>
              <w:t>598</w:t>
            </w:r>
            <w:r>
              <w:rPr>
                <w:color w:val="auto"/>
                <w:sz w:val="24"/>
                <w:highlight w:val="none"/>
              </w:rPr>
              <w:t>+0+11＝</w:t>
            </w:r>
            <w:r>
              <w:rPr>
                <w:rFonts w:hint="eastAsia"/>
                <w:color w:val="auto"/>
                <w:sz w:val="24"/>
                <w:highlight w:val="none"/>
              </w:rPr>
              <w:t>609</w:t>
            </w:r>
            <w:r>
              <w:rPr>
                <w:color w:val="auto"/>
                <w:sz w:val="24"/>
                <w:highlight w:val="none"/>
              </w:rPr>
              <w:t>m³</w:t>
            </w:r>
          </w:p>
          <w:p>
            <w:pPr>
              <w:spacing w:line="360" w:lineRule="auto"/>
              <w:ind w:firstLine="480" w:firstLineChars="200"/>
              <w:rPr>
                <w:color w:val="auto"/>
                <w:sz w:val="24"/>
                <w:highlight w:val="none"/>
              </w:rPr>
            </w:pPr>
            <w:r>
              <w:rPr>
                <w:color w:val="auto"/>
                <w:sz w:val="24"/>
                <w:highlight w:val="none"/>
              </w:rPr>
              <w:t>通过以上基础数据可计算得本项目建成后全厂应急事故池的容积应不小于</w:t>
            </w:r>
            <w:r>
              <w:rPr>
                <w:rFonts w:hint="eastAsia"/>
                <w:color w:val="auto"/>
                <w:sz w:val="24"/>
                <w:highlight w:val="none"/>
              </w:rPr>
              <w:t>609</w:t>
            </w:r>
            <w:r>
              <w:rPr>
                <w:color w:val="auto"/>
                <w:sz w:val="24"/>
                <w:highlight w:val="none"/>
              </w:rPr>
              <w:t>m</w:t>
            </w:r>
            <w:r>
              <w:rPr>
                <w:color w:val="auto"/>
                <w:sz w:val="24"/>
                <w:highlight w:val="none"/>
                <w:vertAlign w:val="superscript"/>
              </w:rPr>
              <w:t>3</w:t>
            </w:r>
            <w:r>
              <w:rPr>
                <w:color w:val="auto"/>
                <w:sz w:val="24"/>
                <w:highlight w:val="none"/>
              </w:rPr>
              <w:t>，</w:t>
            </w:r>
            <w:r>
              <w:rPr>
                <w:rFonts w:hint="eastAsia"/>
                <w:color w:val="auto"/>
                <w:sz w:val="24"/>
                <w:highlight w:val="none"/>
              </w:rPr>
              <w:t>考虑企业建设发展需要，</w:t>
            </w:r>
            <w:r>
              <w:rPr>
                <w:color w:val="auto"/>
                <w:sz w:val="24"/>
                <w:highlight w:val="none"/>
              </w:rPr>
              <w:t>本项目设计建设</w:t>
            </w:r>
            <w:r>
              <w:rPr>
                <w:rFonts w:hint="eastAsia"/>
                <w:color w:val="auto"/>
                <w:sz w:val="24"/>
                <w:highlight w:val="none"/>
              </w:rPr>
              <w:t>80</w:t>
            </w:r>
            <w:r>
              <w:rPr>
                <w:color w:val="auto"/>
                <w:sz w:val="24"/>
                <w:highlight w:val="none"/>
              </w:rPr>
              <w:t>0m³事故池，满足事故应急要求。</w:t>
            </w:r>
          </w:p>
          <w:p>
            <w:pPr>
              <w:pStyle w:val="3"/>
              <w:spacing w:line="360" w:lineRule="auto"/>
              <w:ind w:firstLine="482" w:firstLineChars="200"/>
              <w:jc w:val="left"/>
              <w:rPr>
                <w:b/>
                <w:color w:val="auto"/>
                <w:sz w:val="24"/>
                <w:szCs w:val="24"/>
                <w:highlight w:val="none"/>
              </w:rPr>
            </w:pPr>
            <w:r>
              <w:rPr>
                <w:b/>
                <w:color w:val="auto"/>
                <w:sz w:val="24"/>
                <w:szCs w:val="24"/>
                <w:highlight w:val="none"/>
              </w:rPr>
              <w:fldChar w:fldCharType="begin"/>
            </w:r>
            <w:r>
              <w:rPr>
                <w:b/>
                <w:color w:val="auto"/>
                <w:sz w:val="24"/>
                <w:szCs w:val="24"/>
                <w:highlight w:val="none"/>
              </w:rPr>
              <w:instrText xml:space="preserve"> = 4 \* GB3 </w:instrText>
            </w:r>
            <w:r>
              <w:rPr>
                <w:b/>
                <w:color w:val="auto"/>
                <w:sz w:val="24"/>
                <w:szCs w:val="24"/>
                <w:highlight w:val="none"/>
              </w:rPr>
              <w:fldChar w:fldCharType="separate"/>
            </w:r>
            <w:r>
              <w:rPr>
                <w:rFonts w:hint="eastAsia" w:ascii="宋体" w:hAnsi="宋体" w:cs="宋体"/>
                <w:b/>
                <w:color w:val="auto"/>
                <w:sz w:val="24"/>
                <w:szCs w:val="24"/>
                <w:highlight w:val="none"/>
              </w:rPr>
              <w:t>④</w:t>
            </w:r>
            <w:r>
              <w:rPr>
                <w:b/>
                <w:color w:val="auto"/>
                <w:sz w:val="24"/>
                <w:szCs w:val="24"/>
                <w:highlight w:val="none"/>
              </w:rPr>
              <w:fldChar w:fldCharType="end"/>
            </w:r>
            <w:r>
              <w:rPr>
                <w:b/>
                <w:color w:val="auto"/>
                <w:sz w:val="24"/>
                <w:szCs w:val="24"/>
                <w:highlight w:val="none"/>
              </w:rPr>
              <w:t>废气事故排放防范措施</w:t>
            </w:r>
          </w:p>
          <w:p>
            <w:pPr>
              <w:spacing w:line="360" w:lineRule="auto"/>
              <w:ind w:firstLine="480" w:firstLineChars="200"/>
              <w:rPr>
                <w:color w:val="auto"/>
                <w:sz w:val="24"/>
                <w:highlight w:val="none"/>
              </w:rPr>
            </w:pPr>
            <w:r>
              <w:rPr>
                <w:color w:val="auto"/>
                <w:sz w:val="24"/>
                <w:highlight w:val="none"/>
              </w:rPr>
              <w:t>加强设备维修，确保废气收集率达到要求，确保废气治理措施稳定运行，确保污染物达标排放，废气治理设施和生产工艺同步运行，在处理设施达到正常运行条件后方可启动生产设备，在生产设备停止时残留的废气收集处理完毕后，方可停运处理设施。废气处理系统发生故障或检修时，对应生产工艺设备应停止运行，待检修完毕后同步投入使用。</w:t>
            </w:r>
          </w:p>
          <w:p>
            <w:pPr>
              <w:adjustRightInd w:val="0"/>
              <w:snapToGrid w:val="0"/>
              <w:spacing w:line="360" w:lineRule="auto"/>
              <w:ind w:firstLine="482" w:firstLineChars="200"/>
              <w:rPr>
                <w:b/>
                <w:color w:val="auto"/>
                <w:sz w:val="24"/>
                <w:highlight w:val="none"/>
              </w:rPr>
            </w:pPr>
            <w:r>
              <w:rPr>
                <w:b/>
                <w:color w:val="auto"/>
                <w:sz w:val="24"/>
                <w:highlight w:val="none"/>
              </w:rPr>
              <w:t>（4）建立环境治理设施监管联动机制要求</w:t>
            </w:r>
          </w:p>
          <w:p>
            <w:pPr>
              <w:adjustRightInd w:val="0"/>
              <w:snapToGrid w:val="0"/>
              <w:spacing w:line="360" w:lineRule="auto"/>
              <w:ind w:firstLine="480" w:firstLineChars="200"/>
              <w:rPr>
                <w:color w:val="auto"/>
                <w:sz w:val="24"/>
                <w:highlight w:val="none"/>
              </w:rPr>
            </w:pPr>
            <w:r>
              <w:rPr>
                <w:color w:val="auto"/>
                <w:sz w:val="24"/>
                <w:highlight w:val="none"/>
              </w:rPr>
              <w:t>根据《关于做好生态环境和应急管理部门联动工作的意见》（苏环办[2020]101号）中的相关要求，企业是各类环境治理设施建设、运行、维护和拆除的责任主体。企业要对脱硫脱硝、煤改气、挥发性有机物回收、污水处理、粉尘治理、RTO焚烧炉等六类环境治理设施开展安全风险辨识管控，要健全内部污染设施稳定运行和管理责任制度，严格依据标准规范建设环境治理设施，确保环境治理设施安全、稳定、有效运行。企业应对照苏环办[2020]101号文要求，制定危险废物管理计划并报生态环境部门备案，核查厂内</w:t>
            </w:r>
            <w:r>
              <w:rPr>
                <w:rFonts w:hint="eastAsia"/>
                <w:color w:val="auto"/>
                <w:sz w:val="24"/>
                <w:highlight w:val="none"/>
              </w:rPr>
              <w:t>废水处理设施、废气处理设施</w:t>
            </w:r>
            <w:r>
              <w:rPr>
                <w:color w:val="auto"/>
                <w:sz w:val="24"/>
                <w:highlight w:val="none"/>
              </w:rPr>
              <w:t>，若未进行安全风险辨识的，应根据文件要求及时完成有关工作并纳入监管体系。”</w:t>
            </w:r>
          </w:p>
          <w:p>
            <w:pPr>
              <w:adjustRightInd w:val="0"/>
              <w:snapToGrid w:val="0"/>
              <w:spacing w:line="360" w:lineRule="auto"/>
              <w:ind w:firstLine="480" w:firstLineChars="200"/>
              <w:rPr>
                <w:color w:val="auto"/>
                <w:sz w:val="24"/>
                <w:highlight w:val="none"/>
              </w:rPr>
            </w:pPr>
            <w:r>
              <w:rPr>
                <w:rFonts w:hint="eastAsia"/>
                <w:color w:val="auto"/>
                <w:sz w:val="24"/>
                <w:highlight w:val="none"/>
              </w:rPr>
              <w:t>本项目危险废物暂存于现有危废库内，并建立完善的台账系统，现有危废库须满足《危险废物贮存污染控制标准》（GB18597-2001）及其修改单的要求，危废委托资质单位处理。本项目涉及废水处理设施、挥发性有机物治理设施，企业要对污水处理装置泄漏和超标排放风险严格管控，建立管理责任制，定期进行泄漏检测，确保污染处理设施安全稳定运行，确保废水污染物达标排放；加强挥发性有机物治理设施管理，落实责任，确保稳定达标排放。</w:t>
            </w:r>
          </w:p>
          <w:p>
            <w:pPr>
              <w:pStyle w:val="65"/>
              <w:snapToGrid w:val="0"/>
              <w:spacing w:line="360" w:lineRule="auto"/>
              <w:ind w:firstLine="482" w:firstLineChars="200"/>
              <w:jc w:val="both"/>
              <w:rPr>
                <w:rFonts w:hint="default" w:ascii="Times New Roman" w:hAnsi="Times New Roman" w:eastAsia="宋体"/>
                <w:b/>
                <w:color w:val="auto"/>
                <w:kern w:val="2"/>
                <w:szCs w:val="24"/>
                <w:highlight w:val="none"/>
              </w:rPr>
            </w:pPr>
            <w:r>
              <w:rPr>
                <w:rFonts w:hint="default" w:ascii="Times New Roman" w:hAnsi="Times New Roman" w:eastAsia="宋体"/>
                <w:b/>
                <w:color w:val="auto"/>
                <w:kern w:val="2"/>
                <w:szCs w:val="24"/>
                <w:highlight w:val="none"/>
              </w:rPr>
              <w:t>（6）突发环境事件应急预案</w:t>
            </w:r>
          </w:p>
          <w:p>
            <w:pPr>
              <w:adjustRightInd w:val="0"/>
              <w:snapToGrid w:val="0"/>
              <w:spacing w:line="360" w:lineRule="auto"/>
              <w:ind w:firstLine="480" w:firstLineChars="200"/>
              <w:rPr>
                <w:color w:val="auto"/>
                <w:sz w:val="24"/>
                <w:highlight w:val="none"/>
              </w:rPr>
            </w:pPr>
            <w:r>
              <w:rPr>
                <w:color w:val="auto"/>
                <w:sz w:val="24"/>
                <w:highlight w:val="none"/>
              </w:rPr>
              <w:t>建设单位应该按照《企事业单位和工业园区突发环境事件应急预案编制导则》（DB32/T3795-2020）中的相关要求并结合本单位实际情况修编现有突发环境事件应急预案，并在环保部门进行备案，企业应配备足够的应急物资，完善事故水收集设施和雨水排口截止阀。加强环境风险防范应急体系建设，加强环境应急预案管理，定期开展应急演练，持续开展环境安全隐患排查整治，提升应急监测能力，加强应急物资管理。</w:t>
            </w:r>
          </w:p>
          <w:p>
            <w:pPr>
              <w:adjustRightInd w:val="0"/>
              <w:snapToGrid w:val="0"/>
              <w:spacing w:line="360" w:lineRule="auto"/>
              <w:ind w:firstLine="482" w:firstLineChars="200"/>
              <w:rPr>
                <w:b/>
                <w:bCs/>
                <w:color w:val="auto"/>
                <w:sz w:val="24"/>
                <w:highlight w:val="none"/>
              </w:rPr>
            </w:pPr>
            <w:r>
              <w:rPr>
                <w:b/>
                <w:bCs/>
                <w:color w:val="auto"/>
                <w:sz w:val="24"/>
                <w:highlight w:val="none"/>
              </w:rPr>
              <w:t>（7）环境风险评价结论</w:t>
            </w:r>
          </w:p>
          <w:p>
            <w:pPr>
              <w:pStyle w:val="3"/>
              <w:spacing w:line="360" w:lineRule="auto"/>
              <w:ind w:firstLine="480" w:firstLineChars="200"/>
              <w:jc w:val="left"/>
              <w:rPr>
                <w:b/>
                <w:bCs/>
                <w:color w:val="auto"/>
                <w:sz w:val="24"/>
                <w:szCs w:val="24"/>
                <w:highlight w:val="none"/>
              </w:rPr>
            </w:pPr>
            <w:r>
              <w:rPr>
                <w:color w:val="auto"/>
                <w:sz w:val="24"/>
                <w:szCs w:val="24"/>
                <w:highlight w:val="none"/>
              </w:rPr>
              <w:t>建设单位应加强风险管理，并认真落实本评价提出的各项风险防范措施，建设项目环境风险是可控的，对周围环境影响较小。</w:t>
            </w:r>
          </w:p>
          <w:p>
            <w:pPr>
              <w:spacing w:line="360" w:lineRule="auto"/>
              <w:jc w:val="center"/>
              <w:rPr>
                <w:b/>
                <w:bCs/>
                <w:color w:val="auto"/>
                <w:sz w:val="24"/>
                <w:highlight w:val="none"/>
              </w:rPr>
            </w:pPr>
          </w:p>
          <w:p>
            <w:pPr>
              <w:pStyle w:val="3"/>
              <w:jc w:val="left"/>
              <w:rPr>
                <w:color w:val="auto"/>
                <w:highlight w:val="none"/>
              </w:rPr>
            </w:pPr>
          </w:p>
          <w:p>
            <w:pPr>
              <w:rPr>
                <w:color w:val="auto"/>
                <w:highlight w:val="none"/>
              </w:rPr>
            </w:pPr>
          </w:p>
          <w:p>
            <w:pPr>
              <w:rPr>
                <w:color w:val="auto"/>
                <w:highlight w:val="none"/>
              </w:rPr>
            </w:pPr>
          </w:p>
          <w:p>
            <w:pPr>
              <w:pStyle w:val="3"/>
              <w:jc w:val="both"/>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tc>
      </w:tr>
    </w:tbl>
    <w:p>
      <w:pPr>
        <w:pStyle w:val="3"/>
        <w:spacing w:line="20" w:lineRule="exact"/>
        <w:jc w:val="both"/>
        <w:sectPr>
          <w:pgSz w:w="11907" w:h="16840"/>
          <w:pgMar w:top="1474" w:right="1474" w:bottom="1474" w:left="1474" w:header="851" w:footer="794" w:gutter="0"/>
          <w:pgNumType w:fmt="numberInDash"/>
          <w:cols w:space="720" w:num="1"/>
          <w:docGrid w:linePitch="312" w:charSpace="0"/>
        </w:sectPr>
      </w:pPr>
    </w:p>
    <w:p>
      <w:pPr>
        <w:pStyle w:val="30"/>
        <w:numPr>
          <w:ilvl w:val="0"/>
          <w:numId w:val="15"/>
        </w:numPr>
        <w:snapToGrid w:val="0"/>
        <w:spacing w:before="0" w:beforeAutospacing="0" w:after="0" w:afterAutospacing="0"/>
        <w:jc w:val="center"/>
        <w:outlineLvl w:val="0"/>
        <w:rPr>
          <w:rFonts w:ascii="Times New Roman" w:hAnsi="Times New Roman" w:eastAsia="黑体"/>
          <w:snapToGrid w:val="0"/>
          <w:sz w:val="30"/>
          <w:szCs w:val="30"/>
        </w:rPr>
      </w:pPr>
      <w:bookmarkStart w:id="8" w:name="_Toc88945583"/>
      <w:bookmarkStart w:id="9" w:name="_Hlk54167917"/>
      <w:r>
        <w:rPr>
          <w:rFonts w:ascii="Times New Roman" w:hAnsi="Times New Roman" w:eastAsia="黑体"/>
          <w:snapToGrid w:val="0"/>
          <w:sz w:val="30"/>
          <w:szCs w:val="30"/>
        </w:rPr>
        <w:t>环境保护措施监督检查清单</w:t>
      </w:r>
      <w:bookmarkEnd w:id="8"/>
      <w:bookmarkEnd w:id="9"/>
    </w:p>
    <w:tbl>
      <w:tblPr>
        <w:tblStyle w:val="34"/>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756"/>
        <w:gridCol w:w="499"/>
        <w:gridCol w:w="420"/>
        <w:gridCol w:w="1510"/>
        <w:gridCol w:w="1665"/>
        <w:gridCol w:w="1958"/>
        <w:gridCol w:w="218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23" w:hRule="atLeast"/>
          <w:jc w:val="center"/>
        </w:trPr>
        <w:tc>
          <w:tcPr>
            <w:tcW w:w="1271" w:type="dxa"/>
            <w:gridSpan w:val="2"/>
            <w:tcBorders>
              <w:top w:val="single" w:color="auto" w:sz="12" w:space="0"/>
              <w:left w:val="single" w:color="auto" w:sz="12" w:space="0"/>
              <w:bottom w:val="single" w:color="auto" w:sz="4" w:space="0"/>
              <w:tl2br w:val="single" w:color="auto" w:sz="4" w:space="0"/>
            </w:tcBorders>
          </w:tcPr>
          <w:p>
            <w:pPr>
              <w:adjustRightInd w:val="0"/>
              <w:snapToGrid w:val="0"/>
              <w:ind w:firstLine="720" w:firstLineChars="300"/>
              <w:rPr>
                <w:color w:val="auto"/>
                <w:sz w:val="24"/>
                <w:highlight w:val="none"/>
              </w:rPr>
            </w:pPr>
            <w:r>
              <w:rPr>
                <w:color w:val="auto"/>
                <w:sz w:val="24"/>
                <w:highlight w:val="none"/>
              </w:rPr>
              <w:t>内容</w:t>
            </w:r>
          </w:p>
          <w:p>
            <w:pPr>
              <w:adjustRightInd w:val="0"/>
              <w:snapToGrid w:val="0"/>
              <w:ind w:firstLine="120" w:firstLineChars="50"/>
              <w:rPr>
                <w:color w:val="auto"/>
                <w:sz w:val="24"/>
                <w:highlight w:val="none"/>
              </w:rPr>
            </w:pPr>
            <w:r>
              <w:rPr>
                <w:color w:val="auto"/>
                <w:sz w:val="24"/>
                <w:highlight w:val="none"/>
              </w:rPr>
              <w:t>要素</w:t>
            </w:r>
          </w:p>
        </w:tc>
        <w:tc>
          <w:tcPr>
            <w:tcW w:w="1986" w:type="dxa"/>
            <w:gridSpan w:val="2"/>
            <w:tcBorders>
              <w:top w:val="single" w:color="auto" w:sz="12" w:space="0"/>
              <w:bottom w:val="single" w:color="auto" w:sz="4" w:space="0"/>
            </w:tcBorders>
            <w:vAlign w:val="center"/>
          </w:tcPr>
          <w:p>
            <w:pPr>
              <w:adjustRightInd w:val="0"/>
              <w:snapToGrid w:val="0"/>
              <w:jc w:val="center"/>
              <w:rPr>
                <w:color w:val="auto"/>
                <w:sz w:val="24"/>
                <w:highlight w:val="none"/>
              </w:rPr>
            </w:pPr>
            <w:r>
              <w:rPr>
                <w:color w:val="auto"/>
                <w:sz w:val="24"/>
                <w:highlight w:val="none"/>
              </w:rPr>
              <w:t>排放口(编号、</w:t>
            </w:r>
          </w:p>
          <w:p>
            <w:pPr>
              <w:adjustRightInd w:val="0"/>
              <w:snapToGrid w:val="0"/>
              <w:jc w:val="center"/>
              <w:rPr>
                <w:color w:val="auto"/>
                <w:sz w:val="24"/>
                <w:highlight w:val="none"/>
              </w:rPr>
            </w:pPr>
            <w:r>
              <w:rPr>
                <w:color w:val="auto"/>
                <w:sz w:val="24"/>
                <w:highlight w:val="none"/>
              </w:rPr>
              <w:t>名称)/污染源</w:t>
            </w:r>
          </w:p>
        </w:tc>
        <w:tc>
          <w:tcPr>
            <w:tcW w:w="1701" w:type="dxa"/>
            <w:tcBorders>
              <w:top w:val="single" w:color="auto" w:sz="12" w:space="0"/>
              <w:bottom w:val="single" w:color="auto" w:sz="4" w:space="0"/>
            </w:tcBorders>
            <w:vAlign w:val="center"/>
          </w:tcPr>
          <w:p>
            <w:pPr>
              <w:adjustRightInd w:val="0"/>
              <w:snapToGrid w:val="0"/>
              <w:jc w:val="center"/>
              <w:rPr>
                <w:color w:val="auto"/>
                <w:sz w:val="24"/>
                <w:highlight w:val="none"/>
              </w:rPr>
            </w:pPr>
            <w:r>
              <w:rPr>
                <w:color w:val="auto"/>
                <w:sz w:val="24"/>
                <w:highlight w:val="none"/>
              </w:rPr>
              <w:t>污染物</w:t>
            </w:r>
          </w:p>
          <w:p>
            <w:pPr>
              <w:adjustRightInd w:val="0"/>
              <w:snapToGrid w:val="0"/>
              <w:jc w:val="center"/>
              <w:rPr>
                <w:color w:val="auto"/>
                <w:sz w:val="24"/>
                <w:highlight w:val="none"/>
              </w:rPr>
            </w:pPr>
            <w:r>
              <w:rPr>
                <w:color w:val="auto"/>
                <w:sz w:val="24"/>
                <w:highlight w:val="none"/>
              </w:rPr>
              <w:t>项目</w:t>
            </w:r>
          </w:p>
        </w:tc>
        <w:tc>
          <w:tcPr>
            <w:tcW w:w="1984" w:type="dxa"/>
            <w:tcBorders>
              <w:top w:val="single" w:color="auto" w:sz="12" w:space="0"/>
              <w:bottom w:val="single" w:color="auto" w:sz="4" w:space="0"/>
            </w:tcBorders>
            <w:vAlign w:val="center"/>
          </w:tcPr>
          <w:p>
            <w:pPr>
              <w:adjustRightInd w:val="0"/>
              <w:snapToGrid w:val="0"/>
              <w:jc w:val="center"/>
              <w:rPr>
                <w:color w:val="auto"/>
                <w:sz w:val="24"/>
                <w:highlight w:val="none"/>
              </w:rPr>
            </w:pPr>
            <w:r>
              <w:rPr>
                <w:color w:val="auto"/>
                <w:sz w:val="24"/>
                <w:highlight w:val="none"/>
              </w:rPr>
              <w:t>环境保护措施</w:t>
            </w:r>
          </w:p>
        </w:tc>
        <w:tc>
          <w:tcPr>
            <w:tcW w:w="2007" w:type="dxa"/>
            <w:tcBorders>
              <w:top w:val="single" w:color="auto" w:sz="12" w:space="0"/>
              <w:bottom w:val="single" w:color="auto" w:sz="4" w:space="0"/>
              <w:right w:val="single" w:color="auto" w:sz="12" w:space="0"/>
            </w:tcBorders>
            <w:vAlign w:val="center"/>
          </w:tcPr>
          <w:p>
            <w:pPr>
              <w:adjustRightInd w:val="0"/>
              <w:snapToGrid w:val="0"/>
              <w:jc w:val="center"/>
              <w:rPr>
                <w:color w:val="auto"/>
                <w:sz w:val="24"/>
                <w:highlight w:val="none"/>
              </w:rPr>
            </w:pPr>
            <w:r>
              <w:rPr>
                <w:color w:val="auto"/>
                <w:sz w:val="24"/>
                <w:highlight w:val="none"/>
              </w:rPr>
              <w:t>执行标准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271" w:type="dxa"/>
            <w:gridSpan w:val="2"/>
            <w:vMerge w:val="restart"/>
            <w:tcBorders>
              <w:top w:val="single" w:color="auto" w:sz="4" w:space="0"/>
              <w:left w:val="single" w:color="auto" w:sz="12" w:space="0"/>
            </w:tcBorders>
            <w:vAlign w:val="center"/>
          </w:tcPr>
          <w:p>
            <w:pPr>
              <w:adjustRightInd w:val="0"/>
              <w:snapToGrid w:val="0"/>
              <w:jc w:val="center"/>
              <w:rPr>
                <w:color w:val="auto"/>
                <w:sz w:val="24"/>
                <w:highlight w:val="none"/>
              </w:rPr>
            </w:pPr>
            <w:r>
              <w:rPr>
                <w:color w:val="auto"/>
                <w:sz w:val="24"/>
                <w:highlight w:val="none"/>
              </w:rPr>
              <w:t>大气环境</w:t>
            </w:r>
          </w:p>
        </w:tc>
        <w:tc>
          <w:tcPr>
            <w:tcW w:w="426" w:type="dxa"/>
            <w:vMerge w:val="restart"/>
            <w:tcBorders>
              <w:top w:val="single" w:color="auto" w:sz="4" w:space="0"/>
            </w:tcBorders>
            <w:vAlign w:val="center"/>
          </w:tcPr>
          <w:p>
            <w:pPr>
              <w:pStyle w:val="2"/>
              <w:jc w:val="center"/>
              <w:rPr>
                <w:color w:val="auto"/>
                <w:highlight w:val="none"/>
              </w:rPr>
            </w:pPr>
            <w:r>
              <w:rPr>
                <w:color w:val="auto"/>
                <w:sz w:val="24"/>
                <w:szCs w:val="24"/>
                <w:highlight w:val="none"/>
              </w:rPr>
              <w:t>P2</w:t>
            </w:r>
          </w:p>
        </w:tc>
        <w:tc>
          <w:tcPr>
            <w:tcW w:w="1560" w:type="dxa"/>
            <w:tcBorders>
              <w:top w:val="single" w:color="auto" w:sz="4" w:space="0"/>
              <w:bottom w:val="single" w:color="auto" w:sz="4" w:space="0"/>
            </w:tcBorders>
            <w:vAlign w:val="center"/>
          </w:tcPr>
          <w:p>
            <w:pPr>
              <w:widowControl/>
              <w:jc w:val="left"/>
              <w:rPr>
                <w:color w:val="auto"/>
                <w:sz w:val="24"/>
                <w:highlight w:val="none"/>
              </w:rPr>
            </w:pPr>
            <w:r>
              <w:rPr>
                <w:color w:val="auto"/>
                <w:sz w:val="24"/>
                <w:highlight w:val="none"/>
              </w:rPr>
              <w:t>零部件清洗废气</w:t>
            </w:r>
          </w:p>
        </w:tc>
        <w:tc>
          <w:tcPr>
            <w:tcW w:w="1701" w:type="dxa"/>
            <w:tcBorders>
              <w:top w:val="single" w:color="auto" w:sz="4" w:space="0"/>
              <w:bottom w:val="single" w:color="auto" w:sz="4" w:space="0"/>
            </w:tcBorders>
            <w:vAlign w:val="center"/>
          </w:tcPr>
          <w:p>
            <w:pPr>
              <w:adjustRightInd w:val="0"/>
              <w:snapToGrid w:val="0"/>
              <w:ind w:left="-30" w:right="-30"/>
              <w:jc w:val="center"/>
              <w:rPr>
                <w:bCs/>
                <w:color w:val="auto"/>
                <w:sz w:val="24"/>
                <w:highlight w:val="none"/>
                <w:shd w:val="clear" w:color="auto" w:fill="FFFFFF"/>
              </w:rPr>
            </w:pPr>
            <w:r>
              <w:rPr>
                <w:bCs/>
                <w:color w:val="auto"/>
                <w:sz w:val="24"/>
                <w:highlight w:val="none"/>
              </w:rPr>
              <w:t>非甲烷总烃、HCl</w:t>
            </w:r>
          </w:p>
        </w:tc>
        <w:tc>
          <w:tcPr>
            <w:tcW w:w="1984" w:type="dxa"/>
            <w:tcBorders>
              <w:top w:val="single" w:color="auto" w:sz="4" w:space="0"/>
              <w:bottom w:val="single" w:color="auto" w:sz="4" w:space="0"/>
            </w:tcBorders>
            <w:vAlign w:val="center"/>
          </w:tcPr>
          <w:p>
            <w:pPr>
              <w:jc w:val="center"/>
              <w:rPr>
                <w:bCs/>
                <w:color w:val="auto"/>
                <w:sz w:val="24"/>
                <w:highlight w:val="none"/>
              </w:rPr>
            </w:pPr>
            <w:r>
              <w:rPr>
                <w:rFonts w:hint="eastAsia"/>
                <w:bCs/>
                <w:color w:val="auto"/>
                <w:sz w:val="24"/>
                <w:highlight w:val="none"/>
              </w:rPr>
              <w:t>顶吸集气罩收集+碱液喷淋+除雾器+一级活性炭处理后+15m高排气筒P2排放。风量为10000m</w:t>
            </w:r>
            <w:r>
              <w:rPr>
                <w:rFonts w:hint="eastAsia"/>
                <w:bCs/>
                <w:color w:val="auto"/>
                <w:sz w:val="24"/>
                <w:highlight w:val="none"/>
                <w:vertAlign w:val="superscript"/>
              </w:rPr>
              <w:t>3</w:t>
            </w:r>
            <w:r>
              <w:rPr>
                <w:rFonts w:hint="eastAsia"/>
                <w:bCs/>
                <w:color w:val="auto"/>
                <w:sz w:val="24"/>
                <w:highlight w:val="none"/>
              </w:rPr>
              <w:t>/h，DN0.5m。</w:t>
            </w:r>
          </w:p>
        </w:tc>
        <w:tc>
          <w:tcPr>
            <w:tcW w:w="2007" w:type="dxa"/>
            <w:vMerge w:val="restart"/>
            <w:tcBorders>
              <w:top w:val="single" w:color="auto" w:sz="4" w:space="0"/>
              <w:right w:val="single" w:color="auto" w:sz="12" w:space="0"/>
            </w:tcBorders>
            <w:vAlign w:val="center"/>
          </w:tcPr>
          <w:p>
            <w:pPr>
              <w:adjustRightInd w:val="0"/>
              <w:snapToGrid w:val="0"/>
              <w:jc w:val="center"/>
              <w:rPr>
                <w:color w:val="auto"/>
                <w:sz w:val="24"/>
                <w:highlight w:val="none"/>
              </w:rPr>
            </w:pPr>
            <w:r>
              <w:rPr>
                <w:color w:val="auto"/>
                <w:kern w:val="0"/>
                <w:sz w:val="24"/>
                <w:highlight w:val="none"/>
              </w:rPr>
              <w:t>江苏省《大气污染物综合排放标准》</w:t>
            </w:r>
            <w:r>
              <w:rPr>
                <w:color w:val="auto"/>
                <w:sz w:val="24"/>
                <w:highlight w:val="none"/>
              </w:rPr>
              <w:t>（DB32/4041-2021）</w:t>
            </w:r>
            <w:r>
              <w:rPr>
                <w:color w:val="auto"/>
                <w:sz w:val="24"/>
                <w:highlight w:val="none"/>
                <w:shd w:val="clear" w:color="auto" w:fill="FFFFFF"/>
              </w:rPr>
              <w:t>表1、表3排放限值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16" w:hRule="atLeast"/>
          <w:jc w:val="center"/>
        </w:trPr>
        <w:tc>
          <w:tcPr>
            <w:tcW w:w="1271" w:type="dxa"/>
            <w:gridSpan w:val="2"/>
            <w:vMerge w:val="continue"/>
            <w:tcBorders>
              <w:left w:val="single" w:color="auto" w:sz="12" w:space="0"/>
            </w:tcBorders>
            <w:vAlign w:val="center"/>
          </w:tcPr>
          <w:p>
            <w:pPr>
              <w:adjustRightInd w:val="0"/>
              <w:snapToGrid w:val="0"/>
              <w:jc w:val="center"/>
              <w:rPr>
                <w:color w:val="auto"/>
                <w:sz w:val="24"/>
                <w:highlight w:val="none"/>
              </w:rPr>
            </w:pPr>
          </w:p>
        </w:tc>
        <w:tc>
          <w:tcPr>
            <w:tcW w:w="426" w:type="dxa"/>
            <w:vMerge w:val="continue"/>
            <w:vAlign w:val="center"/>
          </w:tcPr>
          <w:p>
            <w:pPr>
              <w:pStyle w:val="2"/>
              <w:jc w:val="center"/>
              <w:rPr>
                <w:color w:val="auto"/>
                <w:sz w:val="24"/>
                <w:szCs w:val="24"/>
                <w:highlight w:val="none"/>
              </w:rPr>
            </w:pPr>
          </w:p>
        </w:tc>
        <w:tc>
          <w:tcPr>
            <w:tcW w:w="1560" w:type="dxa"/>
            <w:tcBorders>
              <w:top w:val="single" w:color="auto" w:sz="4" w:space="0"/>
            </w:tcBorders>
            <w:vAlign w:val="center"/>
          </w:tcPr>
          <w:p>
            <w:pPr>
              <w:widowControl/>
              <w:jc w:val="left"/>
              <w:rPr>
                <w:color w:val="auto"/>
                <w:sz w:val="24"/>
                <w:highlight w:val="none"/>
              </w:rPr>
            </w:pPr>
            <w:r>
              <w:rPr>
                <w:color w:val="auto"/>
                <w:sz w:val="24"/>
                <w:highlight w:val="none"/>
              </w:rPr>
              <w:t>封口工序采用液化石油气燃烧废气</w:t>
            </w:r>
          </w:p>
        </w:tc>
        <w:tc>
          <w:tcPr>
            <w:tcW w:w="1701" w:type="dxa"/>
            <w:tcBorders>
              <w:top w:val="single" w:color="auto" w:sz="4" w:space="0"/>
            </w:tcBorders>
            <w:vAlign w:val="center"/>
          </w:tcPr>
          <w:p>
            <w:pPr>
              <w:adjustRightInd w:val="0"/>
              <w:snapToGrid w:val="0"/>
              <w:ind w:left="-30" w:right="-30"/>
              <w:jc w:val="center"/>
              <w:rPr>
                <w:bCs/>
                <w:color w:val="auto"/>
                <w:sz w:val="24"/>
                <w:highlight w:val="none"/>
              </w:rPr>
            </w:pPr>
            <w:r>
              <w:rPr>
                <w:bCs/>
                <w:color w:val="auto"/>
                <w:sz w:val="24"/>
                <w:highlight w:val="none"/>
              </w:rPr>
              <w:t>烟尘</w:t>
            </w:r>
            <w:r>
              <w:rPr>
                <w:rFonts w:hint="eastAsia"/>
                <w:bCs/>
                <w:color w:val="auto"/>
                <w:sz w:val="24"/>
                <w:highlight w:val="none"/>
              </w:rPr>
              <w:t>、</w:t>
            </w:r>
            <w:r>
              <w:rPr>
                <w:bCs/>
                <w:color w:val="auto"/>
                <w:sz w:val="24"/>
                <w:highlight w:val="none"/>
              </w:rPr>
              <w:t>二氧化硫</w:t>
            </w:r>
            <w:r>
              <w:rPr>
                <w:rFonts w:hint="eastAsia"/>
                <w:bCs/>
                <w:color w:val="auto"/>
                <w:sz w:val="24"/>
                <w:highlight w:val="none"/>
              </w:rPr>
              <w:t>、</w:t>
            </w:r>
          </w:p>
          <w:p>
            <w:pPr>
              <w:adjustRightInd w:val="0"/>
              <w:snapToGrid w:val="0"/>
              <w:ind w:left="-30" w:right="-30"/>
              <w:jc w:val="center"/>
              <w:rPr>
                <w:bCs/>
                <w:color w:val="auto"/>
                <w:sz w:val="24"/>
                <w:highlight w:val="none"/>
              </w:rPr>
            </w:pPr>
            <w:r>
              <w:rPr>
                <w:bCs/>
                <w:color w:val="auto"/>
                <w:sz w:val="24"/>
                <w:highlight w:val="none"/>
              </w:rPr>
              <w:t>氮氧化物</w:t>
            </w:r>
          </w:p>
        </w:tc>
        <w:tc>
          <w:tcPr>
            <w:tcW w:w="1984" w:type="dxa"/>
            <w:tcBorders>
              <w:top w:val="single" w:color="auto" w:sz="4" w:space="0"/>
              <w:bottom w:val="single" w:color="auto" w:sz="4" w:space="0"/>
            </w:tcBorders>
            <w:vAlign w:val="center"/>
          </w:tcPr>
          <w:p>
            <w:pPr>
              <w:jc w:val="center"/>
              <w:rPr>
                <w:bCs/>
                <w:color w:val="auto"/>
                <w:sz w:val="24"/>
                <w:highlight w:val="none"/>
              </w:rPr>
            </w:pPr>
            <w:r>
              <w:rPr>
                <w:rFonts w:hint="eastAsia"/>
                <w:bCs/>
                <w:color w:val="auto"/>
                <w:sz w:val="24"/>
                <w:highlight w:val="none"/>
              </w:rPr>
              <w:t>顶吸集气罩收集+</w:t>
            </w:r>
            <w:r>
              <w:rPr>
                <w:bCs/>
                <w:color w:val="auto"/>
                <w:sz w:val="24"/>
                <w:highlight w:val="none"/>
              </w:rPr>
              <w:t>15m高排气筒</w:t>
            </w:r>
            <w:r>
              <w:rPr>
                <w:rFonts w:hint="eastAsia"/>
                <w:bCs/>
                <w:color w:val="auto"/>
                <w:sz w:val="24"/>
                <w:highlight w:val="none"/>
              </w:rPr>
              <w:t>P2排放。风量为10000</w:t>
            </w:r>
            <w:r>
              <w:rPr>
                <w:bCs/>
                <w:color w:val="auto"/>
                <w:sz w:val="24"/>
                <w:highlight w:val="none"/>
              </w:rPr>
              <w:t>m</w:t>
            </w:r>
            <w:r>
              <w:rPr>
                <w:bCs/>
                <w:color w:val="auto"/>
                <w:sz w:val="24"/>
                <w:highlight w:val="none"/>
                <w:vertAlign w:val="superscript"/>
              </w:rPr>
              <w:t>3</w:t>
            </w:r>
            <w:r>
              <w:rPr>
                <w:bCs/>
                <w:color w:val="auto"/>
                <w:sz w:val="24"/>
                <w:highlight w:val="none"/>
              </w:rPr>
              <w:t>/h</w:t>
            </w:r>
          </w:p>
        </w:tc>
        <w:tc>
          <w:tcPr>
            <w:tcW w:w="2007" w:type="dxa"/>
            <w:vMerge w:val="continue"/>
            <w:tcBorders>
              <w:right w:val="single" w:color="auto" w:sz="12" w:space="0"/>
            </w:tcBorders>
            <w:vAlign w:val="center"/>
          </w:tcPr>
          <w:p>
            <w:pPr>
              <w:adjustRightInd w:val="0"/>
              <w:snapToGrid w:val="0"/>
              <w:jc w:val="center"/>
              <w:rPr>
                <w:color w:val="auto"/>
                <w:kern w:val="0"/>
                <w:sz w:val="24"/>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20" w:hRule="atLeast"/>
          <w:jc w:val="center"/>
        </w:trPr>
        <w:tc>
          <w:tcPr>
            <w:tcW w:w="1271" w:type="dxa"/>
            <w:gridSpan w:val="2"/>
            <w:vMerge w:val="continue"/>
            <w:tcBorders>
              <w:left w:val="single" w:color="auto" w:sz="12" w:space="0"/>
            </w:tcBorders>
            <w:vAlign w:val="center"/>
          </w:tcPr>
          <w:p>
            <w:pPr>
              <w:adjustRightInd w:val="0"/>
              <w:snapToGrid w:val="0"/>
              <w:jc w:val="center"/>
              <w:rPr>
                <w:color w:val="auto"/>
                <w:sz w:val="24"/>
                <w:highlight w:val="none"/>
              </w:rPr>
            </w:pPr>
          </w:p>
        </w:tc>
        <w:tc>
          <w:tcPr>
            <w:tcW w:w="426" w:type="dxa"/>
            <w:vAlign w:val="center"/>
          </w:tcPr>
          <w:p>
            <w:pPr>
              <w:pStyle w:val="2"/>
              <w:jc w:val="center"/>
              <w:rPr>
                <w:color w:val="auto"/>
                <w:sz w:val="24"/>
                <w:szCs w:val="24"/>
                <w:highlight w:val="none"/>
              </w:rPr>
            </w:pPr>
            <w:r>
              <w:rPr>
                <w:rFonts w:hint="eastAsia"/>
                <w:color w:val="auto"/>
                <w:sz w:val="24"/>
                <w:szCs w:val="24"/>
                <w:highlight w:val="none"/>
              </w:rPr>
              <w:t>P3</w:t>
            </w:r>
          </w:p>
        </w:tc>
        <w:tc>
          <w:tcPr>
            <w:tcW w:w="1560" w:type="dxa"/>
            <w:tcBorders>
              <w:top w:val="single" w:color="auto" w:sz="4" w:space="0"/>
            </w:tcBorders>
            <w:vAlign w:val="center"/>
          </w:tcPr>
          <w:p>
            <w:pPr>
              <w:jc w:val="left"/>
              <w:rPr>
                <w:color w:val="auto"/>
                <w:sz w:val="24"/>
                <w:highlight w:val="none"/>
              </w:rPr>
            </w:pPr>
            <w:r>
              <w:rPr>
                <w:rFonts w:hint="eastAsia"/>
                <w:color w:val="auto"/>
                <w:sz w:val="24"/>
                <w:highlight w:val="none"/>
              </w:rPr>
              <w:t>危废库</w:t>
            </w:r>
          </w:p>
        </w:tc>
        <w:tc>
          <w:tcPr>
            <w:tcW w:w="1701" w:type="dxa"/>
            <w:tcBorders>
              <w:top w:val="single" w:color="auto" w:sz="4" w:space="0"/>
            </w:tcBorders>
            <w:vAlign w:val="center"/>
          </w:tcPr>
          <w:p>
            <w:pPr>
              <w:adjustRightInd w:val="0"/>
              <w:snapToGrid w:val="0"/>
              <w:ind w:left="-30" w:right="-30"/>
              <w:jc w:val="center"/>
              <w:rPr>
                <w:bCs/>
                <w:color w:val="auto"/>
                <w:sz w:val="24"/>
                <w:highlight w:val="none"/>
              </w:rPr>
            </w:pPr>
            <w:r>
              <w:rPr>
                <w:bCs/>
                <w:color w:val="auto"/>
                <w:sz w:val="24"/>
                <w:highlight w:val="none"/>
              </w:rPr>
              <w:t>非甲烷总烃</w:t>
            </w:r>
          </w:p>
        </w:tc>
        <w:tc>
          <w:tcPr>
            <w:tcW w:w="1984" w:type="dxa"/>
            <w:tcBorders>
              <w:top w:val="single" w:color="auto" w:sz="4" w:space="0"/>
              <w:bottom w:val="single" w:color="auto" w:sz="4" w:space="0"/>
            </w:tcBorders>
            <w:vAlign w:val="center"/>
          </w:tcPr>
          <w:p>
            <w:pPr>
              <w:jc w:val="center"/>
              <w:rPr>
                <w:bCs/>
                <w:color w:val="auto"/>
                <w:sz w:val="24"/>
                <w:highlight w:val="none"/>
              </w:rPr>
            </w:pPr>
            <w:r>
              <w:rPr>
                <w:rFonts w:hint="eastAsia"/>
                <w:bCs/>
                <w:color w:val="auto"/>
                <w:sz w:val="24"/>
                <w:highlight w:val="none"/>
              </w:rPr>
              <w:t>负压收集+一级活性炭处理+</w:t>
            </w:r>
            <w:r>
              <w:rPr>
                <w:bCs/>
                <w:color w:val="auto"/>
                <w:sz w:val="24"/>
                <w:highlight w:val="none"/>
              </w:rPr>
              <w:t>15m高排气筒</w:t>
            </w:r>
            <w:r>
              <w:rPr>
                <w:rFonts w:hint="eastAsia"/>
                <w:bCs/>
                <w:color w:val="auto"/>
                <w:sz w:val="24"/>
                <w:highlight w:val="none"/>
              </w:rPr>
              <w:t>P3排放。风量为2000</w:t>
            </w:r>
            <w:r>
              <w:rPr>
                <w:bCs/>
                <w:color w:val="auto"/>
                <w:sz w:val="24"/>
                <w:highlight w:val="none"/>
              </w:rPr>
              <w:t>m</w:t>
            </w:r>
            <w:r>
              <w:rPr>
                <w:bCs/>
                <w:color w:val="auto"/>
                <w:sz w:val="24"/>
                <w:highlight w:val="none"/>
                <w:vertAlign w:val="superscript"/>
              </w:rPr>
              <w:t>3</w:t>
            </w:r>
            <w:r>
              <w:rPr>
                <w:bCs/>
                <w:color w:val="auto"/>
                <w:sz w:val="24"/>
                <w:highlight w:val="none"/>
              </w:rPr>
              <w:t>/h</w:t>
            </w:r>
          </w:p>
        </w:tc>
        <w:tc>
          <w:tcPr>
            <w:tcW w:w="2007" w:type="dxa"/>
            <w:vMerge w:val="continue"/>
            <w:tcBorders>
              <w:right w:val="single" w:color="auto" w:sz="12" w:space="0"/>
            </w:tcBorders>
            <w:vAlign w:val="center"/>
          </w:tcPr>
          <w:p>
            <w:pPr>
              <w:adjustRightInd w:val="0"/>
              <w:snapToGrid w:val="0"/>
              <w:jc w:val="center"/>
              <w:rPr>
                <w:color w:val="auto"/>
                <w:kern w:val="0"/>
                <w:sz w:val="24"/>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11" w:hRule="atLeast"/>
          <w:jc w:val="center"/>
        </w:trPr>
        <w:tc>
          <w:tcPr>
            <w:tcW w:w="1271" w:type="dxa"/>
            <w:gridSpan w:val="2"/>
            <w:vMerge w:val="restart"/>
            <w:tcBorders>
              <w:top w:val="single" w:color="auto" w:sz="4" w:space="0"/>
              <w:left w:val="single" w:color="auto" w:sz="12" w:space="0"/>
            </w:tcBorders>
            <w:vAlign w:val="center"/>
          </w:tcPr>
          <w:p>
            <w:pPr>
              <w:adjustRightInd w:val="0"/>
              <w:snapToGrid w:val="0"/>
              <w:jc w:val="center"/>
              <w:rPr>
                <w:color w:val="auto"/>
                <w:sz w:val="24"/>
                <w:highlight w:val="none"/>
              </w:rPr>
            </w:pPr>
            <w:r>
              <w:rPr>
                <w:color w:val="auto"/>
                <w:sz w:val="24"/>
                <w:highlight w:val="none"/>
              </w:rPr>
              <w:t>地表水环境</w:t>
            </w:r>
          </w:p>
        </w:tc>
        <w:tc>
          <w:tcPr>
            <w:tcW w:w="1986" w:type="dxa"/>
            <w:gridSpan w:val="2"/>
            <w:tcBorders>
              <w:top w:val="single" w:color="auto" w:sz="4" w:space="0"/>
              <w:bottom w:val="single" w:color="auto" w:sz="4" w:space="0"/>
            </w:tcBorders>
            <w:vAlign w:val="center"/>
          </w:tcPr>
          <w:p>
            <w:pPr>
              <w:widowControl/>
              <w:jc w:val="center"/>
              <w:rPr>
                <w:color w:val="auto"/>
                <w:sz w:val="24"/>
                <w:highlight w:val="none"/>
              </w:rPr>
            </w:pPr>
            <w:r>
              <w:rPr>
                <w:color w:val="auto"/>
                <w:sz w:val="24"/>
                <w:highlight w:val="none"/>
              </w:rPr>
              <w:t>零部件酸碱清洗水</w:t>
            </w:r>
          </w:p>
        </w:tc>
        <w:tc>
          <w:tcPr>
            <w:tcW w:w="1701" w:type="dxa"/>
            <w:tcBorders>
              <w:top w:val="single" w:color="auto" w:sz="4" w:space="0"/>
              <w:bottom w:val="single" w:color="auto" w:sz="4" w:space="0"/>
            </w:tcBorders>
            <w:vAlign w:val="center"/>
          </w:tcPr>
          <w:p>
            <w:pPr>
              <w:jc w:val="center"/>
              <w:rPr>
                <w:color w:val="auto"/>
                <w:sz w:val="24"/>
                <w:highlight w:val="none"/>
              </w:rPr>
            </w:pPr>
            <w:r>
              <w:rPr>
                <w:color w:val="auto"/>
                <w:sz w:val="24"/>
                <w:highlight w:val="none"/>
              </w:rPr>
              <w:t>pH、COD、SS</w:t>
            </w:r>
            <w:r>
              <w:rPr>
                <w:rFonts w:hint="eastAsia"/>
                <w:color w:val="auto"/>
                <w:sz w:val="24"/>
                <w:highlight w:val="none"/>
              </w:rPr>
              <w:t>、氨氮、总磷</w:t>
            </w:r>
          </w:p>
        </w:tc>
        <w:tc>
          <w:tcPr>
            <w:tcW w:w="1984" w:type="dxa"/>
            <w:vMerge w:val="restart"/>
            <w:tcBorders>
              <w:top w:val="single" w:color="auto" w:sz="4" w:space="0"/>
            </w:tcBorders>
            <w:vAlign w:val="center"/>
          </w:tcPr>
          <w:p>
            <w:pPr>
              <w:jc w:val="center"/>
              <w:rPr>
                <w:color w:val="auto"/>
                <w:sz w:val="24"/>
                <w:highlight w:val="none"/>
              </w:rPr>
            </w:pPr>
            <w:r>
              <w:rPr>
                <w:rFonts w:hint="eastAsia"/>
                <w:color w:val="auto"/>
                <w:sz w:val="24"/>
                <w:highlight w:val="none"/>
              </w:rPr>
              <w:t>依托现有</w:t>
            </w:r>
            <w:r>
              <w:rPr>
                <w:color w:val="auto"/>
                <w:sz w:val="24"/>
                <w:highlight w:val="none"/>
              </w:rPr>
              <w:t>酸碱废水</w:t>
            </w:r>
            <w:r>
              <w:rPr>
                <w:rFonts w:hint="eastAsia"/>
                <w:color w:val="auto"/>
                <w:sz w:val="24"/>
                <w:highlight w:val="none"/>
              </w:rPr>
              <w:t>中和</w:t>
            </w:r>
            <w:r>
              <w:rPr>
                <w:color w:val="auto"/>
                <w:sz w:val="24"/>
                <w:highlight w:val="none"/>
              </w:rPr>
              <w:t>处理装置</w:t>
            </w:r>
          </w:p>
        </w:tc>
        <w:tc>
          <w:tcPr>
            <w:tcW w:w="2007" w:type="dxa"/>
            <w:vMerge w:val="restart"/>
            <w:tcBorders>
              <w:top w:val="single" w:color="auto" w:sz="4" w:space="0"/>
              <w:right w:val="single" w:color="auto" w:sz="12" w:space="0"/>
            </w:tcBorders>
            <w:vAlign w:val="center"/>
          </w:tcPr>
          <w:p>
            <w:pPr>
              <w:adjustRightInd w:val="0"/>
              <w:snapToGrid w:val="0"/>
              <w:jc w:val="center"/>
              <w:rPr>
                <w:color w:val="auto"/>
                <w:sz w:val="24"/>
                <w:highlight w:val="none"/>
              </w:rPr>
            </w:pPr>
            <w:r>
              <w:rPr>
                <w:color w:val="auto"/>
                <w:sz w:val="24"/>
                <w:highlight w:val="none"/>
              </w:rPr>
              <w:t>江宁经济技术开发区污水处理厂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63" w:hRule="atLeast"/>
          <w:jc w:val="center"/>
        </w:trPr>
        <w:tc>
          <w:tcPr>
            <w:tcW w:w="1271" w:type="dxa"/>
            <w:gridSpan w:val="2"/>
            <w:vMerge w:val="continue"/>
            <w:tcBorders>
              <w:left w:val="single" w:color="auto" w:sz="12" w:space="0"/>
            </w:tcBorders>
            <w:vAlign w:val="center"/>
          </w:tcPr>
          <w:p>
            <w:pPr>
              <w:adjustRightInd w:val="0"/>
              <w:snapToGrid w:val="0"/>
              <w:jc w:val="center"/>
              <w:rPr>
                <w:color w:val="auto"/>
                <w:sz w:val="24"/>
                <w:highlight w:val="none"/>
              </w:rPr>
            </w:pPr>
          </w:p>
        </w:tc>
        <w:tc>
          <w:tcPr>
            <w:tcW w:w="1986" w:type="dxa"/>
            <w:gridSpan w:val="2"/>
            <w:tcBorders>
              <w:top w:val="single" w:color="auto" w:sz="4" w:space="0"/>
              <w:bottom w:val="single" w:color="auto" w:sz="4" w:space="0"/>
            </w:tcBorders>
            <w:vAlign w:val="center"/>
          </w:tcPr>
          <w:p>
            <w:pPr>
              <w:widowControl/>
              <w:jc w:val="center"/>
              <w:rPr>
                <w:color w:val="auto"/>
                <w:sz w:val="24"/>
                <w:highlight w:val="none"/>
              </w:rPr>
            </w:pPr>
            <w:r>
              <w:rPr>
                <w:color w:val="auto"/>
                <w:kern w:val="0"/>
                <w:sz w:val="24"/>
                <w:highlight w:val="none"/>
              </w:rPr>
              <w:t>废气处理喷淋水</w:t>
            </w:r>
          </w:p>
        </w:tc>
        <w:tc>
          <w:tcPr>
            <w:tcW w:w="1701" w:type="dxa"/>
            <w:tcBorders>
              <w:top w:val="single" w:color="auto" w:sz="4" w:space="0"/>
              <w:bottom w:val="single" w:color="auto" w:sz="4" w:space="0"/>
            </w:tcBorders>
            <w:vAlign w:val="center"/>
          </w:tcPr>
          <w:p>
            <w:pPr>
              <w:jc w:val="center"/>
              <w:rPr>
                <w:color w:val="auto"/>
                <w:sz w:val="24"/>
                <w:highlight w:val="none"/>
              </w:rPr>
            </w:pPr>
            <w:r>
              <w:rPr>
                <w:color w:val="auto"/>
                <w:sz w:val="24"/>
                <w:highlight w:val="none"/>
              </w:rPr>
              <w:t>pH、COD、SS</w:t>
            </w:r>
          </w:p>
        </w:tc>
        <w:tc>
          <w:tcPr>
            <w:tcW w:w="1984" w:type="dxa"/>
            <w:vMerge w:val="continue"/>
            <w:tcBorders>
              <w:bottom w:val="single" w:color="auto" w:sz="4" w:space="0"/>
            </w:tcBorders>
            <w:vAlign w:val="center"/>
          </w:tcPr>
          <w:p>
            <w:pPr>
              <w:jc w:val="center"/>
              <w:rPr>
                <w:color w:val="auto"/>
                <w:sz w:val="24"/>
                <w:highlight w:val="none"/>
              </w:rPr>
            </w:pPr>
          </w:p>
        </w:tc>
        <w:tc>
          <w:tcPr>
            <w:tcW w:w="2007" w:type="dxa"/>
            <w:vMerge w:val="continue"/>
            <w:tcBorders>
              <w:right w:val="single" w:color="auto" w:sz="12" w:space="0"/>
            </w:tcBorders>
            <w:vAlign w:val="center"/>
          </w:tcPr>
          <w:p>
            <w:pPr>
              <w:adjustRightInd w:val="0"/>
              <w:snapToGrid w:val="0"/>
              <w:jc w:val="center"/>
              <w:rPr>
                <w:color w:val="auto"/>
                <w:sz w:val="24"/>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34" w:hRule="atLeast"/>
          <w:jc w:val="center"/>
        </w:trPr>
        <w:tc>
          <w:tcPr>
            <w:tcW w:w="1271" w:type="dxa"/>
            <w:gridSpan w:val="2"/>
            <w:vMerge w:val="continue"/>
            <w:tcBorders>
              <w:left w:val="single" w:color="auto" w:sz="12" w:space="0"/>
            </w:tcBorders>
            <w:vAlign w:val="center"/>
          </w:tcPr>
          <w:p>
            <w:pPr>
              <w:adjustRightInd w:val="0"/>
              <w:snapToGrid w:val="0"/>
              <w:jc w:val="center"/>
              <w:rPr>
                <w:color w:val="auto"/>
                <w:sz w:val="24"/>
                <w:highlight w:val="none"/>
              </w:rPr>
            </w:pPr>
          </w:p>
        </w:tc>
        <w:tc>
          <w:tcPr>
            <w:tcW w:w="1986" w:type="dxa"/>
            <w:gridSpan w:val="2"/>
            <w:tcBorders>
              <w:top w:val="single" w:color="auto" w:sz="4" w:space="0"/>
              <w:bottom w:val="single" w:color="auto" w:sz="4" w:space="0"/>
            </w:tcBorders>
            <w:vAlign w:val="center"/>
          </w:tcPr>
          <w:p>
            <w:pPr>
              <w:widowControl/>
              <w:jc w:val="center"/>
              <w:rPr>
                <w:color w:val="auto"/>
                <w:kern w:val="0"/>
                <w:sz w:val="24"/>
                <w:highlight w:val="none"/>
              </w:rPr>
            </w:pPr>
            <w:r>
              <w:rPr>
                <w:color w:val="auto"/>
                <w:kern w:val="0"/>
                <w:sz w:val="24"/>
                <w:highlight w:val="none"/>
              </w:rPr>
              <w:t>冲洗水</w:t>
            </w:r>
          </w:p>
        </w:tc>
        <w:tc>
          <w:tcPr>
            <w:tcW w:w="1701" w:type="dxa"/>
            <w:tcBorders>
              <w:top w:val="single" w:color="auto" w:sz="4" w:space="0"/>
              <w:bottom w:val="single" w:color="auto" w:sz="4" w:space="0"/>
            </w:tcBorders>
            <w:vAlign w:val="center"/>
          </w:tcPr>
          <w:p>
            <w:pPr>
              <w:widowControl/>
              <w:jc w:val="center"/>
              <w:rPr>
                <w:color w:val="auto"/>
                <w:kern w:val="0"/>
                <w:highlight w:val="none"/>
              </w:rPr>
            </w:pPr>
            <w:r>
              <w:rPr>
                <w:color w:val="auto"/>
                <w:kern w:val="0"/>
                <w:szCs w:val="21"/>
                <w:highlight w:val="none"/>
              </w:rPr>
              <w:t>COD、SS</w:t>
            </w:r>
          </w:p>
        </w:tc>
        <w:tc>
          <w:tcPr>
            <w:tcW w:w="1984" w:type="dxa"/>
            <w:tcBorders>
              <w:bottom w:val="single" w:color="auto" w:sz="4" w:space="0"/>
            </w:tcBorders>
            <w:vAlign w:val="center"/>
          </w:tcPr>
          <w:p>
            <w:pPr>
              <w:jc w:val="center"/>
              <w:rPr>
                <w:color w:val="auto"/>
                <w:sz w:val="24"/>
                <w:highlight w:val="none"/>
              </w:rPr>
            </w:pPr>
            <w:r>
              <w:rPr>
                <w:color w:val="auto"/>
                <w:sz w:val="24"/>
                <w:highlight w:val="none"/>
              </w:rPr>
              <w:t>--</w:t>
            </w:r>
          </w:p>
        </w:tc>
        <w:tc>
          <w:tcPr>
            <w:tcW w:w="2007" w:type="dxa"/>
            <w:vMerge w:val="continue"/>
            <w:tcBorders>
              <w:right w:val="single" w:color="auto" w:sz="12" w:space="0"/>
            </w:tcBorders>
            <w:vAlign w:val="center"/>
          </w:tcPr>
          <w:p>
            <w:pPr>
              <w:adjustRightInd w:val="0"/>
              <w:snapToGrid w:val="0"/>
              <w:jc w:val="center"/>
              <w:rPr>
                <w:color w:val="auto"/>
                <w:sz w:val="24"/>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271" w:type="dxa"/>
            <w:gridSpan w:val="2"/>
            <w:vMerge w:val="continue"/>
            <w:tcBorders>
              <w:left w:val="single" w:color="auto" w:sz="12" w:space="0"/>
            </w:tcBorders>
            <w:vAlign w:val="center"/>
          </w:tcPr>
          <w:p>
            <w:pPr>
              <w:adjustRightInd w:val="0"/>
              <w:snapToGrid w:val="0"/>
              <w:jc w:val="center"/>
              <w:rPr>
                <w:color w:val="auto"/>
                <w:sz w:val="24"/>
                <w:highlight w:val="none"/>
              </w:rPr>
            </w:pPr>
          </w:p>
        </w:tc>
        <w:tc>
          <w:tcPr>
            <w:tcW w:w="1986" w:type="dxa"/>
            <w:gridSpan w:val="2"/>
            <w:tcBorders>
              <w:top w:val="single" w:color="auto" w:sz="4" w:space="0"/>
              <w:bottom w:val="single" w:color="auto" w:sz="4" w:space="0"/>
            </w:tcBorders>
            <w:vAlign w:val="center"/>
          </w:tcPr>
          <w:p>
            <w:pPr>
              <w:jc w:val="center"/>
              <w:rPr>
                <w:color w:val="auto"/>
                <w:kern w:val="0"/>
                <w:sz w:val="24"/>
                <w:highlight w:val="none"/>
              </w:rPr>
            </w:pPr>
            <w:r>
              <w:rPr>
                <w:color w:val="auto"/>
                <w:kern w:val="0"/>
                <w:sz w:val="24"/>
                <w:highlight w:val="none"/>
              </w:rPr>
              <w:t>循环水排水</w:t>
            </w:r>
          </w:p>
        </w:tc>
        <w:tc>
          <w:tcPr>
            <w:tcW w:w="1701" w:type="dxa"/>
            <w:tcBorders>
              <w:top w:val="single" w:color="auto" w:sz="4" w:space="0"/>
              <w:bottom w:val="single" w:color="auto" w:sz="4" w:space="0"/>
            </w:tcBorders>
            <w:vAlign w:val="center"/>
          </w:tcPr>
          <w:p>
            <w:pPr>
              <w:widowControl/>
              <w:jc w:val="center"/>
              <w:rPr>
                <w:color w:val="auto"/>
                <w:kern w:val="0"/>
                <w:highlight w:val="none"/>
              </w:rPr>
            </w:pPr>
            <w:r>
              <w:rPr>
                <w:color w:val="auto"/>
                <w:kern w:val="0"/>
                <w:szCs w:val="21"/>
                <w:highlight w:val="none"/>
              </w:rPr>
              <w:t>COD、SS</w:t>
            </w:r>
          </w:p>
        </w:tc>
        <w:tc>
          <w:tcPr>
            <w:tcW w:w="1984" w:type="dxa"/>
            <w:tcBorders>
              <w:top w:val="single" w:color="auto" w:sz="4" w:space="0"/>
              <w:bottom w:val="single" w:color="auto" w:sz="4" w:space="0"/>
            </w:tcBorders>
            <w:vAlign w:val="center"/>
          </w:tcPr>
          <w:p>
            <w:pPr>
              <w:jc w:val="center"/>
              <w:rPr>
                <w:color w:val="auto"/>
                <w:sz w:val="24"/>
                <w:highlight w:val="none"/>
              </w:rPr>
            </w:pPr>
            <w:r>
              <w:rPr>
                <w:color w:val="auto"/>
                <w:sz w:val="24"/>
                <w:highlight w:val="none"/>
              </w:rPr>
              <w:t>--</w:t>
            </w:r>
          </w:p>
        </w:tc>
        <w:tc>
          <w:tcPr>
            <w:tcW w:w="2007" w:type="dxa"/>
            <w:vMerge w:val="continue"/>
            <w:tcBorders>
              <w:right w:val="single" w:color="auto" w:sz="12" w:space="0"/>
            </w:tcBorders>
            <w:vAlign w:val="center"/>
          </w:tcPr>
          <w:p>
            <w:pPr>
              <w:adjustRightInd w:val="0"/>
              <w:snapToGrid w:val="0"/>
              <w:jc w:val="center"/>
              <w:rPr>
                <w:color w:val="auto"/>
                <w:sz w:val="24"/>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271" w:type="dxa"/>
            <w:gridSpan w:val="2"/>
            <w:vMerge w:val="continue"/>
            <w:tcBorders>
              <w:left w:val="single" w:color="auto" w:sz="12" w:space="0"/>
              <w:bottom w:val="single" w:color="auto" w:sz="4" w:space="0"/>
            </w:tcBorders>
            <w:vAlign w:val="center"/>
          </w:tcPr>
          <w:p>
            <w:pPr>
              <w:adjustRightInd w:val="0"/>
              <w:snapToGrid w:val="0"/>
              <w:jc w:val="center"/>
              <w:rPr>
                <w:color w:val="auto"/>
                <w:sz w:val="24"/>
                <w:highlight w:val="none"/>
              </w:rPr>
            </w:pPr>
          </w:p>
        </w:tc>
        <w:tc>
          <w:tcPr>
            <w:tcW w:w="1986" w:type="dxa"/>
            <w:gridSpan w:val="2"/>
            <w:tcBorders>
              <w:top w:val="single" w:color="auto" w:sz="4" w:space="0"/>
              <w:bottom w:val="single" w:color="auto" w:sz="4" w:space="0"/>
            </w:tcBorders>
            <w:vAlign w:val="center"/>
          </w:tcPr>
          <w:p>
            <w:pPr>
              <w:jc w:val="center"/>
              <w:rPr>
                <w:color w:val="auto"/>
                <w:kern w:val="0"/>
                <w:sz w:val="24"/>
                <w:highlight w:val="none"/>
              </w:rPr>
            </w:pPr>
            <w:r>
              <w:rPr>
                <w:color w:val="auto"/>
                <w:kern w:val="0"/>
                <w:sz w:val="24"/>
                <w:highlight w:val="none"/>
              </w:rPr>
              <w:t>纯水制备浓水</w:t>
            </w:r>
          </w:p>
        </w:tc>
        <w:tc>
          <w:tcPr>
            <w:tcW w:w="1701" w:type="dxa"/>
            <w:tcBorders>
              <w:top w:val="single" w:color="auto" w:sz="4" w:space="0"/>
              <w:bottom w:val="single" w:color="auto" w:sz="4" w:space="0"/>
            </w:tcBorders>
            <w:vAlign w:val="center"/>
          </w:tcPr>
          <w:p>
            <w:pPr>
              <w:jc w:val="center"/>
              <w:rPr>
                <w:color w:val="auto"/>
                <w:sz w:val="24"/>
                <w:highlight w:val="none"/>
              </w:rPr>
            </w:pPr>
            <w:r>
              <w:rPr>
                <w:rFonts w:hint="eastAsia"/>
                <w:color w:val="auto"/>
                <w:sz w:val="24"/>
                <w:highlight w:val="none"/>
              </w:rPr>
              <w:t>COD、SS</w:t>
            </w:r>
          </w:p>
        </w:tc>
        <w:tc>
          <w:tcPr>
            <w:tcW w:w="1984" w:type="dxa"/>
            <w:tcBorders>
              <w:top w:val="single" w:color="auto" w:sz="4" w:space="0"/>
              <w:bottom w:val="single" w:color="auto" w:sz="4" w:space="0"/>
            </w:tcBorders>
            <w:vAlign w:val="center"/>
          </w:tcPr>
          <w:p>
            <w:pPr>
              <w:jc w:val="center"/>
              <w:rPr>
                <w:color w:val="auto"/>
                <w:sz w:val="24"/>
                <w:highlight w:val="none"/>
              </w:rPr>
            </w:pPr>
            <w:r>
              <w:rPr>
                <w:color w:val="auto"/>
                <w:sz w:val="24"/>
                <w:highlight w:val="none"/>
              </w:rPr>
              <w:t>--</w:t>
            </w:r>
          </w:p>
        </w:tc>
        <w:tc>
          <w:tcPr>
            <w:tcW w:w="2007" w:type="dxa"/>
            <w:vMerge w:val="continue"/>
            <w:tcBorders>
              <w:bottom w:val="single" w:color="auto" w:sz="4" w:space="0"/>
              <w:right w:val="single" w:color="auto" w:sz="12" w:space="0"/>
            </w:tcBorders>
            <w:vAlign w:val="center"/>
          </w:tcPr>
          <w:p>
            <w:pPr>
              <w:adjustRightInd w:val="0"/>
              <w:snapToGrid w:val="0"/>
              <w:jc w:val="center"/>
              <w:rPr>
                <w:color w:val="auto"/>
                <w:sz w:val="24"/>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271" w:type="dxa"/>
            <w:gridSpan w:val="2"/>
            <w:tcBorders>
              <w:top w:val="single" w:color="auto" w:sz="4" w:space="0"/>
              <w:left w:val="single" w:color="auto" w:sz="12" w:space="0"/>
              <w:bottom w:val="single" w:color="auto" w:sz="4" w:space="0"/>
            </w:tcBorders>
            <w:vAlign w:val="center"/>
          </w:tcPr>
          <w:p>
            <w:pPr>
              <w:adjustRightInd w:val="0"/>
              <w:snapToGrid w:val="0"/>
              <w:jc w:val="center"/>
              <w:rPr>
                <w:color w:val="auto"/>
                <w:sz w:val="24"/>
                <w:highlight w:val="none"/>
              </w:rPr>
            </w:pPr>
            <w:r>
              <w:rPr>
                <w:color w:val="auto"/>
                <w:sz w:val="24"/>
                <w:highlight w:val="none"/>
              </w:rPr>
              <w:t>声环境</w:t>
            </w:r>
          </w:p>
        </w:tc>
        <w:tc>
          <w:tcPr>
            <w:tcW w:w="1986" w:type="dxa"/>
            <w:gridSpan w:val="2"/>
            <w:tcBorders>
              <w:top w:val="single" w:color="auto" w:sz="4" w:space="0"/>
              <w:bottom w:val="single" w:color="auto" w:sz="4" w:space="0"/>
            </w:tcBorders>
            <w:vAlign w:val="center"/>
          </w:tcPr>
          <w:p>
            <w:pPr>
              <w:jc w:val="center"/>
              <w:rPr>
                <w:color w:val="auto"/>
                <w:spacing w:val="-6"/>
                <w:sz w:val="24"/>
                <w:highlight w:val="none"/>
              </w:rPr>
            </w:pPr>
            <w:r>
              <w:rPr>
                <w:color w:val="auto"/>
                <w:spacing w:val="-6"/>
                <w:sz w:val="24"/>
                <w:highlight w:val="none"/>
              </w:rPr>
              <w:t>清洗机、风机噪声</w:t>
            </w:r>
          </w:p>
        </w:tc>
        <w:tc>
          <w:tcPr>
            <w:tcW w:w="1701" w:type="dxa"/>
            <w:tcBorders>
              <w:top w:val="single" w:color="auto" w:sz="4" w:space="0"/>
              <w:bottom w:val="single" w:color="auto" w:sz="4" w:space="0"/>
            </w:tcBorders>
            <w:vAlign w:val="center"/>
          </w:tcPr>
          <w:p>
            <w:pPr>
              <w:pStyle w:val="63"/>
              <w:spacing w:line="240" w:lineRule="auto"/>
              <w:rPr>
                <w:rFonts w:ascii="Times New Roman" w:hAnsi="Times New Roman"/>
                <w:color w:val="auto"/>
                <w:szCs w:val="24"/>
                <w:highlight w:val="none"/>
              </w:rPr>
            </w:pPr>
            <w:r>
              <w:rPr>
                <w:rFonts w:ascii="Times New Roman" w:hAnsi="Times New Roman"/>
                <w:color w:val="auto"/>
                <w:szCs w:val="24"/>
                <w:highlight w:val="none"/>
              </w:rPr>
              <w:t>等效A</w:t>
            </w:r>
          </w:p>
          <w:p>
            <w:pPr>
              <w:pStyle w:val="63"/>
              <w:spacing w:line="240" w:lineRule="auto"/>
              <w:rPr>
                <w:rFonts w:ascii="Times New Roman" w:hAnsi="Times New Roman"/>
                <w:color w:val="auto"/>
                <w:szCs w:val="24"/>
                <w:highlight w:val="none"/>
              </w:rPr>
            </w:pPr>
            <w:r>
              <w:rPr>
                <w:rFonts w:ascii="Times New Roman" w:hAnsi="Times New Roman"/>
                <w:color w:val="auto"/>
                <w:szCs w:val="24"/>
                <w:highlight w:val="none"/>
              </w:rPr>
              <w:t>声级</w:t>
            </w:r>
          </w:p>
        </w:tc>
        <w:tc>
          <w:tcPr>
            <w:tcW w:w="1984" w:type="dxa"/>
            <w:tcBorders>
              <w:top w:val="single" w:color="auto" w:sz="4" w:space="0"/>
              <w:bottom w:val="single" w:color="auto" w:sz="4" w:space="0"/>
            </w:tcBorders>
            <w:vAlign w:val="center"/>
          </w:tcPr>
          <w:p>
            <w:pPr>
              <w:tabs>
                <w:tab w:val="left" w:pos="3556"/>
              </w:tabs>
              <w:jc w:val="center"/>
              <w:rPr>
                <w:color w:val="auto"/>
                <w:sz w:val="24"/>
                <w:highlight w:val="none"/>
              </w:rPr>
            </w:pPr>
            <w:r>
              <w:rPr>
                <w:rFonts w:hint="eastAsia"/>
                <w:color w:val="auto"/>
                <w:sz w:val="24"/>
                <w:highlight w:val="none"/>
              </w:rPr>
              <w:t>合理布局、减振、隔声、距离衰减。</w:t>
            </w:r>
          </w:p>
        </w:tc>
        <w:tc>
          <w:tcPr>
            <w:tcW w:w="2007" w:type="dxa"/>
            <w:tcBorders>
              <w:top w:val="single" w:color="auto" w:sz="4" w:space="0"/>
              <w:bottom w:val="single" w:color="auto" w:sz="4" w:space="0"/>
              <w:right w:val="single" w:color="auto" w:sz="12" w:space="0"/>
            </w:tcBorders>
            <w:vAlign w:val="center"/>
          </w:tcPr>
          <w:p>
            <w:pPr>
              <w:pStyle w:val="71"/>
              <w:widowControl w:val="0"/>
              <w:pBdr>
                <w:left w:val="none" w:color="auto" w:sz="0" w:space="0"/>
                <w:bottom w:val="none" w:color="auto" w:sz="0" w:space="0"/>
                <w:right w:val="none" w:color="auto" w:sz="0" w:space="0"/>
              </w:pBdr>
              <w:spacing w:before="0" w:beforeAutospacing="0" w:after="0" w:afterAutospacing="0"/>
              <w:textAlignment w:val="auto"/>
              <w:rPr>
                <w:rFonts w:ascii="Times New Roman" w:hAnsi="Times New Roman" w:eastAsia="宋体"/>
                <w:color w:val="auto"/>
                <w:kern w:val="2"/>
                <w:highlight w:val="none"/>
              </w:rPr>
            </w:pPr>
            <w:r>
              <w:rPr>
                <w:rFonts w:ascii="Times New Roman" w:hAnsi="Times New Roman" w:eastAsia="宋体"/>
                <w:color w:val="auto"/>
                <w:kern w:val="2"/>
                <w:highlight w:val="none"/>
              </w:rPr>
              <w:t>《工业企业厂界环境噪声排放标准》（GB12348-2008）</w:t>
            </w:r>
            <w:r>
              <w:rPr>
                <w:rFonts w:hint="eastAsia" w:ascii="Times New Roman" w:hAnsi="Times New Roman" w:eastAsia="宋体"/>
                <w:color w:val="auto"/>
                <w:kern w:val="2"/>
                <w:highlight w:val="none"/>
              </w:rPr>
              <w:t>2</w:t>
            </w:r>
            <w:r>
              <w:rPr>
                <w:rFonts w:ascii="Times New Roman" w:hAnsi="Times New Roman" w:eastAsia="宋体"/>
                <w:color w:val="auto"/>
                <w:kern w:val="2"/>
                <w:highlight w:val="none"/>
              </w:rPr>
              <w:t>类标准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271" w:type="dxa"/>
            <w:gridSpan w:val="2"/>
            <w:tcBorders>
              <w:top w:val="single" w:color="auto" w:sz="4" w:space="0"/>
              <w:left w:val="single" w:color="auto" w:sz="12" w:space="0"/>
              <w:bottom w:val="single" w:color="auto" w:sz="4" w:space="0"/>
            </w:tcBorders>
            <w:vAlign w:val="center"/>
          </w:tcPr>
          <w:p>
            <w:pPr>
              <w:adjustRightInd w:val="0"/>
              <w:snapToGrid w:val="0"/>
              <w:jc w:val="center"/>
              <w:rPr>
                <w:color w:val="auto"/>
                <w:sz w:val="24"/>
                <w:highlight w:val="none"/>
              </w:rPr>
            </w:pPr>
            <w:r>
              <w:rPr>
                <w:color w:val="auto"/>
                <w:sz w:val="24"/>
                <w:highlight w:val="none"/>
              </w:rPr>
              <w:t>电磁辐射</w:t>
            </w:r>
          </w:p>
        </w:tc>
        <w:tc>
          <w:tcPr>
            <w:tcW w:w="1986" w:type="dxa"/>
            <w:gridSpan w:val="2"/>
            <w:tcBorders>
              <w:top w:val="single" w:color="auto" w:sz="4" w:space="0"/>
              <w:bottom w:val="single" w:color="auto" w:sz="4" w:space="0"/>
            </w:tcBorders>
            <w:vAlign w:val="center"/>
          </w:tcPr>
          <w:p>
            <w:pPr>
              <w:adjustRightInd w:val="0"/>
              <w:snapToGrid w:val="0"/>
              <w:jc w:val="center"/>
              <w:rPr>
                <w:color w:val="auto"/>
                <w:sz w:val="24"/>
                <w:highlight w:val="none"/>
              </w:rPr>
            </w:pPr>
            <w:r>
              <w:rPr>
                <w:color w:val="auto"/>
                <w:sz w:val="24"/>
                <w:highlight w:val="none"/>
              </w:rPr>
              <w:t>--</w:t>
            </w:r>
          </w:p>
        </w:tc>
        <w:tc>
          <w:tcPr>
            <w:tcW w:w="1701" w:type="dxa"/>
            <w:tcBorders>
              <w:top w:val="single" w:color="auto" w:sz="4" w:space="0"/>
              <w:bottom w:val="single" w:color="auto" w:sz="4" w:space="0"/>
            </w:tcBorders>
            <w:vAlign w:val="center"/>
          </w:tcPr>
          <w:p>
            <w:pPr>
              <w:adjustRightInd w:val="0"/>
              <w:snapToGrid w:val="0"/>
              <w:jc w:val="center"/>
              <w:rPr>
                <w:color w:val="auto"/>
                <w:sz w:val="24"/>
                <w:highlight w:val="none"/>
              </w:rPr>
            </w:pPr>
            <w:r>
              <w:rPr>
                <w:color w:val="auto"/>
                <w:sz w:val="24"/>
                <w:highlight w:val="none"/>
              </w:rPr>
              <w:t>--</w:t>
            </w:r>
          </w:p>
        </w:tc>
        <w:tc>
          <w:tcPr>
            <w:tcW w:w="1984" w:type="dxa"/>
            <w:tcBorders>
              <w:top w:val="single" w:color="auto" w:sz="4" w:space="0"/>
              <w:bottom w:val="single" w:color="auto" w:sz="4" w:space="0"/>
            </w:tcBorders>
            <w:vAlign w:val="center"/>
          </w:tcPr>
          <w:p>
            <w:pPr>
              <w:adjustRightInd w:val="0"/>
              <w:snapToGrid w:val="0"/>
              <w:jc w:val="center"/>
              <w:rPr>
                <w:color w:val="auto"/>
                <w:sz w:val="24"/>
                <w:highlight w:val="none"/>
              </w:rPr>
            </w:pPr>
            <w:r>
              <w:rPr>
                <w:color w:val="auto"/>
                <w:sz w:val="24"/>
                <w:highlight w:val="none"/>
              </w:rPr>
              <w:t>--</w:t>
            </w:r>
          </w:p>
        </w:tc>
        <w:tc>
          <w:tcPr>
            <w:tcW w:w="2007" w:type="dxa"/>
            <w:tcBorders>
              <w:top w:val="single" w:color="auto" w:sz="4" w:space="0"/>
              <w:bottom w:val="single" w:color="auto" w:sz="4" w:space="0"/>
              <w:right w:val="single" w:color="auto" w:sz="12" w:space="0"/>
            </w:tcBorders>
            <w:vAlign w:val="center"/>
          </w:tcPr>
          <w:p>
            <w:pPr>
              <w:adjustRightInd w:val="0"/>
              <w:snapToGrid w:val="0"/>
              <w:jc w:val="center"/>
              <w:rPr>
                <w:color w:val="auto"/>
                <w:sz w:val="24"/>
                <w:highlight w:val="none"/>
              </w:rPr>
            </w:pPr>
            <w:r>
              <w:rPr>
                <w:color w:val="auto"/>
                <w:sz w:val="24"/>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758" w:type="dxa"/>
            <w:tcBorders>
              <w:top w:val="single" w:color="auto" w:sz="4" w:space="0"/>
              <w:left w:val="single" w:color="auto" w:sz="12" w:space="0"/>
              <w:bottom w:val="single" w:color="auto" w:sz="4" w:space="0"/>
            </w:tcBorders>
            <w:vAlign w:val="center"/>
          </w:tcPr>
          <w:p>
            <w:pPr>
              <w:adjustRightInd w:val="0"/>
              <w:snapToGrid w:val="0"/>
              <w:jc w:val="center"/>
              <w:rPr>
                <w:color w:val="auto"/>
                <w:sz w:val="24"/>
                <w:highlight w:val="none"/>
              </w:rPr>
            </w:pPr>
            <w:r>
              <w:rPr>
                <w:color w:val="auto"/>
                <w:sz w:val="24"/>
                <w:highlight w:val="none"/>
              </w:rPr>
              <w:t>固体</w:t>
            </w:r>
          </w:p>
          <w:p>
            <w:pPr>
              <w:adjustRightInd w:val="0"/>
              <w:snapToGrid w:val="0"/>
              <w:jc w:val="center"/>
              <w:rPr>
                <w:color w:val="auto"/>
                <w:sz w:val="24"/>
                <w:highlight w:val="none"/>
              </w:rPr>
            </w:pPr>
            <w:r>
              <w:rPr>
                <w:color w:val="auto"/>
                <w:sz w:val="24"/>
                <w:highlight w:val="none"/>
              </w:rPr>
              <w:t>废物</w:t>
            </w:r>
          </w:p>
        </w:tc>
        <w:tc>
          <w:tcPr>
            <w:tcW w:w="8191" w:type="dxa"/>
            <w:gridSpan w:val="6"/>
            <w:tcBorders>
              <w:top w:val="single" w:color="auto" w:sz="4" w:space="0"/>
              <w:bottom w:val="single" w:color="auto" w:sz="4" w:space="0"/>
              <w:right w:val="single" w:color="auto" w:sz="12" w:space="0"/>
            </w:tcBorders>
            <w:vAlign w:val="center"/>
          </w:tcPr>
          <w:p>
            <w:pPr>
              <w:numPr>
                <w:ilvl w:val="0"/>
                <w:numId w:val="16"/>
              </w:numPr>
              <w:adjustRightInd w:val="0"/>
              <w:snapToGrid w:val="0"/>
              <w:spacing w:line="360" w:lineRule="auto"/>
              <w:ind w:firstLine="480" w:firstLineChars="200"/>
              <w:rPr>
                <w:color w:val="auto"/>
                <w:sz w:val="24"/>
                <w:highlight w:val="none"/>
              </w:rPr>
            </w:pPr>
            <w:r>
              <w:rPr>
                <w:color w:val="auto"/>
                <w:sz w:val="24"/>
                <w:highlight w:val="none"/>
              </w:rPr>
              <w:t>一般工业固体废物依托现有固废堆场两处20m</w:t>
            </w:r>
            <w:r>
              <w:rPr>
                <w:color w:val="auto"/>
                <w:sz w:val="24"/>
                <w:highlight w:val="none"/>
                <w:vertAlign w:val="superscript"/>
              </w:rPr>
              <w:t>2</w:t>
            </w:r>
            <w:r>
              <w:rPr>
                <w:rStyle w:val="43"/>
                <w:rFonts w:hint="eastAsia"/>
                <w:color w:val="auto"/>
                <w:kern w:val="0"/>
                <w:szCs w:val="20"/>
                <w:highlight w:val="none"/>
              </w:rPr>
              <w:t>，</w:t>
            </w:r>
            <w:r>
              <w:rPr>
                <w:rStyle w:val="43"/>
                <w:rFonts w:hint="eastAsia"/>
                <w:color w:val="auto"/>
                <w:kern w:val="0"/>
                <w:sz w:val="24"/>
                <w:highlight w:val="none"/>
              </w:rPr>
              <w:t>每处堆场10</w:t>
            </w:r>
            <w:r>
              <w:rPr>
                <w:color w:val="auto"/>
                <w:sz w:val="24"/>
                <w:highlight w:val="none"/>
              </w:rPr>
              <w:t>m</w:t>
            </w:r>
            <w:r>
              <w:rPr>
                <w:color w:val="auto"/>
                <w:sz w:val="24"/>
                <w:highlight w:val="none"/>
                <w:vertAlign w:val="superscript"/>
              </w:rPr>
              <w:t>2</w:t>
            </w:r>
            <w:r>
              <w:rPr>
                <w:color w:val="auto"/>
                <w:sz w:val="24"/>
                <w:highlight w:val="none"/>
              </w:rPr>
              <w:t>，固废堆场要符合</w:t>
            </w:r>
            <w:r>
              <w:rPr>
                <w:bCs/>
                <w:color w:val="auto"/>
                <w:kern w:val="21"/>
                <w:sz w:val="24"/>
                <w:highlight w:val="none"/>
              </w:rPr>
              <w:t>《一般工业固体废物贮存、处置场污染控制标准》（GB18599-2020）要求；</w:t>
            </w:r>
          </w:p>
          <w:p>
            <w:pPr>
              <w:pStyle w:val="2"/>
              <w:numPr>
                <w:ilvl w:val="0"/>
                <w:numId w:val="16"/>
              </w:numPr>
              <w:spacing w:line="360" w:lineRule="auto"/>
              <w:ind w:firstLine="480" w:firstLineChars="200"/>
              <w:rPr>
                <w:bCs/>
                <w:color w:val="auto"/>
                <w:kern w:val="21"/>
                <w:sz w:val="24"/>
                <w:szCs w:val="24"/>
                <w:highlight w:val="none"/>
              </w:rPr>
            </w:pPr>
            <w:r>
              <w:rPr>
                <w:color w:val="auto"/>
                <w:sz w:val="24"/>
                <w:szCs w:val="24"/>
                <w:highlight w:val="none"/>
              </w:rPr>
              <w:t>危险废物（清洗废液、废润滑油、废包装瓶、废活性炭）：依托现有危废库（30</w:t>
            </w:r>
            <w:r>
              <w:rPr>
                <w:color w:val="auto"/>
                <w:sz w:val="24"/>
                <w:highlight w:val="none"/>
              </w:rPr>
              <w:t>m</w:t>
            </w:r>
            <w:r>
              <w:rPr>
                <w:color w:val="auto"/>
                <w:sz w:val="24"/>
                <w:highlight w:val="none"/>
                <w:vertAlign w:val="superscript"/>
              </w:rPr>
              <w:t>2</w:t>
            </w:r>
            <w:r>
              <w:rPr>
                <w:color w:val="auto"/>
                <w:sz w:val="24"/>
                <w:highlight w:val="none"/>
              </w:rPr>
              <w:t>）</w:t>
            </w:r>
            <w:r>
              <w:rPr>
                <w:color w:val="auto"/>
                <w:sz w:val="24"/>
                <w:szCs w:val="24"/>
                <w:highlight w:val="none"/>
              </w:rPr>
              <w:t>，定期送有资质单位处理，危废仓库按照</w:t>
            </w:r>
            <w:r>
              <w:rPr>
                <w:bCs/>
                <w:color w:val="auto"/>
                <w:kern w:val="21"/>
                <w:sz w:val="24"/>
                <w:szCs w:val="24"/>
                <w:highlight w:val="none"/>
              </w:rPr>
              <w:t>《危险废物贮存污染控制》（GB18597-2001）（2013年修订）和《关于印发江苏省危险废物贮存规范化管理专项整治行动方案的通知》（苏环办[2019]149号）、《省生态环境厅关于进一步加强危险废物污染防治工作的实施意见》（苏环办[2019]327号）、《关于进一步加强危险废物污染防治工作的实施意见》(苏环办[2019]222号)要求建设，采取四防措施，危险废物采取密封包装，并张贴危险废物标志牌；</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758" w:type="dxa"/>
            <w:tcBorders>
              <w:top w:val="single" w:color="auto" w:sz="4" w:space="0"/>
              <w:left w:val="single" w:color="auto" w:sz="12" w:space="0"/>
              <w:bottom w:val="single" w:color="auto" w:sz="4" w:space="0"/>
            </w:tcBorders>
            <w:vAlign w:val="center"/>
          </w:tcPr>
          <w:p>
            <w:pPr>
              <w:adjustRightInd w:val="0"/>
              <w:snapToGrid w:val="0"/>
              <w:jc w:val="center"/>
              <w:rPr>
                <w:color w:val="auto"/>
                <w:sz w:val="24"/>
                <w:highlight w:val="none"/>
              </w:rPr>
            </w:pPr>
            <w:r>
              <w:rPr>
                <w:color w:val="auto"/>
                <w:sz w:val="24"/>
                <w:highlight w:val="none"/>
              </w:rPr>
              <w:t>土壤</w:t>
            </w:r>
          </w:p>
          <w:p>
            <w:pPr>
              <w:adjustRightInd w:val="0"/>
              <w:snapToGrid w:val="0"/>
              <w:jc w:val="center"/>
              <w:rPr>
                <w:color w:val="auto"/>
                <w:sz w:val="24"/>
                <w:highlight w:val="none"/>
              </w:rPr>
            </w:pPr>
            <w:r>
              <w:rPr>
                <w:color w:val="auto"/>
                <w:sz w:val="24"/>
                <w:highlight w:val="none"/>
              </w:rPr>
              <w:t>及地</w:t>
            </w:r>
          </w:p>
          <w:p>
            <w:pPr>
              <w:adjustRightInd w:val="0"/>
              <w:snapToGrid w:val="0"/>
              <w:jc w:val="center"/>
              <w:rPr>
                <w:color w:val="auto"/>
                <w:sz w:val="24"/>
                <w:highlight w:val="none"/>
              </w:rPr>
            </w:pPr>
            <w:r>
              <w:rPr>
                <w:color w:val="auto"/>
                <w:sz w:val="24"/>
                <w:highlight w:val="none"/>
              </w:rPr>
              <w:t>下水</w:t>
            </w:r>
          </w:p>
          <w:p>
            <w:pPr>
              <w:adjustRightInd w:val="0"/>
              <w:snapToGrid w:val="0"/>
              <w:jc w:val="center"/>
              <w:rPr>
                <w:color w:val="auto"/>
                <w:sz w:val="24"/>
                <w:highlight w:val="none"/>
              </w:rPr>
            </w:pPr>
            <w:r>
              <w:rPr>
                <w:color w:val="auto"/>
                <w:sz w:val="24"/>
                <w:highlight w:val="none"/>
              </w:rPr>
              <w:t>污染</w:t>
            </w:r>
          </w:p>
          <w:p>
            <w:pPr>
              <w:adjustRightInd w:val="0"/>
              <w:snapToGrid w:val="0"/>
              <w:jc w:val="center"/>
              <w:rPr>
                <w:color w:val="auto"/>
                <w:sz w:val="24"/>
                <w:highlight w:val="none"/>
              </w:rPr>
            </w:pPr>
            <w:r>
              <w:rPr>
                <w:color w:val="auto"/>
                <w:sz w:val="24"/>
                <w:highlight w:val="none"/>
              </w:rPr>
              <w:t>防治</w:t>
            </w:r>
          </w:p>
          <w:p>
            <w:pPr>
              <w:adjustRightInd w:val="0"/>
              <w:snapToGrid w:val="0"/>
              <w:jc w:val="center"/>
              <w:rPr>
                <w:color w:val="auto"/>
                <w:sz w:val="24"/>
                <w:highlight w:val="none"/>
              </w:rPr>
            </w:pPr>
            <w:r>
              <w:rPr>
                <w:color w:val="auto"/>
                <w:sz w:val="24"/>
                <w:highlight w:val="none"/>
              </w:rPr>
              <w:t>措施</w:t>
            </w:r>
          </w:p>
        </w:tc>
        <w:tc>
          <w:tcPr>
            <w:tcW w:w="8191" w:type="dxa"/>
            <w:gridSpan w:val="6"/>
            <w:tcBorders>
              <w:top w:val="single" w:color="auto" w:sz="4" w:space="0"/>
              <w:bottom w:val="single" w:color="auto" w:sz="4" w:space="0"/>
              <w:right w:val="single" w:color="auto" w:sz="12" w:space="0"/>
            </w:tcBorders>
            <w:vAlign w:val="center"/>
          </w:tcPr>
          <w:p>
            <w:pPr>
              <w:spacing w:line="360" w:lineRule="auto"/>
              <w:ind w:firstLine="480" w:firstLineChars="200"/>
              <w:rPr>
                <w:color w:val="auto"/>
                <w:sz w:val="24"/>
                <w:highlight w:val="none"/>
              </w:rPr>
            </w:pPr>
            <w:r>
              <w:rPr>
                <w:rFonts w:hint="eastAsia"/>
                <w:color w:val="auto"/>
                <w:sz w:val="24"/>
                <w:highlight w:val="none"/>
              </w:rPr>
              <w:t>（1）源头控制：对有毒有害物质特别是液体或者粉状固体物质的储存及输送、生产加工，污水治理、固体废物堆放，采取相应的防渗漏、泄漏措施。</w:t>
            </w:r>
          </w:p>
          <w:p>
            <w:pPr>
              <w:spacing w:line="360" w:lineRule="auto"/>
              <w:ind w:firstLine="480" w:firstLineChars="200"/>
              <w:rPr>
                <w:color w:val="auto"/>
                <w:sz w:val="24"/>
                <w:highlight w:val="none"/>
              </w:rPr>
            </w:pPr>
            <w:r>
              <w:rPr>
                <w:rFonts w:hint="eastAsia"/>
                <w:color w:val="auto"/>
                <w:sz w:val="24"/>
                <w:highlight w:val="none"/>
              </w:rPr>
              <w:t>（2）分区防控：原辅料储存区、生产装置区、输送管道、污水治理设施、固体废物堆存区的防渗要求，应满足国家和地方标准、防渗技术规范要求。重点防渗区为3#化学品库、危废仓库、污水处理站，一般防渗区为生产车间和一般固废仓库</w:t>
            </w:r>
            <w:r>
              <w:rPr>
                <w:rStyle w:val="43"/>
                <w:rFonts w:hint="eastAsia"/>
                <w:color w:val="auto"/>
                <w:kern w:val="0"/>
                <w:szCs w:val="20"/>
                <w:highlight w:val="none"/>
              </w:rPr>
              <w:t>，</w:t>
            </w:r>
            <w:r>
              <w:rPr>
                <w:rStyle w:val="43"/>
                <w:rFonts w:hint="eastAsia"/>
                <w:color w:val="auto"/>
                <w:kern w:val="0"/>
                <w:sz w:val="24"/>
                <w:highlight w:val="none"/>
              </w:rPr>
              <w:t>新增事故池按相关规定做好防渗措施。</w:t>
            </w:r>
          </w:p>
          <w:p>
            <w:pPr>
              <w:tabs>
                <w:tab w:val="left" w:pos="3556"/>
              </w:tabs>
              <w:spacing w:line="360" w:lineRule="auto"/>
              <w:ind w:firstLine="480" w:firstLineChars="200"/>
              <w:rPr>
                <w:color w:val="auto"/>
                <w:sz w:val="24"/>
                <w:highlight w:val="none"/>
              </w:rPr>
            </w:pPr>
            <w:r>
              <w:rPr>
                <w:rFonts w:hint="eastAsia"/>
                <w:color w:val="auto"/>
                <w:sz w:val="24"/>
                <w:highlight w:val="none"/>
              </w:rPr>
              <w:t>（3）渗漏、泄漏检测：对可能发生泄漏的装置管道等配置泄漏、渗漏检测装置并配套相应措施。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758" w:type="dxa"/>
            <w:tcBorders>
              <w:top w:val="single" w:color="auto" w:sz="4" w:space="0"/>
              <w:left w:val="single" w:color="auto" w:sz="12" w:space="0"/>
              <w:bottom w:val="single" w:color="auto" w:sz="4" w:space="0"/>
            </w:tcBorders>
            <w:vAlign w:val="center"/>
          </w:tcPr>
          <w:p>
            <w:pPr>
              <w:adjustRightInd w:val="0"/>
              <w:snapToGrid w:val="0"/>
              <w:jc w:val="center"/>
              <w:rPr>
                <w:color w:val="auto"/>
                <w:sz w:val="24"/>
                <w:highlight w:val="none"/>
              </w:rPr>
            </w:pPr>
            <w:r>
              <w:rPr>
                <w:color w:val="auto"/>
                <w:sz w:val="24"/>
                <w:highlight w:val="none"/>
              </w:rPr>
              <w:t>生态保护措施</w:t>
            </w:r>
          </w:p>
        </w:tc>
        <w:tc>
          <w:tcPr>
            <w:tcW w:w="8191" w:type="dxa"/>
            <w:gridSpan w:val="6"/>
            <w:tcBorders>
              <w:top w:val="single" w:color="auto" w:sz="4" w:space="0"/>
              <w:bottom w:val="single" w:color="auto" w:sz="4" w:space="0"/>
              <w:right w:val="single" w:color="auto" w:sz="12" w:space="0"/>
            </w:tcBorders>
            <w:vAlign w:val="center"/>
          </w:tcPr>
          <w:p>
            <w:pPr>
              <w:adjustRightInd w:val="0"/>
              <w:snapToGrid w:val="0"/>
              <w:jc w:val="center"/>
              <w:rPr>
                <w:color w:val="auto"/>
                <w:sz w:val="24"/>
                <w:highlight w:val="none"/>
              </w:rPr>
            </w:pPr>
            <w:r>
              <w:rPr>
                <w:color w:val="auto"/>
                <w:sz w:val="24"/>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758" w:type="dxa"/>
            <w:tcBorders>
              <w:top w:val="single" w:color="auto" w:sz="4" w:space="0"/>
              <w:left w:val="single" w:color="auto" w:sz="12" w:space="0"/>
              <w:bottom w:val="single" w:color="auto" w:sz="4" w:space="0"/>
            </w:tcBorders>
            <w:vAlign w:val="center"/>
          </w:tcPr>
          <w:p>
            <w:pPr>
              <w:adjustRightInd w:val="0"/>
              <w:snapToGrid w:val="0"/>
              <w:jc w:val="center"/>
              <w:rPr>
                <w:color w:val="auto"/>
                <w:spacing w:val="-8"/>
                <w:sz w:val="24"/>
                <w:highlight w:val="none"/>
              </w:rPr>
            </w:pPr>
            <w:r>
              <w:rPr>
                <w:color w:val="auto"/>
                <w:spacing w:val="-8"/>
                <w:sz w:val="24"/>
                <w:highlight w:val="none"/>
              </w:rPr>
              <w:t>环境</w:t>
            </w:r>
          </w:p>
          <w:p>
            <w:pPr>
              <w:adjustRightInd w:val="0"/>
              <w:snapToGrid w:val="0"/>
              <w:jc w:val="center"/>
              <w:rPr>
                <w:color w:val="auto"/>
                <w:spacing w:val="-8"/>
                <w:sz w:val="24"/>
                <w:highlight w:val="none"/>
              </w:rPr>
            </w:pPr>
            <w:r>
              <w:rPr>
                <w:color w:val="auto"/>
                <w:spacing w:val="-8"/>
                <w:sz w:val="24"/>
                <w:highlight w:val="none"/>
              </w:rPr>
              <w:t>风险</w:t>
            </w:r>
          </w:p>
          <w:p>
            <w:pPr>
              <w:adjustRightInd w:val="0"/>
              <w:snapToGrid w:val="0"/>
              <w:jc w:val="center"/>
              <w:rPr>
                <w:color w:val="auto"/>
                <w:spacing w:val="-8"/>
                <w:sz w:val="24"/>
                <w:highlight w:val="none"/>
              </w:rPr>
            </w:pPr>
            <w:r>
              <w:rPr>
                <w:color w:val="auto"/>
                <w:spacing w:val="-8"/>
                <w:sz w:val="24"/>
                <w:highlight w:val="none"/>
              </w:rPr>
              <w:t>防范</w:t>
            </w:r>
          </w:p>
          <w:p>
            <w:pPr>
              <w:adjustRightInd w:val="0"/>
              <w:snapToGrid w:val="0"/>
              <w:jc w:val="center"/>
              <w:rPr>
                <w:color w:val="auto"/>
                <w:spacing w:val="-8"/>
                <w:sz w:val="24"/>
                <w:highlight w:val="none"/>
              </w:rPr>
            </w:pPr>
            <w:r>
              <w:rPr>
                <w:color w:val="auto"/>
                <w:spacing w:val="-8"/>
                <w:sz w:val="24"/>
                <w:highlight w:val="none"/>
              </w:rPr>
              <w:t>措施</w:t>
            </w:r>
          </w:p>
        </w:tc>
        <w:tc>
          <w:tcPr>
            <w:tcW w:w="8191" w:type="dxa"/>
            <w:gridSpan w:val="6"/>
            <w:tcBorders>
              <w:top w:val="single" w:color="auto" w:sz="4" w:space="0"/>
              <w:bottom w:val="single" w:color="auto" w:sz="4" w:space="0"/>
              <w:right w:val="single" w:color="auto" w:sz="12" w:space="0"/>
            </w:tcBorders>
            <w:vAlign w:val="center"/>
          </w:tcPr>
          <w:p>
            <w:pPr>
              <w:spacing w:beforeLines="50" w:line="360" w:lineRule="auto"/>
              <w:ind w:firstLine="480" w:firstLineChars="200"/>
              <w:jc w:val="left"/>
              <w:rPr>
                <w:color w:val="auto"/>
                <w:sz w:val="24"/>
                <w:highlight w:val="none"/>
              </w:rPr>
            </w:pPr>
            <w:r>
              <w:rPr>
                <w:rFonts w:hint="eastAsia"/>
                <w:color w:val="auto"/>
                <w:sz w:val="24"/>
                <w:highlight w:val="none"/>
              </w:rPr>
              <w:t>见上章6、环境风险（3）环境风险防范措施及要求</w:t>
            </w:r>
          </w:p>
          <w:p>
            <w:pPr>
              <w:spacing w:line="360" w:lineRule="auto"/>
              <w:ind w:firstLine="480" w:firstLineChars="200"/>
              <w:jc w:val="left"/>
              <w:rPr>
                <w:color w:val="auto"/>
                <w:sz w:val="24"/>
                <w:highlight w:val="none"/>
              </w:rPr>
            </w:pPr>
            <w:r>
              <w:rPr>
                <w:color w:val="auto"/>
                <w:sz w:val="24"/>
                <w:highlight w:val="none"/>
              </w:rPr>
              <w:fldChar w:fldCharType="begin"/>
            </w:r>
            <w:r>
              <w:rPr>
                <w:color w:val="auto"/>
                <w:sz w:val="24"/>
                <w:highlight w:val="none"/>
              </w:rPr>
              <w:instrText xml:space="preserve"> = 1 \* GB3 </w:instrText>
            </w:r>
            <w:r>
              <w:rPr>
                <w:color w:val="auto"/>
                <w:sz w:val="24"/>
                <w:highlight w:val="none"/>
              </w:rPr>
              <w:fldChar w:fldCharType="separate"/>
            </w:r>
            <w:r>
              <w:rPr>
                <w:rFonts w:hint="eastAsia"/>
                <w:color w:val="auto"/>
                <w:sz w:val="24"/>
                <w:highlight w:val="none"/>
              </w:rPr>
              <w:t>①</w:t>
            </w:r>
            <w:r>
              <w:rPr>
                <w:color w:val="auto"/>
                <w:sz w:val="24"/>
                <w:highlight w:val="none"/>
              </w:rPr>
              <w:fldChar w:fldCharType="end"/>
            </w:r>
            <w:r>
              <w:rPr>
                <w:color w:val="auto"/>
                <w:sz w:val="24"/>
                <w:highlight w:val="none"/>
              </w:rPr>
              <w:t>贮运工程风险防范措施</w:t>
            </w:r>
          </w:p>
          <w:p>
            <w:pPr>
              <w:spacing w:line="360" w:lineRule="auto"/>
              <w:ind w:firstLine="480" w:firstLineChars="200"/>
              <w:jc w:val="left"/>
              <w:rPr>
                <w:color w:val="auto"/>
                <w:sz w:val="24"/>
                <w:highlight w:val="none"/>
              </w:rPr>
            </w:pPr>
            <w:r>
              <w:rPr>
                <w:rFonts w:hint="eastAsia"/>
                <w:color w:val="auto"/>
                <w:sz w:val="24"/>
                <w:highlight w:val="none"/>
              </w:rPr>
              <w:t>②危废库房防范措施</w:t>
            </w:r>
          </w:p>
          <w:p>
            <w:pPr>
              <w:spacing w:line="360" w:lineRule="auto"/>
              <w:ind w:firstLine="480" w:firstLineChars="200"/>
              <w:jc w:val="left"/>
              <w:rPr>
                <w:color w:val="auto"/>
                <w:sz w:val="24"/>
                <w:highlight w:val="none"/>
              </w:rPr>
            </w:pPr>
            <w:r>
              <w:rPr>
                <w:color w:val="auto"/>
                <w:sz w:val="24"/>
                <w:highlight w:val="none"/>
              </w:rPr>
              <w:fldChar w:fldCharType="begin"/>
            </w:r>
            <w:r>
              <w:rPr>
                <w:color w:val="auto"/>
                <w:sz w:val="24"/>
                <w:highlight w:val="none"/>
              </w:rPr>
              <w:instrText xml:space="preserve"> = 3 \* GB3 </w:instrText>
            </w:r>
            <w:r>
              <w:rPr>
                <w:color w:val="auto"/>
                <w:sz w:val="24"/>
                <w:highlight w:val="none"/>
              </w:rPr>
              <w:fldChar w:fldCharType="separate"/>
            </w:r>
            <w:r>
              <w:rPr>
                <w:rFonts w:hint="eastAsia"/>
                <w:color w:val="auto"/>
                <w:sz w:val="24"/>
                <w:highlight w:val="none"/>
              </w:rPr>
              <w:t>③</w:t>
            </w:r>
            <w:r>
              <w:rPr>
                <w:color w:val="auto"/>
                <w:sz w:val="24"/>
                <w:highlight w:val="none"/>
              </w:rPr>
              <w:fldChar w:fldCharType="end"/>
            </w:r>
            <w:r>
              <w:rPr>
                <w:color w:val="auto"/>
                <w:sz w:val="24"/>
                <w:highlight w:val="none"/>
              </w:rPr>
              <w:t>废水/废液事故排放防范措施</w:t>
            </w:r>
          </w:p>
          <w:p>
            <w:pPr>
              <w:pStyle w:val="2"/>
              <w:spacing w:line="360" w:lineRule="auto"/>
              <w:ind w:firstLine="480" w:firstLineChars="200"/>
              <w:rPr>
                <w:color w:val="auto"/>
                <w:sz w:val="24"/>
                <w:szCs w:val="24"/>
                <w:highlight w:val="none"/>
              </w:rPr>
            </w:pPr>
            <w:r>
              <w:rPr>
                <w:rFonts w:hint="eastAsia"/>
                <w:color w:val="auto"/>
                <w:sz w:val="24"/>
                <w:highlight w:val="none"/>
              </w:rPr>
              <w:t>④废气事故排放防范措施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758" w:type="dxa"/>
            <w:tcBorders>
              <w:top w:val="single" w:color="auto" w:sz="4" w:space="0"/>
              <w:left w:val="single" w:color="auto" w:sz="12" w:space="0"/>
              <w:bottom w:val="single" w:color="auto" w:sz="12" w:space="0"/>
            </w:tcBorders>
            <w:vAlign w:val="center"/>
          </w:tcPr>
          <w:p>
            <w:pPr>
              <w:adjustRightInd w:val="0"/>
              <w:snapToGrid w:val="0"/>
              <w:jc w:val="center"/>
              <w:rPr>
                <w:color w:val="auto"/>
                <w:spacing w:val="-8"/>
                <w:sz w:val="24"/>
                <w:highlight w:val="none"/>
              </w:rPr>
            </w:pPr>
            <w:r>
              <w:rPr>
                <w:color w:val="auto"/>
                <w:spacing w:val="-8"/>
                <w:sz w:val="24"/>
                <w:highlight w:val="none"/>
              </w:rPr>
              <w:t>其他</w:t>
            </w:r>
          </w:p>
          <w:p>
            <w:pPr>
              <w:adjustRightInd w:val="0"/>
              <w:snapToGrid w:val="0"/>
              <w:jc w:val="center"/>
              <w:rPr>
                <w:color w:val="auto"/>
                <w:spacing w:val="-8"/>
                <w:sz w:val="24"/>
                <w:highlight w:val="none"/>
              </w:rPr>
            </w:pPr>
            <w:r>
              <w:rPr>
                <w:color w:val="auto"/>
                <w:spacing w:val="-8"/>
                <w:sz w:val="24"/>
                <w:highlight w:val="none"/>
              </w:rPr>
              <w:t>环境</w:t>
            </w:r>
          </w:p>
          <w:p>
            <w:pPr>
              <w:adjustRightInd w:val="0"/>
              <w:snapToGrid w:val="0"/>
              <w:jc w:val="center"/>
              <w:rPr>
                <w:color w:val="auto"/>
                <w:spacing w:val="-8"/>
                <w:sz w:val="24"/>
                <w:highlight w:val="none"/>
              </w:rPr>
            </w:pPr>
            <w:r>
              <w:rPr>
                <w:color w:val="auto"/>
                <w:spacing w:val="-8"/>
                <w:sz w:val="24"/>
                <w:highlight w:val="none"/>
              </w:rPr>
              <w:t>管理</w:t>
            </w:r>
          </w:p>
          <w:p>
            <w:pPr>
              <w:adjustRightInd w:val="0"/>
              <w:snapToGrid w:val="0"/>
              <w:jc w:val="center"/>
              <w:rPr>
                <w:color w:val="auto"/>
                <w:spacing w:val="-8"/>
                <w:sz w:val="24"/>
                <w:highlight w:val="none"/>
              </w:rPr>
            </w:pPr>
            <w:r>
              <w:rPr>
                <w:color w:val="auto"/>
                <w:spacing w:val="-8"/>
                <w:sz w:val="24"/>
                <w:highlight w:val="none"/>
              </w:rPr>
              <w:t>要求</w:t>
            </w:r>
          </w:p>
        </w:tc>
        <w:tc>
          <w:tcPr>
            <w:tcW w:w="8191" w:type="dxa"/>
            <w:gridSpan w:val="6"/>
            <w:tcBorders>
              <w:top w:val="single" w:color="auto" w:sz="4" w:space="0"/>
              <w:bottom w:val="single" w:color="auto" w:sz="12" w:space="0"/>
              <w:right w:val="single" w:color="auto" w:sz="12" w:space="0"/>
            </w:tcBorders>
            <w:vAlign w:val="center"/>
          </w:tcPr>
          <w:p>
            <w:pPr>
              <w:spacing w:line="360" w:lineRule="auto"/>
              <w:ind w:left="105" w:leftChars="50" w:firstLine="200"/>
              <w:rPr>
                <w:b/>
                <w:color w:val="auto"/>
                <w:sz w:val="24"/>
                <w:highlight w:val="none"/>
              </w:rPr>
            </w:pPr>
            <w:r>
              <w:rPr>
                <w:b/>
                <w:color w:val="auto"/>
                <w:sz w:val="24"/>
                <w:highlight w:val="none"/>
              </w:rPr>
              <w:t>1、环境管理</w:t>
            </w:r>
          </w:p>
          <w:p>
            <w:pPr>
              <w:spacing w:line="360" w:lineRule="auto"/>
              <w:ind w:left="105" w:leftChars="50" w:firstLine="480" w:firstLineChars="200"/>
              <w:rPr>
                <w:color w:val="auto"/>
                <w:sz w:val="24"/>
                <w:highlight w:val="none"/>
              </w:rPr>
            </w:pPr>
            <w:r>
              <w:rPr>
                <w:color w:val="auto"/>
                <w:sz w:val="24"/>
                <w:highlight w:val="none"/>
              </w:rPr>
              <w:t>根据国家有关法律法规及地方环境保护部门要求加强环境污染控制管理，把对周围环境影响降到最低。建立健全环境管理制度，加强现场管理，采取有效措施减少污染物产生量。</w:t>
            </w:r>
          </w:p>
          <w:p>
            <w:pPr>
              <w:pStyle w:val="2"/>
              <w:spacing w:line="360" w:lineRule="auto"/>
              <w:ind w:left="105" w:leftChars="50" w:firstLine="480" w:firstLineChars="200"/>
              <w:rPr>
                <w:color w:val="auto"/>
                <w:sz w:val="24"/>
                <w:szCs w:val="24"/>
                <w:highlight w:val="none"/>
              </w:rPr>
            </w:pPr>
            <w:r>
              <w:rPr>
                <w:color w:val="auto"/>
                <w:sz w:val="24"/>
                <w:szCs w:val="24"/>
                <w:highlight w:val="none"/>
              </w:rPr>
              <w:t>（1）</w:t>
            </w:r>
            <w:r>
              <w:rPr>
                <w:rFonts w:hint="eastAsia"/>
                <w:color w:val="auto"/>
                <w:sz w:val="24"/>
                <w:szCs w:val="24"/>
                <w:highlight w:val="none"/>
              </w:rPr>
              <w:t>调</w:t>
            </w:r>
            <w:r>
              <w:rPr>
                <w:color w:val="auto"/>
                <w:sz w:val="24"/>
                <w:szCs w:val="24"/>
                <w:highlight w:val="none"/>
              </w:rPr>
              <w:t>试前按要求向生态环境部门申请排污许可；按排污许可要求落实日常环保管理要求。</w:t>
            </w:r>
          </w:p>
          <w:p>
            <w:pPr>
              <w:pStyle w:val="2"/>
              <w:spacing w:line="360" w:lineRule="auto"/>
              <w:ind w:left="105" w:leftChars="50" w:firstLine="480" w:firstLineChars="200"/>
              <w:rPr>
                <w:color w:val="auto"/>
                <w:sz w:val="24"/>
                <w:szCs w:val="24"/>
                <w:highlight w:val="none"/>
              </w:rPr>
            </w:pPr>
            <w:r>
              <w:rPr>
                <w:color w:val="auto"/>
                <w:sz w:val="24"/>
                <w:szCs w:val="24"/>
                <w:highlight w:val="none"/>
              </w:rPr>
              <w:t>（2）试生产3个月内完成自主环保竣工验收；如需延期，需向区生态环境局报告，但最长时间不得超过12个月。</w:t>
            </w:r>
          </w:p>
          <w:p>
            <w:pPr>
              <w:spacing w:line="360" w:lineRule="auto"/>
              <w:ind w:left="105" w:leftChars="50" w:firstLine="482" w:firstLineChars="200"/>
              <w:rPr>
                <w:b/>
                <w:color w:val="auto"/>
                <w:sz w:val="24"/>
                <w:highlight w:val="none"/>
              </w:rPr>
            </w:pPr>
            <w:r>
              <w:rPr>
                <w:b/>
                <w:color w:val="auto"/>
                <w:sz w:val="24"/>
                <w:highlight w:val="none"/>
              </w:rPr>
              <w:t>2、排污口规范化设置</w:t>
            </w:r>
          </w:p>
          <w:p>
            <w:pPr>
              <w:spacing w:line="360" w:lineRule="auto"/>
              <w:ind w:left="105" w:leftChars="50" w:firstLine="480" w:firstLineChars="200"/>
              <w:rPr>
                <w:color w:val="auto"/>
                <w:sz w:val="24"/>
                <w:highlight w:val="none"/>
              </w:rPr>
            </w:pPr>
            <w:r>
              <w:rPr>
                <w:color w:val="auto"/>
                <w:sz w:val="24"/>
                <w:highlight w:val="none"/>
              </w:rPr>
              <w:t>本项目依托</w:t>
            </w:r>
            <w:r>
              <w:rPr>
                <w:rFonts w:hint="eastAsia"/>
                <w:color w:val="auto"/>
                <w:sz w:val="24"/>
                <w:highlight w:val="none"/>
              </w:rPr>
              <w:t>的</w:t>
            </w:r>
            <w:r>
              <w:rPr>
                <w:color w:val="auto"/>
                <w:sz w:val="24"/>
                <w:highlight w:val="none"/>
              </w:rPr>
              <w:t>现有雨、污排放口和P2废气排气筒</w:t>
            </w:r>
            <w:r>
              <w:rPr>
                <w:rFonts w:hint="eastAsia"/>
                <w:color w:val="auto"/>
                <w:sz w:val="24"/>
                <w:highlight w:val="none"/>
              </w:rPr>
              <w:t>已经规范化设置；危废依托现有废库暂存，企业</w:t>
            </w:r>
            <w:r>
              <w:rPr>
                <w:color w:val="auto"/>
                <w:sz w:val="24"/>
                <w:highlight w:val="none"/>
              </w:rPr>
              <w:t>按江苏省规定加强固废暂存设施的管理</w:t>
            </w:r>
            <w:r>
              <w:rPr>
                <w:rFonts w:hint="eastAsia"/>
                <w:color w:val="auto"/>
                <w:sz w:val="24"/>
                <w:highlight w:val="none"/>
              </w:rPr>
              <w:t>。新建排污口为危废库废气治理措施，废气经一级活性炭处理后P3排气筒排放，</w:t>
            </w:r>
            <w:r>
              <w:rPr>
                <w:color w:val="auto"/>
                <w:sz w:val="24"/>
                <w:highlight w:val="none"/>
              </w:rPr>
              <w:t>排气筒</w:t>
            </w:r>
            <w:r>
              <w:rPr>
                <w:rFonts w:hint="eastAsia"/>
                <w:color w:val="auto"/>
                <w:sz w:val="24"/>
                <w:highlight w:val="none"/>
              </w:rPr>
              <w:t>须</w:t>
            </w:r>
            <w:r>
              <w:rPr>
                <w:color w:val="auto"/>
                <w:sz w:val="24"/>
                <w:highlight w:val="none"/>
              </w:rPr>
              <w:t>设置便于采样、监测的采样口和采样监测平台，在净化设施进出口分别设置采样口</w:t>
            </w:r>
            <w:r>
              <w:rPr>
                <w:rFonts w:hint="eastAsia"/>
                <w:color w:val="auto"/>
                <w:sz w:val="24"/>
                <w:highlight w:val="none"/>
              </w:rPr>
              <w:t>，</w:t>
            </w:r>
            <w:r>
              <w:rPr>
                <w:color w:val="auto"/>
                <w:sz w:val="24"/>
                <w:highlight w:val="none"/>
              </w:rPr>
              <w:t>环境保护图形标志牌应设在排气口附近地面醒目处</w:t>
            </w:r>
            <w:r>
              <w:rPr>
                <w:rFonts w:hint="eastAsia"/>
                <w:color w:val="auto"/>
                <w:sz w:val="24"/>
                <w:highlight w:val="none"/>
              </w:rPr>
              <w:t>。</w:t>
            </w:r>
          </w:p>
          <w:p>
            <w:pPr>
              <w:spacing w:line="360" w:lineRule="auto"/>
              <w:ind w:left="105" w:leftChars="50" w:firstLine="482" w:firstLineChars="200"/>
              <w:rPr>
                <w:b/>
                <w:color w:val="auto"/>
                <w:sz w:val="24"/>
                <w:highlight w:val="none"/>
              </w:rPr>
            </w:pPr>
            <w:r>
              <w:rPr>
                <w:b/>
                <w:color w:val="auto"/>
                <w:sz w:val="24"/>
                <w:highlight w:val="none"/>
              </w:rPr>
              <w:t>3、三同时验收一览表</w:t>
            </w:r>
          </w:p>
          <w:p>
            <w:pPr>
              <w:spacing w:line="360" w:lineRule="auto"/>
              <w:ind w:left="105" w:leftChars="50" w:firstLine="480" w:firstLineChars="200"/>
              <w:rPr>
                <w:color w:val="auto"/>
                <w:sz w:val="24"/>
                <w:highlight w:val="none"/>
              </w:rPr>
            </w:pPr>
            <w:r>
              <w:rPr>
                <w:color w:val="auto"/>
                <w:sz w:val="24"/>
                <w:highlight w:val="none"/>
              </w:rPr>
              <w:t>本项目总投资2054.6万元，环保投资</w:t>
            </w:r>
            <w:r>
              <w:rPr>
                <w:rFonts w:hint="eastAsia"/>
                <w:color w:val="auto"/>
                <w:sz w:val="24"/>
                <w:highlight w:val="none"/>
              </w:rPr>
              <w:t>274</w:t>
            </w:r>
            <w:r>
              <w:rPr>
                <w:color w:val="auto"/>
                <w:sz w:val="24"/>
                <w:highlight w:val="none"/>
              </w:rPr>
              <w:t>万，占总投资额的1</w:t>
            </w:r>
            <w:r>
              <w:rPr>
                <w:rFonts w:hint="eastAsia"/>
                <w:color w:val="auto"/>
                <w:sz w:val="24"/>
                <w:highlight w:val="none"/>
              </w:rPr>
              <w:t>3.3</w:t>
            </w:r>
            <w:r>
              <w:rPr>
                <w:color w:val="auto"/>
                <w:sz w:val="24"/>
                <w:highlight w:val="none"/>
              </w:rPr>
              <w:t>%，三同时验收一览表见表5-1。</w:t>
            </w:r>
          </w:p>
          <w:p>
            <w:pPr>
              <w:spacing w:line="360" w:lineRule="auto"/>
              <w:jc w:val="center"/>
              <w:rPr>
                <w:b/>
                <w:color w:val="auto"/>
                <w:sz w:val="24"/>
                <w:highlight w:val="none"/>
              </w:rPr>
            </w:pPr>
            <w:r>
              <w:rPr>
                <w:b/>
                <w:color w:val="auto"/>
                <w:sz w:val="24"/>
                <w:highlight w:val="none"/>
              </w:rPr>
              <w:t>表5-1  本项目“三同时”验收一览表</w:t>
            </w:r>
          </w:p>
          <w:tbl>
            <w:tblPr>
              <w:tblStyle w:val="34"/>
              <w:tblW w:w="4998" w:type="pct"/>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1552"/>
              <w:gridCol w:w="2446"/>
              <w:gridCol w:w="2568"/>
              <w:gridCol w:w="942"/>
              <w:gridCol w:w="696"/>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20" w:hRule="atLeast"/>
              </w:trPr>
              <w:tc>
                <w:tcPr>
                  <w:tcW w:w="946" w:type="pct"/>
                  <w:tcBorders>
                    <w:top w:val="single" w:color="auto" w:sz="2" w:space="0"/>
                    <w:left w:val="single" w:color="auto" w:sz="2" w:space="0"/>
                    <w:bottom w:val="single" w:color="auto" w:sz="2" w:space="0"/>
                    <w:right w:val="single" w:color="auto" w:sz="2" w:space="0"/>
                  </w:tcBorders>
                  <w:vAlign w:val="center"/>
                </w:tcPr>
                <w:p>
                  <w:pPr>
                    <w:pStyle w:val="30"/>
                    <w:jc w:val="center"/>
                    <w:rPr>
                      <w:rFonts w:ascii="Times New Roman" w:hAnsi="Times New Roman"/>
                      <w:color w:val="auto"/>
                      <w:kern w:val="2"/>
                      <w:sz w:val="21"/>
                      <w:szCs w:val="22"/>
                      <w:highlight w:val="none"/>
                    </w:rPr>
                  </w:pPr>
                  <w:r>
                    <w:rPr>
                      <w:rFonts w:ascii="Times New Roman" w:hAnsi="Times New Roman"/>
                      <w:color w:val="auto"/>
                      <w:kern w:val="2"/>
                      <w:sz w:val="21"/>
                      <w:szCs w:val="22"/>
                      <w:highlight w:val="none"/>
                    </w:rPr>
                    <w:t>排放源</w:t>
                  </w:r>
                </w:p>
              </w:tc>
              <w:tc>
                <w:tcPr>
                  <w:tcW w:w="1491" w:type="pct"/>
                  <w:tcBorders>
                    <w:top w:val="single" w:color="auto" w:sz="2" w:space="0"/>
                    <w:left w:val="single" w:color="auto" w:sz="2" w:space="0"/>
                    <w:bottom w:val="single" w:color="auto" w:sz="2" w:space="0"/>
                    <w:right w:val="single" w:color="auto" w:sz="2" w:space="0"/>
                  </w:tcBorders>
                  <w:vAlign w:val="center"/>
                </w:tcPr>
                <w:p>
                  <w:pPr>
                    <w:pStyle w:val="30"/>
                    <w:jc w:val="center"/>
                    <w:rPr>
                      <w:rFonts w:ascii="Times New Roman" w:hAnsi="Times New Roman"/>
                      <w:color w:val="auto"/>
                      <w:kern w:val="2"/>
                      <w:sz w:val="21"/>
                      <w:szCs w:val="22"/>
                      <w:highlight w:val="none"/>
                    </w:rPr>
                  </w:pPr>
                  <w:r>
                    <w:rPr>
                      <w:rFonts w:ascii="Times New Roman" w:hAnsi="Times New Roman"/>
                      <w:color w:val="auto"/>
                      <w:kern w:val="2"/>
                      <w:sz w:val="21"/>
                      <w:szCs w:val="22"/>
                      <w:highlight w:val="none"/>
                    </w:rPr>
                    <w:t>环保设施名称</w:t>
                  </w:r>
                </w:p>
              </w:tc>
              <w:tc>
                <w:tcPr>
                  <w:tcW w:w="1565" w:type="pct"/>
                  <w:tcBorders>
                    <w:top w:val="single" w:color="auto" w:sz="2" w:space="0"/>
                    <w:left w:val="single" w:color="auto" w:sz="2" w:space="0"/>
                    <w:bottom w:val="single" w:color="auto" w:sz="2" w:space="0"/>
                    <w:right w:val="single" w:color="auto" w:sz="2" w:space="0"/>
                  </w:tcBorders>
                  <w:vAlign w:val="center"/>
                </w:tcPr>
                <w:p>
                  <w:pPr>
                    <w:pStyle w:val="30"/>
                    <w:jc w:val="center"/>
                    <w:rPr>
                      <w:rFonts w:ascii="Times New Roman" w:hAnsi="Times New Roman"/>
                      <w:color w:val="auto"/>
                      <w:kern w:val="2"/>
                      <w:sz w:val="21"/>
                      <w:szCs w:val="22"/>
                      <w:highlight w:val="none"/>
                    </w:rPr>
                  </w:pPr>
                  <w:r>
                    <w:rPr>
                      <w:rFonts w:ascii="Times New Roman" w:hAnsi="Times New Roman"/>
                      <w:color w:val="auto"/>
                      <w:kern w:val="2"/>
                      <w:sz w:val="21"/>
                      <w:szCs w:val="22"/>
                      <w:highlight w:val="none"/>
                    </w:rPr>
                    <w:t>处理效果</w:t>
                  </w:r>
                </w:p>
              </w:tc>
              <w:tc>
                <w:tcPr>
                  <w:tcW w:w="574" w:type="pct"/>
                  <w:tcBorders>
                    <w:top w:val="single" w:color="auto" w:sz="2" w:space="0"/>
                    <w:left w:val="single" w:color="auto" w:sz="2" w:space="0"/>
                    <w:bottom w:val="single" w:color="auto" w:sz="2" w:space="0"/>
                    <w:right w:val="single" w:color="auto" w:sz="2" w:space="0"/>
                  </w:tcBorders>
                  <w:vAlign w:val="center"/>
                </w:tcPr>
                <w:p>
                  <w:pPr>
                    <w:pStyle w:val="30"/>
                    <w:spacing w:before="0" w:beforeAutospacing="0" w:after="0" w:afterAutospacing="0"/>
                    <w:ind w:left="-105" w:leftChars="-50" w:right="-105" w:rightChars="-50"/>
                    <w:jc w:val="center"/>
                    <w:rPr>
                      <w:rFonts w:ascii="Times New Roman" w:hAnsi="Times New Roman"/>
                      <w:color w:val="auto"/>
                      <w:kern w:val="2"/>
                      <w:sz w:val="21"/>
                      <w:szCs w:val="22"/>
                      <w:highlight w:val="none"/>
                    </w:rPr>
                  </w:pPr>
                  <w:r>
                    <w:rPr>
                      <w:rFonts w:ascii="Times New Roman" w:hAnsi="Times New Roman"/>
                      <w:color w:val="auto"/>
                      <w:kern w:val="2"/>
                      <w:sz w:val="21"/>
                      <w:szCs w:val="22"/>
                      <w:highlight w:val="none"/>
                    </w:rPr>
                    <w:t>投资</w:t>
                  </w:r>
                </w:p>
                <w:p>
                  <w:pPr>
                    <w:pStyle w:val="30"/>
                    <w:spacing w:before="0" w:beforeAutospacing="0" w:after="0" w:afterAutospacing="0"/>
                    <w:ind w:left="-105" w:leftChars="-50" w:right="-105" w:rightChars="-50"/>
                    <w:jc w:val="center"/>
                    <w:rPr>
                      <w:rFonts w:ascii="Times New Roman" w:hAnsi="Times New Roman"/>
                      <w:color w:val="auto"/>
                      <w:kern w:val="2"/>
                      <w:sz w:val="21"/>
                      <w:szCs w:val="22"/>
                      <w:highlight w:val="none"/>
                    </w:rPr>
                  </w:pPr>
                  <w:r>
                    <w:rPr>
                      <w:rFonts w:ascii="Times New Roman" w:hAnsi="Times New Roman"/>
                      <w:color w:val="auto"/>
                      <w:kern w:val="2"/>
                      <w:sz w:val="21"/>
                      <w:szCs w:val="22"/>
                      <w:highlight w:val="none"/>
                    </w:rPr>
                    <w:t>（万元）</w:t>
                  </w:r>
                </w:p>
              </w:tc>
              <w:tc>
                <w:tcPr>
                  <w:tcW w:w="424" w:type="pct"/>
                  <w:tcBorders>
                    <w:top w:val="single" w:color="auto" w:sz="2" w:space="0"/>
                    <w:left w:val="single" w:color="auto" w:sz="2" w:space="0"/>
                    <w:bottom w:val="single" w:color="auto" w:sz="2" w:space="0"/>
                    <w:right w:val="single" w:color="auto" w:sz="2" w:space="0"/>
                  </w:tcBorders>
                  <w:vAlign w:val="center"/>
                </w:tcPr>
                <w:p>
                  <w:pPr>
                    <w:pStyle w:val="30"/>
                    <w:jc w:val="center"/>
                    <w:rPr>
                      <w:rFonts w:ascii="Times New Roman" w:hAnsi="Times New Roman"/>
                      <w:color w:val="auto"/>
                      <w:kern w:val="2"/>
                      <w:sz w:val="21"/>
                      <w:szCs w:val="22"/>
                      <w:highlight w:val="none"/>
                    </w:rPr>
                  </w:pPr>
                  <w:r>
                    <w:rPr>
                      <w:rFonts w:ascii="Times New Roman" w:hAnsi="Times New Roman"/>
                      <w:color w:val="auto"/>
                      <w:kern w:val="2"/>
                      <w:sz w:val="21"/>
                      <w:szCs w:val="22"/>
                      <w:highlight w:val="none"/>
                    </w:rPr>
                    <w:t>进度</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23" w:hRule="atLeast"/>
              </w:trPr>
              <w:tc>
                <w:tcPr>
                  <w:tcW w:w="946" w:type="pct"/>
                  <w:tcBorders>
                    <w:top w:val="single" w:color="auto" w:sz="2" w:space="0"/>
                    <w:left w:val="single" w:color="auto" w:sz="2" w:space="0"/>
                    <w:bottom w:val="single" w:color="auto" w:sz="4" w:space="0"/>
                    <w:right w:val="single" w:color="auto" w:sz="2" w:space="0"/>
                  </w:tcBorders>
                  <w:vAlign w:val="center"/>
                </w:tcPr>
                <w:p>
                  <w:pPr>
                    <w:widowControl/>
                    <w:wordWrap w:val="0"/>
                    <w:jc w:val="center"/>
                    <w:rPr>
                      <w:color w:val="auto"/>
                      <w:highlight w:val="none"/>
                    </w:rPr>
                  </w:pPr>
                  <w:r>
                    <w:rPr>
                      <w:color w:val="auto"/>
                      <w:szCs w:val="21"/>
                      <w:highlight w:val="none"/>
                    </w:rPr>
                    <w:t>零部件酸碱清洗</w:t>
                  </w:r>
                  <w:r>
                    <w:rPr>
                      <w:rFonts w:hint="eastAsia"/>
                      <w:color w:val="auto"/>
                      <w:szCs w:val="21"/>
                      <w:highlight w:val="none"/>
                    </w:rPr>
                    <w:t>废水</w:t>
                  </w:r>
                </w:p>
              </w:tc>
              <w:tc>
                <w:tcPr>
                  <w:tcW w:w="1491" w:type="pct"/>
                  <w:vMerge w:val="restart"/>
                  <w:tcBorders>
                    <w:top w:val="single" w:color="auto" w:sz="2" w:space="0"/>
                    <w:left w:val="single" w:color="auto" w:sz="2" w:space="0"/>
                    <w:right w:val="single" w:color="auto" w:sz="2" w:space="0"/>
                  </w:tcBorders>
                  <w:vAlign w:val="center"/>
                </w:tcPr>
                <w:p>
                  <w:pPr>
                    <w:widowControl/>
                    <w:wordWrap w:val="0"/>
                    <w:jc w:val="center"/>
                    <w:rPr>
                      <w:color w:val="auto"/>
                      <w:szCs w:val="21"/>
                      <w:highlight w:val="none"/>
                    </w:rPr>
                  </w:pPr>
                  <w:r>
                    <w:rPr>
                      <w:rFonts w:hint="eastAsia"/>
                      <w:color w:val="auto"/>
                      <w:szCs w:val="21"/>
                      <w:highlight w:val="none"/>
                    </w:rPr>
                    <w:t>铺设废水管道，依托</w:t>
                  </w:r>
                  <w:r>
                    <w:rPr>
                      <w:color w:val="auto"/>
                      <w:szCs w:val="21"/>
                      <w:highlight w:val="none"/>
                    </w:rPr>
                    <w:t>现有酸碱废水处理设施</w:t>
                  </w:r>
                  <w:r>
                    <w:rPr>
                      <w:rFonts w:hint="eastAsia"/>
                      <w:color w:val="auto"/>
                      <w:szCs w:val="21"/>
                      <w:highlight w:val="none"/>
                    </w:rPr>
                    <w:t>。</w:t>
                  </w:r>
                </w:p>
              </w:tc>
              <w:tc>
                <w:tcPr>
                  <w:tcW w:w="1565" w:type="pct"/>
                  <w:vMerge w:val="restart"/>
                  <w:tcBorders>
                    <w:top w:val="single" w:color="auto" w:sz="2" w:space="0"/>
                    <w:left w:val="single" w:color="auto" w:sz="2" w:space="0"/>
                    <w:right w:val="single" w:color="auto" w:sz="2" w:space="0"/>
                  </w:tcBorders>
                  <w:vAlign w:val="center"/>
                </w:tcPr>
                <w:p>
                  <w:pPr>
                    <w:pStyle w:val="30"/>
                    <w:jc w:val="center"/>
                    <w:rPr>
                      <w:rFonts w:ascii="Times New Roman" w:hAnsi="Times New Roman"/>
                      <w:color w:val="auto"/>
                      <w:kern w:val="2"/>
                      <w:sz w:val="21"/>
                      <w:szCs w:val="22"/>
                      <w:highlight w:val="none"/>
                    </w:rPr>
                  </w:pPr>
                  <w:r>
                    <w:rPr>
                      <w:color w:val="auto"/>
                      <w:sz w:val="21"/>
                      <w:szCs w:val="21"/>
                      <w:highlight w:val="none"/>
                    </w:rPr>
                    <w:t>江宁经济技术</w:t>
                  </w:r>
                  <w:r>
                    <w:rPr>
                      <w:rFonts w:ascii="Times New Roman" w:hAnsi="Times New Roman"/>
                      <w:color w:val="auto"/>
                      <w:kern w:val="2"/>
                      <w:sz w:val="21"/>
                      <w:szCs w:val="22"/>
                      <w:highlight w:val="none"/>
                    </w:rPr>
                    <w:t>开发区污水处理厂接管标准</w:t>
                  </w:r>
                </w:p>
              </w:tc>
              <w:tc>
                <w:tcPr>
                  <w:tcW w:w="574" w:type="pct"/>
                  <w:vMerge w:val="restart"/>
                  <w:tcBorders>
                    <w:top w:val="single" w:color="auto" w:sz="2" w:space="0"/>
                    <w:left w:val="single" w:color="auto" w:sz="2" w:space="0"/>
                    <w:right w:val="single" w:color="auto" w:sz="2" w:space="0"/>
                  </w:tcBorders>
                  <w:vAlign w:val="center"/>
                </w:tcPr>
                <w:p>
                  <w:pPr>
                    <w:pStyle w:val="30"/>
                    <w:jc w:val="center"/>
                    <w:rPr>
                      <w:rFonts w:ascii="Times New Roman" w:hAnsi="Times New Roman"/>
                      <w:color w:val="auto"/>
                      <w:kern w:val="2"/>
                      <w:sz w:val="21"/>
                      <w:szCs w:val="22"/>
                      <w:highlight w:val="none"/>
                    </w:rPr>
                  </w:pPr>
                  <w:r>
                    <w:rPr>
                      <w:rFonts w:hint="eastAsia" w:ascii="Times New Roman" w:hAnsi="Times New Roman"/>
                      <w:color w:val="auto"/>
                      <w:kern w:val="2"/>
                      <w:sz w:val="21"/>
                      <w:szCs w:val="22"/>
                      <w:highlight w:val="none"/>
                    </w:rPr>
                    <w:t>1</w:t>
                  </w:r>
                </w:p>
              </w:tc>
              <w:tc>
                <w:tcPr>
                  <w:tcW w:w="424" w:type="pct"/>
                  <w:vMerge w:val="restart"/>
                  <w:tcBorders>
                    <w:top w:val="nil"/>
                    <w:left w:val="single" w:color="auto" w:sz="2" w:space="0"/>
                    <w:bottom w:val="single" w:color="auto" w:sz="2" w:space="0"/>
                    <w:right w:val="single" w:color="auto" w:sz="2" w:space="0"/>
                  </w:tcBorders>
                  <w:vAlign w:val="center"/>
                </w:tcPr>
                <w:p>
                  <w:pPr>
                    <w:pStyle w:val="30"/>
                    <w:jc w:val="center"/>
                    <w:rPr>
                      <w:rFonts w:ascii="Times New Roman" w:hAnsi="Times New Roman"/>
                      <w:color w:val="auto"/>
                      <w:kern w:val="2"/>
                      <w:sz w:val="21"/>
                      <w:szCs w:val="22"/>
                      <w:highlight w:val="none"/>
                    </w:rPr>
                  </w:pPr>
                  <w:r>
                    <w:rPr>
                      <w:rFonts w:ascii="Times New Roman" w:hAnsi="Times New Roman"/>
                      <w:color w:val="auto"/>
                      <w:kern w:val="2"/>
                      <w:sz w:val="21"/>
                      <w:szCs w:val="22"/>
                      <w:highlight w:val="none"/>
                    </w:rPr>
                    <w:t>与本项目同时设计同时施工同时投入运行</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112" w:hRule="atLeast"/>
              </w:trPr>
              <w:tc>
                <w:tcPr>
                  <w:tcW w:w="946" w:type="pct"/>
                  <w:tcBorders>
                    <w:top w:val="single" w:color="auto" w:sz="4" w:space="0"/>
                    <w:left w:val="single" w:color="auto" w:sz="2" w:space="0"/>
                    <w:bottom w:val="single" w:color="auto" w:sz="2" w:space="0"/>
                    <w:right w:val="single" w:color="auto" w:sz="2" w:space="0"/>
                  </w:tcBorders>
                  <w:vAlign w:val="center"/>
                </w:tcPr>
                <w:p>
                  <w:pPr>
                    <w:wordWrap w:val="0"/>
                    <w:jc w:val="center"/>
                    <w:rPr>
                      <w:color w:val="auto"/>
                      <w:szCs w:val="21"/>
                      <w:highlight w:val="none"/>
                    </w:rPr>
                  </w:pPr>
                  <w:r>
                    <w:rPr>
                      <w:rFonts w:hint="eastAsia"/>
                      <w:color w:val="auto"/>
                      <w:szCs w:val="21"/>
                      <w:highlight w:val="none"/>
                    </w:rPr>
                    <w:t>喷淋废水</w:t>
                  </w:r>
                </w:p>
              </w:tc>
              <w:tc>
                <w:tcPr>
                  <w:tcW w:w="1491" w:type="pct"/>
                  <w:vMerge w:val="continue"/>
                  <w:tcBorders>
                    <w:left w:val="single" w:color="auto" w:sz="2" w:space="0"/>
                    <w:bottom w:val="single" w:color="auto" w:sz="2" w:space="0"/>
                    <w:right w:val="single" w:color="auto" w:sz="2" w:space="0"/>
                  </w:tcBorders>
                  <w:vAlign w:val="center"/>
                </w:tcPr>
                <w:p>
                  <w:pPr>
                    <w:widowControl/>
                    <w:wordWrap w:val="0"/>
                    <w:jc w:val="center"/>
                    <w:rPr>
                      <w:color w:val="auto"/>
                      <w:szCs w:val="21"/>
                      <w:highlight w:val="none"/>
                    </w:rPr>
                  </w:pPr>
                </w:p>
              </w:tc>
              <w:tc>
                <w:tcPr>
                  <w:tcW w:w="1565" w:type="pct"/>
                  <w:vMerge w:val="continue"/>
                  <w:tcBorders>
                    <w:left w:val="single" w:color="auto" w:sz="2" w:space="0"/>
                    <w:bottom w:val="single" w:color="auto" w:sz="2" w:space="0"/>
                    <w:right w:val="single" w:color="auto" w:sz="2" w:space="0"/>
                  </w:tcBorders>
                  <w:vAlign w:val="center"/>
                </w:tcPr>
                <w:p>
                  <w:pPr>
                    <w:pStyle w:val="30"/>
                    <w:jc w:val="center"/>
                    <w:rPr>
                      <w:rFonts w:ascii="Times New Roman" w:hAnsi="Times New Roman"/>
                      <w:color w:val="auto"/>
                      <w:kern w:val="2"/>
                      <w:sz w:val="21"/>
                      <w:szCs w:val="22"/>
                      <w:highlight w:val="none"/>
                    </w:rPr>
                  </w:pPr>
                </w:p>
              </w:tc>
              <w:tc>
                <w:tcPr>
                  <w:tcW w:w="574" w:type="pct"/>
                  <w:vMerge w:val="continue"/>
                  <w:tcBorders>
                    <w:left w:val="single" w:color="auto" w:sz="2" w:space="0"/>
                    <w:bottom w:val="single" w:color="auto" w:sz="2" w:space="0"/>
                    <w:right w:val="single" w:color="auto" w:sz="2" w:space="0"/>
                  </w:tcBorders>
                  <w:vAlign w:val="center"/>
                </w:tcPr>
                <w:p>
                  <w:pPr>
                    <w:pStyle w:val="30"/>
                    <w:jc w:val="center"/>
                    <w:rPr>
                      <w:rFonts w:ascii="Times New Roman" w:hAnsi="Times New Roman"/>
                      <w:color w:val="auto"/>
                      <w:kern w:val="2"/>
                      <w:sz w:val="21"/>
                      <w:szCs w:val="22"/>
                      <w:highlight w:val="none"/>
                    </w:rPr>
                  </w:pPr>
                </w:p>
              </w:tc>
              <w:tc>
                <w:tcPr>
                  <w:tcW w:w="424" w:type="pct"/>
                  <w:vMerge w:val="continue"/>
                  <w:tcBorders>
                    <w:top w:val="nil"/>
                    <w:left w:val="single" w:color="auto" w:sz="2" w:space="0"/>
                    <w:bottom w:val="single" w:color="auto" w:sz="2" w:space="0"/>
                    <w:right w:val="single" w:color="auto" w:sz="2" w:space="0"/>
                  </w:tcBorders>
                  <w:vAlign w:val="center"/>
                </w:tcPr>
                <w:p>
                  <w:pPr>
                    <w:pStyle w:val="30"/>
                    <w:jc w:val="center"/>
                    <w:rPr>
                      <w:rFonts w:ascii="Times New Roman" w:hAnsi="Times New Roman"/>
                      <w:color w:val="auto"/>
                      <w:kern w:val="2"/>
                      <w:sz w:val="21"/>
                      <w:szCs w:val="22"/>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20" w:hRule="atLeast"/>
              </w:trPr>
              <w:tc>
                <w:tcPr>
                  <w:tcW w:w="946" w:type="pct"/>
                  <w:tcBorders>
                    <w:top w:val="nil"/>
                    <w:left w:val="single" w:color="auto" w:sz="2" w:space="0"/>
                    <w:bottom w:val="single" w:color="auto" w:sz="2" w:space="0"/>
                    <w:right w:val="single" w:color="auto" w:sz="2" w:space="0"/>
                  </w:tcBorders>
                  <w:vAlign w:val="center"/>
                </w:tcPr>
                <w:p>
                  <w:pPr>
                    <w:widowControl/>
                    <w:wordWrap w:val="0"/>
                    <w:jc w:val="center"/>
                    <w:rPr>
                      <w:color w:val="auto"/>
                      <w:highlight w:val="none"/>
                    </w:rPr>
                  </w:pPr>
                  <w:r>
                    <w:rPr>
                      <w:color w:val="auto"/>
                      <w:szCs w:val="21"/>
                      <w:highlight w:val="none"/>
                    </w:rPr>
                    <w:t>零部件清洗废气</w:t>
                  </w:r>
                </w:p>
              </w:tc>
              <w:tc>
                <w:tcPr>
                  <w:tcW w:w="1491" w:type="pct"/>
                  <w:tcBorders>
                    <w:top w:val="single" w:color="auto" w:sz="2" w:space="0"/>
                    <w:left w:val="single" w:color="auto" w:sz="2" w:space="0"/>
                    <w:bottom w:val="single" w:color="auto" w:sz="2" w:space="0"/>
                    <w:right w:val="single" w:color="auto" w:sz="2" w:space="0"/>
                  </w:tcBorders>
                  <w:vAlign w:val="center"/>
                </w:tcPr>
                <w:p>
                  <w:pPr>
                    <w:widowControl/>
                    <w:wordWrap w:val="0"/>
                    <w:jc w:val="center"/>
                    <w:rPr>
                      <w:color w:val="auto"/>
                      <w:highlight w:val="none"/>
                    </w:rPr>
                  </w:pPr>
                  <w:r>
                    <w:rPr>
                      <w:color w:val="auto"/>
                      <w:szCs w:val="21"/>
                      <w:highlight w:val="none"/>
                    </w:rPr>
                    <w:t>新建</w:t>
                  </w:r>
                  <w:r>
                    <w:rPr>
                      <w:rFonts w:hint="eastAsia"/>
                      <w:color w:val="auto"/>
                      <w:szCs w:val="21"/>
                      <w:highlight w:val="none"/>
                    </w:rPr>
                    <w:t>废气收集系统+</w:t>
                  </w:r>
                  <w:r>
                    <w:rPr>
                      <w:color w:val="auto"/>
                      <w:szCs w:val="21"/>
                      <w:highlight w:val="none"/>
                    </w:rPr>
                    <w:t>喷淋塔+除雾器+</w:t>
                  </w:r>
                  <w:r>
                    <w:rPr>
                      <w:rFonts w:hint="eastAsia"/>
                      <w:color w:val="auto"/>
                      <w:szCs w:val="21"/>
                      <w:highlight w:val="none"/>
                    </w:rPr>
                    <w:t>一级</w:t>
                  </w:r>
                  <w:r>
                    <w:rPr>
                      <w:color w:val="auto"/>
                      <w:szCs w:val="21"/>
                      <w:highlight w:val="none"/>
                    </w:rPr>
                    <w:t>活性炭处理</w:t>
                  </w:r>
                  <w:r>
                    <w:rPr>
                      <w:rFonts w:hint="eastAsia"/>
                      <w:color w:val="auto"/>
                      <w:szCs w:val="21"/>
                      <w:highlight w:val="none"/>
                    </w:rPr>
                    <w:t>+</w:t>
                  </w:r>
                  <w:r>
                    <w:rPr>
                      <w:color w:val="auto"/>
                      <w:szCs w:val="21"/>
                      <w:highlight w:val="none"/>
                    </w:rPr>
                    <w:t>15m高排气筒(P2)</w:t>
                  </w:r>
                </w:p>
              </w:tc>
              <w:tc>
                <w:tcPr>
                  <w:tcW w:w="1565" w:type="pct"/>
                  <w:vMerge w:val="restart"/>
                  <w:tcBorders>
                    <w:top w:val="nil"/>
                    <w:left w:val="single" w:color="auto" w:sz="2" w:space="0"/>
                    <w:right w:val="single" w:color="auto" w:sz="2" w:space="0"/>
                  </w:tcBorders>
                  <w:vAlign w:val="center"/>
                </w:tcPr>
                <w:p>
                  <w:pPr>
                    <w:pStyle w:val="30"/>
                    <w:jc w:val="center"/>
                    <w:rPr>
                      <w:rFonts w:ascii="Times New Roman" w:hAnsi="Times New Roman"/>
                      <w:color w:val="auto"/>
                      <w:kern w:val="2"/>
                      <w:sz w:val="21"/>
                      <w:szCs w:val="22"/>
                      <w:highlight w:val="none"/>
                    </w:rPr>
                  </w:pPr>
                  <w:r>
                    <w:rPr>
                      <w:rFonts w:ascii="Times New Roman" w:hAnsi="Times New Roman"/>
                      <w:color w:val="auto"/>
                      <w:kern w:val="2"/>
                      <w:sz w:val="21"/>
                      <w:szCs w:val="22"/>
                      <w:highlight w:val="none"/>
                    </w:rPr>
                    <w:t>江苏省地方标准《大气污染物综合排放标准》DB32/4041—2021）</w:t>
                  </w:r>
                </w:p>
              </w:tc>
              <w:tc>
                <w:tcPr>
                  <w:tcW w:w="574" w:type="pct"/>
                  <w:tcBorders>
                    <w:top w:val="nil"/>
                    <w:left w:val="single" w:color="auto" w:sz="2" w:space="0"/>
                    <w:bottom w:val="single" w:color="auto" w:sz="2" w:space="0"/>
                    <w:right w:val="single" w:color="auto" w:sz="2" w:space="0"/>
                  </w:tcBorders>
                  <w:vAlign w:val="center"/>
                </w:tcPr>
                <w:p>
                  <w:pPr>
                    <w:pStyle w:val="30"/>
                    <w:jc w:val="center"/>
                    <w:rPr>
                      <w:rFonts w:ascii="Times New Roman" w:hAnsi="Times New Roman"/>
                      <w:color w:val="auto"/>
                      <w:kern w:val="2"/>
                      <w:sz w:val="21"/>
                      <w:szCs w:val="22"/>
                      <w:highlight w:val="none"/>
                    </w:rPr>
                  </w:pPr>
                  <w:r>
                    <w:rPr>
                      <w:rFonts w:hint="eastAsia" w:ascii="Times New Roman" w:hAnsi="Times New Roman"/>
                      <w:color w:val="auto"/>
                      <w:kern w:val="2"/>
                      <w:sz w:val="21"/>
                      <w:szCs w:val="22"/>
                      <w:highlight w:val="none"/>
                    </w:rPr>
                    <w:t>100</w:t>
                  </w:r>
                </w:p>
              </w:tc>
              <w:tc>
                <w:tcPr>
                  <w:tcW w:w="424" w:type="pct"/>
                  <w:vMerge w:val="continue"/>
                  <w:tcBorders>
                    <w:top w:val="nil"/>
                    <w:left w:val="single" w:color="auto" w:sz="2" w:space="0"/>
                    <w:bottom w:val="single" w:color="auto" w:sz="2" w:space="0"/>
                    <w:right w:val="single" w:color="auto" w:sz="2" w:space="0"/>
                  </w:tcBorders>
                  <w:vAlign w:val="center"/>
                </w:tcPr>
                <w:p>
                  <w:pPr>
                    <w:rPr>
                      <w:color w:val="auto"/>
                      <w:szCs w:val="22"/>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962" w:hRule="atLeast"/>
              </w:trPr>
              <w:tc>
                <w:tcPr>
                  <w:tcW w:w="946" w:type="pct"/>
                  <w:tcBorders>
                    <w:top w:val="single" w:color="auto" w:sz="4" w:space="0"/>
                    <w:left w:val="single" w:color="auto" w:sz="2" w:space="0"/>
                    <w:right w:val="single" w:color="auto" w:sz="2" w:space="0"/>
                  </w:tcBorders>
                  <w:vAlign w:val="center"/>
                </w:tcPr>
                <w:p>
                  <w:pPr>
                    <w:jc w:val="left"/>
                    <w:rPr>
                      <w:color w:val="auto"/>
                      <w:highlight w:val="none"/>
                    </w:rPr>
                  </w:pPr>
                  <w:r>
                    <w:rPr>
                      <w:color w:val="auto"/>
                      <w:szCs w:val="21"/>
                      <w:highlight w:val="none"/>
                    </w:rPr>
                    <w:t>封口工序液化石油气燃烧废气</w:t>
                  </w:r>
                </w:p>
              </w:tc>
              <w:tc>
                <w:tcPr>
                  <w:tcW w:w="1491" w:type="pct"/>
                  <w:tcBorders>
                    <w:top w:val="single" w:color="auto" w:sz="4" w:space="0"/>
                    <w:left w:val="single" w:color="auto" w:sz="2" w:space="0"/>
                    <w:right w:val="single" w:color="auto" w:sz="2" w:space="0"/>
                  </w:tcBorders>
                  <w:vAlign w:val="center"/>
                </w:tcPr>
                <w:p>
                  <w:pPr>
                    <w:wordWrap w:val="0"/>
                    <w:jc w:val="center"/>
                    <w:rPr>
                      <w:color w:val="auto"/>
                      <w:highlight w:val="none"/>
                    </w:rPr>
                  </w:pPr>
                  <w:r>
                    <w:rPr>
                      <w:rFonts w:hint="eastAsia"/>
                      <w:color w:val="auto"/>
                      <w:szCs w:val="21"/>
                      <w:highlight w:val="none"/>
                    </w:rPr>
                    <w:t>新建集气罩，</w:t>
                  </w:r>
                  <w:r>
                    <w:rPr>
                      <w:color w:val="auto"/>
                      <w:szCs w:val="21"/>
                      <w:highlight w:val="none"/>
                    </w:rPr>
                    <w:t>依托现有15m高排气筒(P2)</w:t>
                  </w:r>
                </w:p>
              </w:tc>
              <w:tc>
                <w:tcPr>
                  <w:tcW w:w="1565" w:type="pct"/>
                  <w:vMerge w:val="continue"/>
                  <w:tcBorders>
                    <w:left w:val="single" w:color="auto" w:sz="2" w:space="0"/>
                    <w:right w:val="single" w:color="auto" w:sz="2" w:space="0"/>
                  </w:tcBorders>
                  <w:vAlign w:val="center"/>
                </w:tcPr>
                <w:p>
                  <w:pPr>
                    <w:rPr>
                      <w:color w:val="auto"/>
                      <w:szCs w:val="22"/>
                      <w:highlight w:val="none"/>
                    </w:rPr>
                  </w:pPr>
                </w:p>
              </w:tc>
              <w:tc>
                <w:tcPr>
                  <w:tcW w:w="574" w:type="pct"/>
                  <w:tcBorders>
                    <w:top w:val="single" w:color="auto" w:sz="4" w:space="0"/>
                    <w:left w:val="single" w:color="auto" w:sz="2" w:space="0"/>
                    <w:right w:val="single" w:color="auto" w:sz="2" w:space="0"/>
                  </w:tcBorders>
                  <w:vAlign w:val="center"/>
                </w:tcPr>
                <w:p>
                  <w:pPr>
                    <w:pStyle w:val="30"/>
                    <w:jc w:val="center"/>
                    <w:rPr>
                      <w:rFonts w:ascii="Times New Roman" w:hAnsi="Times New Roman"/>
                      <w:color w:val="auto"/>
                      <w:kern w:val="2"/>
                      <w:sz w:val="21"/>
                      <w:szCs w:val="22"/>
                      <w:highlight w:val="none"/>
                    </w:rPr>
                  </w:pPr>
                  <w:r>
                    <w:rPr>
                      <w:rFonts w:ascii="Times New Roman" w:hAnsi="Times New Roman"/>
                      <w:color w:val="auto"/>
                      <w:kern w:val="2"/>
                      <w:sz w:val="21"/>
                      <w:szCs w:val="22"/>
                      <w:highlight w:val="none"/>
                    </w:rPr>
                    <w:t>1</w:t>
                  </w:r>
                </w:p>
              </w:tc>
              <w:tc>
                <w:tcPr>
                  <w:tcW w:w="424" w:type="pct"/>
                  <w:vMerge w:val="continue"/>
                  <w:tcBorders>
                    <w:top w:val="nil"/>
                    <w:left w:val="single" w:color="auto" w:sz="2" w:space="0"/>
                    <w:bottom w:val="single" w:color="auto" w:sz="2" w:space="0"/>
                    <w:right w:val="single" w:color="auto" w:sz="2" w:space="0"/>
                  </w:tcBorders>
                  <w:vAlign w:val="center"/>
                </w:tcPr>
                <w:p>
                  <w:pPr>
                    <w:rPr>
                      <w:color w:val="auto"/>
                      <w:szCs w:val="22"/>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157" w:hRule="atLeast"/>
              </w:trPr>
              <w:tc>
                <w:tcPr>
                  <w:tcW w:w="946" w:type="pct"/>
                  <w:tcBorders>
                    <w:top w:val="single" w:color="auto" w:sz="4" w:space="0"/>
                    <w:left w:val="single" w:color="auto" w:sz="2" w:space="0"/>
                    <w:bottom w:val="single" w:color="auto" w:sz="2" w:space="0"/>
                    <w:right w:val="single" w:color="auto" w:sz="2" w:space="0"/>
                  </w:tcBorders>
                  <w:vAlign w:val="center"/>
                </w:tcPr>
                <w:p>
                  <w:pPr>
                    <w:jc w:val="left"/>
                    <w:rPr>
                      <w:color w:val="auto"/>
                      <w:szCs w:val="21"/>
                      <w:highlight w:val="none"/>
                    </w:rPr>
                  </w:pPr>
                  <w:r>
                    <w:rPr>
                      <w:rFonts w:hint="eastAsia"/>
                      <w:color w:val="auto"/>
                      <w:szCs w:val="21"/>
                      <w:highlight w:val="none"/>
                    </w:rPr>
                    <w:t>危废库废气</w:t>
                  </w:r>
                </w:p>
              </w:tc>
              <w:tc>
                <w:tcPr>
                  <w:tcW w:w="1491" w:type="pct"/>
                  <w:tcBorders>
                    <w:top w:val="single" w:color="auto" w:sz="4" w:space="0"/>
                    <w:left w:val="single" w:color="auto" w:sz="2" w:space="0"/>
                    <w:bottom w:val="single" w:color="auto" w:sz="2" w:space="0"/>
                    <w:right w:val="single" w:color="auto" w:sz="2" w:space="0"/>
                  </w:tcBorders>
                  <w:vAlign w:val="center"/>
                </w:tcPr>
                <w:p>
                  <w:pPr>
                    <w:wordWrap w:val="0"/>
                    <w:jc w:val="center"/>
                    <w:rPr>
                      <w:color w:val="auto"/>
                      <w:szCs w:val="21"/>
                      <w:highlight w:val="none"/>
                    </w:rPr>
                  </w:pPr>
                  <w:r>
                    <w:rPr>
                      <w:rFonts w:hint="eastAsia"/>
                      <w:color w:val="auto"/>
                      <w:szCs w:val="21"/>
                      <w:highlight w:val="none"/>
                    </w:rPr>
                    <w:t>负压收集+活性炭吸附+15m高排气筒P3排放</w:t>
                  </w:r>
                </w:p>
              </w:tc>
              <w:tc>
                <w:tcPr>
                  <w:tcW w:w="1565" w:type="pct"/>
                  <w:vMerge w:val="continue"/>
                  <w:tcBorders>
                    <w:left w:val="single" w:color="auto" w:sz="2" w:space="0"/>
                    <w:bottom w:val="single" w:color="auto" w:sz="2" w:space="0"/>
                    <w:right w:val="single" w:color="auto" w:sz="2" w:space="0"/>
                  </w:tcBorders>
                  <w:vAlign w:val="center"/>
                </w:tcPr>
                <w:p>
                  <w:pPr>
                    <w:rPr>
                      <w:color w:val="auto"/>
                      <w:szCs w:val="22"/>
                      <w:highlight w:val="none"/>
                    </w:rPr>
                  </w:pPr>
                </w:p>
              </w:tc>
              <w:tc>
                <w:tcPr>
                  <w:tcW w:w="574" w:type="pct"/>
                  <w:tcBorders>
                    <w:top w:val="single" w:color="auto" w:sz="4" w:space="0"/>
                    <w:left w:val="single" w:color="auto" w:sz="2" w:space="0"/>
                    <w:bottom w:val="single" w:color="auto" w:sz="2" w:space="0"/>
                    <w:right w:val="single" w:color="auto" w:sz="2" w:space="0"/>
                  </w:tcBorders>
                  <w:vAlign w:val="center"/>
                </w:tcPr>
                <w:p>
                  <w:pPr>
                    <w:pStyle w:val="30"/>
                    <w:jc w:val="center"/>
                    <w:rPr>
                      <w:rFonts w:ascii="Times New Roman" w:hAnsi="Times New Roman"/>
                      <w:color w:val="auto"/>
                      <w:kern w:val="2"/>
                      <w:sz w:val="21"/>
                      <w:szCs w:val="22"/>
                      <w:highlight w:val="none"/>
                    </w:rPr>
                  </w:pPr>
                  <w:r>
                    <w:rPr>
                      <w:rFonts w:hint="eastAsia" w:ascii="Times New Roman" w:hAnsi="Times New Roman"/>
                      <w:color w:val="auto"/>
                      <w:kern w:val="2"/>
                      <w:sz w:val="21"/>
                      <w:szCs w:val="22"/>
                      <w:highlight w:val="none"/>
                    </w:rPr>
                    <w:t>2</w:t>
                  </w:r>
                </w:p>
              </w:tc>
              <w:tc>
                <w:tcPr>
                  <w:tcW w:w="424" w:type="pct"/>
                  <w:vMerge w:val="continue"/>
                  <w:tcBorders>
                    <w:top w:val="nil"/>
                    <w:left w:val="single" w:color="auto" w:sz="2" w:space="0"/>
                    <w:bottom w:val="single" w:color="auto" w:sz="2" w:space="0"/>
                    <w:right w:val="single" w:color="auto" w:sz="2" w:space="0"/>
                  </w:tcBorders>
                  <w:vAlign w:val="center"/>
                </w:tcPr>
                <w:p>
                  <w:pPr>
                    <w:rPr>
                      <w:color w:val="auto"/>
                      <w:szCs w:val="22"/>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20" w:hRule="atLeast"/>
              </w:trPr>
              <w:tc>
                <w:tcPr>
                  <w:tcW w:w="946" w:type="pct"/>
                  <w:tcBorders>
                    <w:top w:val="single" w:color="auto" w:sz="2" w:space="0"/>
                    <w:left w:val="single" w:color="auto" w:sz="2" w:space="0"/>
                    <w:bottom w:val="single" w:color="auto" w:sz="2" w:space="0"/>
                    <w:right w:val="single" w:color="auto" w:sz="2" w:space="0"/>
                  </w:tcBorders>
                  <w:vAlign w:val="center"/>
                </w:tcPr>
                <w:p>
                  <w:pPr>
                    <w:pStyle w:val="30"/>
                    <w:jc w:val="center"/>
                    <w:rPr>
                      <w:rFonts w:ascii="Times New Roman" w:hAnsi="Times New Roman"/>
                      <w:color w:val="auto"/>
                      <w:kern w:val="2"/>
                      <w:sz w:val="21"/>
                      <w:szCs w:val="22"/>
                      <w:highlight w:val="none"/>
                    </w:rPr>
                  </w:pPr>
                  <w:r>
                    <w:rPr>
                      <w:rFonts w:ascii="Times New Roman" w:hAnsi="Times New Roman"/>
                      <w:color w:val="auto"/>
                      <w:kern w:val="2"/>
                      <w:sz w:val="21"/>
                      <w:szCs w:val="22"/>
                      <w:highlight w:val="none"/>
                    </w:rPr>
                    <w:t>清洗机、风机噪声</w:t>
                  </w:r>
                </w:p>
              </w:tc>
              <w:tc>
                <w:tcPr>
                  <w:tcW w:w="1491" w:type="pct"/>
                  <w:tcBorders>
                    <w:top w:val="single" w:color="auto" w:sz="2" w:space="0"/>
                    <w:left w:val="single" w:color="auto" w:sz="2" w:space="0"/>
                    <w:bottom w:val="single" w:color="auto" w:sz="2" w:space="0"/>
                    <w:right w:val="single" w:color="auto" w:sz="2" w:space="0"/>
                  </w:tcBorders>
                  <w:vAlign w:val="center"/>
                </w:tcPr>
                <w:p>
                  <w:pPr>
                    <w:pStyle w:val="30"/>
                    <w:jc w:val="center"/>
                    <w:rPr>
                      <w:rFonts w:ascii="Times New Roman" w:hAnsi="Times New Roman"/>
                      <w:color w:val="auto"/>
                      <w:kern w:val="2"/>
                      <w:sz w:val="21"/>
                      <w:szCs w:val="22"/>
                      <w:highlight w:val="none"/>
                    </w:rPr>
                  </w:pPr>
                  <w:r>
                    <w:rPr>
                      <w:rFonts w:hint="eastAsia" w:ascii="Times New Roman" w:hAnsi="Times New Roman"/>
                      <w:color w:val="auto"/>
                      <w:kern w:val="2"/>
                      <w:sz w:val="21"/>
                      <w:szCs w:val="22"/>
                      <w:highlight w:val="none"/>
                    </w:rPr>
                    <w:t>合理布局、减振、隔声、距离衰减。</w:t>
                  </w:r>
                </w:p>
              </w:tc>
              <w:tc>
                <w:tcPr>
                  <w:tcW w:w="1565" w:type="pct"/>
                  <w:tcBorders>
                    <w:top w:val="single" w:color="auto" w:sz="2" w:space="0"/>
                    <w:left w:val="single" w:color="auto" w:sz="2" w:space="0"/>
                    <w:bottom w:val="single" w:color="auto" w:sz="2" w:space="0"/>
                    <w:right w:val="single" w:color="auto" w:sz="2" w:space="0"/>
                  </w:tcBorders>
                  <w:vAlign w:val="center"/>
                </w:tcPr>
                <w:p>
                  <w:pPr>
                    <w:pStyle w:val="30"/>
                    <w:jc w:val="center"/>
                    <w:rPr>
                      <w:rFonts w:ascii="Times New Roman" w:hAnsi="Times New Roman"/>
                      <w:color w:val="auto"/>
                      <w:kern w:val="2"/>
                      <w:sz w:val="21"/>
                      <w:szCs w:val="22"/>
                      <w:highlight w:val="none"/>
                    </w:rPr>
                  </w:pPr>
                  <w:r>
                    <w:rPr>
                      <w:rFonts w:ascii="Times New Roman" w:hAnsi="Times New Roman"/>
                      <w:color w:val="auto"/>
                      <w:kern w:val="2"/>
                      <w:sz w:val="21"/>
                      <w:szCs w:val="22"/>
                      <w:highlight w:val="none"/>
                    </w:rPr>
                    <w:t>厂界噪声执行《工业企业厂界环境噪声排放标准》（GB12348-2008）</w:t>
                  </w:r>
                  <w:r>
                    <w:rPr>
                      <w:rFonts w:hint="eastAsia" w:ascii="Times New Roman" w:hAnsi="Times New Roman"/>
                      <w:color w:val="auto"/>
                      <w:kern w:val="2"/>
                      <w:sz w:val="21"/>
                      <w:szCs w:val="22"/>
                      <w:highlight w:val="none"/>
                    </w:rPr>
                    <w:t>2</w:t>
                  </w:r>
                  <w:r>
                    <w:rPr>
                      <w:rFonts w:ascii="Times New Roman" w:hAnsi="Times New Roman"/>
                      <w:color w:val="auto"/>
                      <w:kern w:val="2"/>
                      <w:sz w:val="21"/>
                      <w:szCs w:val="22"/>
                      <w:highlight w:val="none"/>
                    </w:rPr>
                    <w:t>类排放标准</w:t>
                  </w:r>
                </w:p>
              </w:tc>
              <w:tc>
                <w:tcPr>
                  <w:tcW w:w="574" w:type="pct"/>
                  <w:tcBorders>
                    <w:top w:val="single" w:color="auto" w:sz="2" w:space="0"/>
                    <w:left w:val="single" w:color="auto" w:sz="2" w:space="0"/>
                    <w:bottom w:val="single" w:color="auto" w:sz="2" w:space="0"/>
                    <w:right w:val="single" w:color="auto" w:sz="2" w:space="0"/>
                  </w:tcBorders>
                  <w:vAlign w:val="center"/>
                </w:tcPr>
                <w:p>
                  <w:pPr>
                    <w:pStyle w:val="30"/>
                    <w:jc w:val="center"/>
                    <w:rPr>
                      <w:rFonts w:ascii="Times New Roman" w:hAnsi="Times New Roman"/>
                      <w:color w:val="auto"/>
                      <w:kern w:val="2"/>
                      <w:sz w:val="21"/>
                      <w:szCs w:val="22"/>
                      <w:highlight w:val="none"/>
                    </w:rPr>
                  </w:pPr>
                  <w:r>
                    <w:rPr>
                      <w:rFonts w:ascii="Times New Roman" w:hAnsi="Times New Roman"/>
                      <w:color w:val="auto"/>
                      <w:kern w:val="2"/>
                      <w:sz w:val="21"/>
                      <w:szCs w:val="22"/>
                      <w:highlight w:val="none"/>
                    </w:rPr>
                    <w:t>5</w:t>
                  </w:r>
                </w:p>
              </w:tc>
              <w:tc>
                <w:tcPr>
                  <w:tcW w:w="424" w:type="pct"/>
                  <w:vMerge w:val="continue"/>
                  <w:tcBorders>
                    <w:top w:val="nil"/>
                    <w:left w:val="single" w:color="auto" w:sz="2" w:space="0"/>
                    <w:bottom w:val="single" w:color="auto" w:sz="2" w:space="0"/>
                    <w:right w:val="single" w:color="auto" w:sz="2" w:space="0"/>
                  </w:tcBorders>
                  <w:vAlign w:val="center"/>
                </w:tcPr>
                <w:p>
                  <w:pPr>
                    <w:rPr>
                      <w:color w:val="auto"/>
                      <w:szCs w:val="22"/>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20" w:hRule="atLeast"/>
              </w:trPr>
              <w:tc>
                <w:tcPr>
                  <w:tcW w:w="946" w:type="pct"/>
                  <w:tcBorders>
                    <w:top w:val="single" w:color="auto" w:sz="2" w:space="0"/>
                    <w:left w:val="single" w:color="auto" w:sz="2" w:space="0"/>
                    <w:bottom w:val="single" w:color="auto" w:sz="4" w:space="0"/>
                    <w:right w:val="single" w:color="auto" w:sz="2" w:space="0"/>
                  </w:tcBorders>
                  <w:vAlign w:val="center"/>
                </w:tcPr>
                <w:p>
                  <w:pPr>
                    <w:pStyle w:val="30"/>
                    <w:jc w:val="center"/>
                    <w:rPr>
                      <w:rFonts w:ascii="Times New Roman" w:hAnsi="Times New Roman"/>
                      <w:color w:val="auto"/>
                      <w:kern w:val="2"/>
                      <w:sz w:val="21"/>
                      <w:szCs w:val="22"/>
                      <w:highlight w:val="none"/>
                    </w:rPr>
                  </w:pPr>
                  <w:r>
                    <w:rPr>
                      <w:rFonts w:ascii="Times New Roman" w:hAnsi="Times New Roman"/>
                      <w:color w:val="auto"/>
                      <w:kern w:val="2"/>
                      <w:sz w:val="21"/>
                      <w:szCs w:val="22"/>
                      <w:highlight w:val="none"/>
                    </w:rPr>
                    <w:t>危废</w:t>
                  </w:r>
                </w:p>
              </w:tc>
              <w:tc>
                <w:tcPr>
                  <w:tcW w:w="1491" w:type="pct"/>
                  <w:tcBorders>
                    <w:top w:val="single" w:color="auto" w:sz="2" w:space="0"/>
                    <w:left w:val="single" w:color="auto" w:sz="2" w:space="0"/>
                    <w:bottom w:val="single" w:color="auto" w:sz="4" w:space="0"/>
                    <w:right w:val="single" w:color="auto" w:sz="2" w:space="0"/>
                  </w:tcBorders>
                  <w:vAlign w:val="center"/>
                </w:tcPr>
                <w:p>
                  <w:pPr>
                    <w:pStyle w:val="30"/>
                    <w:rPr>
                      <w:rFonts w:ascii="Times New Roman" w:hAnsi="Times New Roman"/>
                      <w:color w:val="auto"/>
                      <w:kern w:val="2"/>
                      <w:sz w:val="21"/>
                      <w:szCs w:val="22"/>
                      <w:highlight w:val="none"/>
                    </w:rPr>
                  </w:pPr>
                  <w:r>
                    <w:rPr>
                      <w:rFonts w:ascii="Times New Roman" w:hAnsi="Times New Roman"/>
                      <w:color w:val="auto"/>
                      <w:kern w:val="2"/>
                      <w:sz w:val="21"/>
                      <w:szCs w:val="22"/>
                      <w:highlight w:val="none"/>
                    </w:rPr>
                    <w:t>依托现有危废库30m</w:t>
                  </w:r>
                  <w:r>
                    <w:rPr>
                      <w:rFonts w:ascii="Times New Roman" w:hAnsi="Times New Roman"/>
                      <w:color w:val="auto"/>
                      <w:kern w:val="2"/>
                      <w:sz w:val="21"/>
                      <w:szCs w:val="22"/>
                      <w:highlight w:val="none"/>
                      <w:vertAlign w:val="superscript"/>
                    </w:rPr>
                    <w:t>2</w:t>
                  </w:r>
                  <w:r>
                    <w:rPr>
                      <w:rFonts w:ascii="Times New Roman" w:hAnsi="Times New Roman"/>
                      <w:color w:val="auto"/>
                      <w:kern w:val="2"/>
                      <w:sz w:val="21"/>
                      <w:szCs w:val="22"/>
                      <w:highlight w:val="none"/>
                    </w:rPr>
                    <w:t>暂存</w:t>
                  </w:r>
                </w:p>
              </w:tc>
              <w:tc>
                <w:tcPr>
                  <w:tcW w:w="1565" w:type="pct"/>
                  <w:tcBorders>
                    <w:top w:val="single" w:color="auto" w:sz="2" w:space="0"/>
                    <w:left w:val="single" w:color="auto" w:sz="2" w:space="0"/>
                    <w:bottom w:val="single" w:color="auto" w:sz="4" w:space="0"/>
                    <w:right w:val="single" w:color="auto" w:sz="2" w:space="0"/>
                  </w:tcBorders>
                  <w:vAlign w:val="center"/>
                </w:tcPr>
                <w:p>
                  <w:pPr>
                    <w:pStyle w:val="30"/>
                    <w:jc w:val="center"/>
                    <w:rPr>
                      <w:rFonts w:ascii="Times New Roman" w:hAnsi="Times New Roman"/>
                      <w:color w:val="auto"/>
                      <w:kern w:val="2"/>
                      <w:sz w:val="21"/>
                      <w:szCs w:val="22"/>
                      <w:highlight w:val="none"/>
                    </w:rPr>
                  </w:pPr>
                  <w:r>
                    <w:rPr>
                      <w:rFonts w:ascii="Times New Roman" w:hAnsi="Times New Roman"/>
                      <w:color w:val="auto"/>
                      <w:kern w:val="2"/>
                      <w:sz w:val="21"/>
                      <w:szCs w:val="22"/>
                      <w:highlight w:val="none"/>
                    </w:rPr>
                    <w:t>签订危废处置协议,委托有资质单位处置，固废“零排放”；储存执行《危险危废贮存污染控制标准（GB18597-2001）及其2013修改单</w:t>
                  </w:r>
                </w:p>
              </w:tc>
              <w:tc>
                <w:tcPr>
                  <w:tcW w:w="574" w:type="pct"/>
                  <w:tcBorders>
                    <w:top w:val="single" w:color="auto" w:sz="2" w:space="0"/>
                    <w:left w:val="single" w:color="auto" w:sz="2" w:space="0"/>
                    <w:bottom w:val="single" w:color="auto" w:sz="4" w:space="0"/>
                    <w:right w:val="single" w:color="auto" w:sz="2" w:space="0"/>
                  </w:tcBorders>
                  <w:vAlign w:val="center"/>
                </w:tcPr>
                <w:p>
                  <w:pPr>
                    <w:pStyle w:val="30"/>
                    <w:jc w:val="center"/>
                    <w:rPr>
                      <w:rFonts w:ascii="Times New Roman" w:hAnsi="Times New Roman"/>
                      <w:color w:val="auto"/>
                      <w:kern w:val="2"/>
                      <w:sz w:val="21"/>
                      <w:szCs w:val="22"/>
                      <w:highlight w:val="none"/>
                    </w:rPr>
                  </w:pPr>
                  <w:r>
                    <w:rPr>
                      <w:rFonts w:ascii="Times New Roman" w:hAnsi="Times New Roman"/>
                      <w:color w:val="auto"/>
                      <w:kern w:val="2"/>
                      <w:sz w:val="21"/>
                      <w:szCs w:val="22"/>
                      <w:highlight w:val="none"/>
                    </w:rPr>
                    <w:t>--</w:t>
                  </w:r>
                </w:p>
              </w:tc>
              <w:tc>
                <w:tcPr>
                  <w:tcW w:w="424" w:type="pct"/>
                  <w:vMerge w:val="continue"/>
                  <w:tcBorders>
                    <w:top w:val="nil"/>
                    <w:left w:val="single" w:color="auto" w:sz="2" w:space="0"/>
                    <w:bottom w:val="single" w:color="auto" w:sz="2" w:space="0"/>
                    <w:right w:val="single" w:color="auto" w:sz="2" w:space="0"/>
                  </w:tcBorders>
                  <w:vAlign w:val="center"/>
                </w:tcPr>
                <w:p>
                  <w:pPr>
                    <w:rPr>
                      <w:color w:val="auto"/>
                      <w:szCs w:val="22"/>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20" w:hRule="atLeast"/>
              </w:trPr>
              <w:tc>
                <w:tcPr>
                  <w:tcW w:w="946" w:type="pct"/>
                  <w:tcBorders>
                    <w:top w:val="single" w:color="auto" w:sz="4" w:space="0"/>
                    <w:left w:val="single" w:color="auto" w:sz="2" w:space="0"/>
                    <w:bottom w:val="single" w:color="auto" w:sz="2" w:space="0"/>
                    <w:right w:val="single" w:color="auto" w:sz="2" w:space="0"/>
                  </w:tcBorders>
                  <w:vAlign w:val="center"/>
                </w:tcPr>
                <w:p>
                  <w:pPr>
                    <w:pStyle w:val="30"/>
                    <w:jc w:val="center"/>
                    <w:rPr>
                      <w:rFonts w:ascii="Times New Roman" w:hAnsi="Times New Roman"/>
                      <w:color w:val="auto"/>
                      <w:kern w:val="2"/>
                      <w:sz w:val="21"/>
                      <w:szCs w:val="22"/>
                      <w:highlight w:val="none"/>
                    </w:rPr>
                  </w:pPr>
                  <w:r>
                    <w:rPr>
                      <w:rFonts w:ascii="Times New Roman" w:hAnsi="Times New Roman"/>
                      <w:color w:val="auto"/>
                      <w:kern w:val="2"/>
                      <w:sz w:val="21"/>
                      <w:szCs w:val="22"/>
                      <w:highlight w:val="none"/>
                    </w:rPr>
                    <w:t>一般固废</w:t>
                  </w:r>
                </w:p>
              </w:tc>
              <w:tc>
                <w:tcPr>
                  <w:tcW w:w="1491" w:type="pct"/>
                  <w:tcBorders>
                    <w:top w:val="single" w:color="auto" w:sz="4" w:space="0"/>
                    <w:left w:val="single" w:color="auto" w:sz="2" w:space="0"/>
                    <w:bottom w:val="single" w:color="auto" w:sz="2" w:space="0"/>
                    <w:right w:val="single" w:color="auto" w:sz="2" w:space="0"/>
                  </w:tcBorders>
                  <w:vAlign w:val="center"/>
                </w:tcPr>
                <w:p>
                  <w:pPr>
                    <w:pStyle w:val="30"/>
                    <w:jc w:val="center"/>
                    <w:rPr>
                      <w:rFonts w:ascii="Times New Roman" w:hAnsi="Times New Roman"/>
                      <w:color w:val="auto"/>
                      <w:kern w:val="2"/>
                      <w:sz w:val="21"/>
                      <w:szCs w:val="22"/>
                      <w:highlight w:val="none"/>
                    </w:rPr>
                  </w:pPr>
                  <w:r>
                    <w:rPr>
                      <w:rFonts w:ascii="Times New Roman" w:hAnsi="Times New Roman"/>
                      <w:color w:val="auto"/>
                      <w:kern w:val="2"/>
                      <w:sz w:val="21"/>
                      <w:szCs w:val="22"/>
                      <w:highlight w:val="none"/>
                    </w:rPr>
                    <w:t>依托现有</w:t>
                  </w:r>
                  <w:r>
                    <w:rPr>
                      <w:rFonts w:hint="eastAsia" w:ascii="Times New Roman" w:hAnsi="Times New Roman"/>
                      <w:color w:val="auto"/>
                      <w:kern w:val="2"/>
                      <w:sz w:val="21"/>
                      <w:szCs w:val="22"/>
                      <w:highlight w:val="none"/>
                    </w:rPr>
                    <w:t>一般固废</w:t>
                  </w:r>
                  <w:r>
                    <w:rPr>
                      <w:rFonts w:ascii="Times New Roman" w:hAnsi="Times New Roman"/>
                      <w:color w:val="auto"/>
                      <w:kern w:val="2"/>
                      <w:sz w:val="21"/>
                      <w:szCs w:val="22"/>
                      <w:highlight w:val="none"/>
                    </w:rPr>
                    <w:t>堆场（20m</w:t>
                  </w:r>
                  <w:r>
                    <w:rPr>
                      <w:rFonts w:ascii="Times New Roman" w:hAnsi="Times New Roman"/>
                      <w:color w:val="auto"/>
                      <w:kern w:val="2"/>
                      <w:sz w:val="21"/>
                      <w:szCs w:val="22"/>
                      <w:highlight w:val="none"/>
                      <w:vertAlign w:val="superscript"/>
                    </w:rPr>
                    <w:t>2</w:t>
                  </w:r>
                  <w:r>
                    <w:rPr>
                      <w:rFonts w:ascii="Times New Roman" w:hAnsi="Times New Roman"/>
                      <w:color w:val="auto"/>
                      <w:kern w:val="2"/>
                      <w:sz w:val="21"/>
                      <w:szCs w:val="22"/>
                      <w:highlight w:val="none"/>
                    </w:rPr>
                    <w:t>）</w:t>
                  </w:r>
                </w:p>
              </w:tc>
              <w:tc>
                <w:tcPr>
                  <w:tcW w:w="1565" w:type="pct"/>
                  <w:tcBorders>
                    <w:top w:val="single" w:color="auto" w:sz="4" w:space="0"/>
                    <w:left w:val="single" w:color="auto" w:sz="2" w:space="0"/>
                    <w:bottom w:val="single" w:color="auto" w:sz="2" w:space="0"/>
                    <w:right w:val="single" w:color="auto" w:sz="2" w:space="0"/>
                  </w:tcBorders>
                  <w:vAlign w:val="center"/>
                </w:tcPr>
                <w:p>
                  <w:pPr>
                    <w:pStyle w:val="30"/>
                    <w:jc w:val="center"/>
                    <w:rPr>
                      <w:rFonts w:ascii="Times New Roman" w:hAnsi="Times New Roman"/>
                      <w:color w:val="auto"/>
                      <w:kern w:val="2"/>
                      <w:sz w:val="21"/>
                      <w:szCs w:val="22"/>
                      <w:highlight w:val="none"/>
                    </w:rPr>
                  </w:pPr>
                  <w:r>
                    <w:rPr>
                      <w:rFonts w:ascii="Times New Roman" w:hAnsi="Times New Roman"/>
                      <w:color w:val="auto"/>
                      <w:kern w:val="2"/>
                      <w:sz w:val="21"/>
                      <w:szCs w:val="22"/>
                      <w:highlight w:val="none"/>
                    </w:rPr>
                    <w:t>回收利用</w:t>
                  </w:r>
                </w:p>
              </w:tc>
              <w:tc>
                <w:tcPr>
                  <w:tcW w:w="574" w:type="pct"/>
                  <w:tcBorders>
                    <w:top w:val="single" w:color="auto" w:sz="4" w:space="0"/>
                    <w:left w:val="single" w:color="auto" w:sz="2" w:space="0"/>
                    <w:bottom w:val="single" w:color="auto" w:sz="2" w:space="0"/>
                    <w:right w:val="single" w:color="auto" w:sz="2" w:space="0"/>
                  </w:tcBorders>
                  <w:vAlign w:val="center"/>
                </w:tcPr>
                <w:p>
                  <w:pPr>
                    <w:pStyle w:val="30"/>
                    <w:jc w:val="center"/>
                    <w:rPr>
                      <w:rFonts w:ascii="Times New Roman" w:hAnsi="Times New Roman"/>
                      <w:color w:val="auto"/>
                      <w:kern w:val="2"/>
                      <w:sz w:val="21"/>
                      <w:szCs w:val="22"/>
                      <w:highlight w:val="none"/>
                    </w:rPr>
                  </w:pPr>
                  <w:r>
                    <w:rPr>
                      <w:rFonts w:ascii="Times New Roman" w:hAnsi="Times New Roman"/>
                      <w:color w:val="auto"/>
                      <w:kern w:val="2"/>
                      <w:sz w:val="21"/>
                      <w:szCs w:val="22"/>
                      <w:highlight w:val="none"/>
                    </w:rPr>
                    <w:t>--</w:t>
                  </w:r>
                </w:p>
              </w:tc>
              <w:tc>
                <w:tcPr>
                  <w:tcW w:w="424" w:type="pct"/>
                  <w:vMerge w:val="continue"/>
                  <w:tcBorders>
                    <w:top w:val="nil"/>
                    <w:left w:val="single" w:color="auto" w:sz="2" w:space="0"/>
                    <w:bottom w:val="single" w:color="auto" w:sz="2" w:space="0"/>
                    <w:right w:val="single" w:color="auto" w:sz="2" w:space="0"/>
                  </w:tcBorders>
                  <w:vAlign w:val="center"/>
                </w:tcPr>
                <w:p>
                  <w:pPr>
                    <w:rPr>
                      <w:color w:val="auto"/>
                      <w:szCs w:val="22"/>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20" w:hRule="atLeast"/>
              </w:trPr>
              <w:tc>
                <w:tcPr>
                  <w:tcW w:w="946" w:type="pct"/>
                  <w:tcBorders>
                    <w:top w:val="single" w:color="auto" w:sz="2" w:space="0"/>
                    <w:left w:val="single" w:color="auto" w:sz="2" w:space="0"/>
                    <w:bottom w:val="single" w:color="auto" w:sz="4" w:space="0"/>
                    <w:right w:val="single" w:color="auto" w:sz="4" w:space="0"/>
                  </w:tcBorders>
                  <w:vAlign w:val="center"/>
                </w:tcPr>
                <w:p>
                  <w:pPr>
                    <w:pStyle w:val="30"/>
                    <w:jc w:val="center"/>
                    <w:rPr>
                      <w:rFonts w:ascii="Times New Roman" w:hAnsi="Times New Roman"/>
                      <w:color w:val="auto"/>
                      <w:kern w:val="2"/>
                      <w:sz w:val="21"/>
                      <w:szCs w:val="22"/>
                      <w:highlight w:val="none"/>
                    </w:rPr>
                  </w:pPr>
                  <w:r>
                    <w:rPr>
                      <w:rFonts w:ascii="Times New Roman" w:hAnsi="Times New Roman"/>
                      <w:color w:val="auto"/>
                      <w:kern w:val="2"/>
                      <w:sz w:val="21"/>
                      <w:szCs w:val="22"/>
                      <w:highlight w:val="none"/>
                    </w:rPr>
                    <w:t>绿化</w:t>
                  </w:r>
                </w:p>
              </w:tc>
              <w:tc>
                <w:tcPr>
                  <w:tcW w:w="1491" w:type="pct"/>
                  <w:tcBorders>
                    <w:top w:val="single" w:color="auto" w:sz="2" w:space="0"/>
                    <w:left w:val="nil"/>
                    <w:bottom w:val="single" w:color="auto" w:sz="2" w:space="0"/>
                    <w:right w:val="single" w:color="auto" w:sz="2" w:space="0"/>
                  </w:tcBorders>
                  <w:vAlign w:val="center"/>
                </w:tcPr>
                <w:p>
                  <w:pPr>
                    <w:pStyle w:val="30"/>
                    <w:jc w:val="center"/>
                    <w:rPr>
                      <w:rFonts w:ascii="Times New Roman" w:hAnsi="Times New Roman"/>
                      <w:color w:val="auto"/>
                      <w:kern w:val="2"/>
                      <w:sz w:val="21"/>
                      <w:szCs w:val="22"/>
                      <w:highlight w:val="none"/>
                    </w:rPr>
                  </w:pPr>
                  <w:r>
                    <w:rPr>
                      <w:rFonts w:ascii="Times New Roman" w:hAnsi="Times New Roman"/>
                      <w:color w:val="auto"/>
                      <w:kern w:val="2"/>
                      <w:sz w:val="21"/>
                      <w:szCs w:val="22"/>
                      <w:highlight w:val="none"/>
                    </w:rPr>
                    <w:t>依托现有厂区</w:t>
                  </w:r>
                </w:p>
              </w:tc>
              <w:tc>
                <w:tcPr>
                  <w:tcW w:w="1565" w:type="pct"/>
                  <w:tcBorders>
                    <w:top w:val="single" w:color="auto" w:sz="2" w:space="0"/>
                    <w:left w:val="single" w:color="auto" w:sz="2" w:space="0"/>
                    <w:bottom w:val="single" w:color="auto" w:sz="2" w:space="0"/>
                    <w:right w:val="single" w:color="auto" w:sz="2" w:space="0"/>
                  </w:tcBorders>
                  <w:vAlign w:val="center"/>
                </w:tcPr>
                <w:p>
                  <w:pPr>
                    <w:pStyle w:val="30"/>
                    <w:jc w:val="center"/>
                    <w:rPr>
                      <w:rFonts w:ascii="Times New Roman" w:hAnsi="Times New Roman"/>
                      <w:color w:val="auto"/>
                      <w:kern w:val="2"/>
                      <w:sz w:val="21"/>
                      <w:szCs w:val="22"/>
                      <w:highlight w:val="none"/>
                    </w:rPr>
                  </w:pPr>
                  <w:r>
                    <w:rPr>
                      <w:rFonts w:ascii="Times New Roman" w:hAnsi="Times New Roman"/>
                      <w:color w:val="auto"/>
                      <w:kern w:val="2"/>
                      <w:sz w:val="21"/>
                      <w:szCs w:val="22"/>
                      <w:highlight w:val="none"/>
                    </w:rPr>
                    <w:t>/</w:t>
                  </w:r>
                </w:p>
              </w:tc>
              <w:tc>
                <w:tcPr>
                  <w:tcW w:w="574" w:type="pct"/>
                  <w:tcBorders>
                    <w:top w:val="single" w:color="auto" w:sz="2" w:space="0"/>
                    <w:left w:val="single" w:color="auto" w:sz="2" w:space="0"/>
                    <w:bottom w:val="single" w:color="auto" w:sz="4" w:space="0"/>
                    <w:right w:val="single" w:color="auto" w:sz="2" w:space="0"/>
                  </w:tcBorders>
                  <w:vAlign w:val="center"/>
                </w:tcPr>
                <w:p>
                  <w:pPr>
                    <w:pStyle w:val="30"/>
                    <w:jc w:val="center"/>
                    <w:rPr>
                      <w:rFonts w:ascii="Times New Roman" w:hAnsi="Times New Roman"/>
                      <w:color w:val="auto"/>
                      <w:kern w:val="2"/>
                      <w:sz w:val="21"/>
                      <w:szCs w:val="22"/>
                      <w:highlight w:val="none"/>
                    </w:rPr>
                  </w:pPr>
                  <w:r>
                    <w:rPr>
                      <w:rFonts w:ascii="Times New Roman" w:hAnsi="Times New Roman"/>
                      <w:color w:val="auto"/>
                      <w:kern w:val="2"/>
                      <w:sz w:val="21"/>
                      <w:szCs w:val="22"/>
                      <w:highlight w:val="none"/>
                    </w:rPr>
                    <w:t>--</w:t>
                  </w:r>
                </w:p>
              </w:tc>
              <w:tc>
                <w:tcPr>
                  <w:tcW w:w="424" w:type="pct"/>
                  <w:vMerge w:val="continue"/>
                  <w:tcBorders>
                    <w:top w:val="nil"/>
                    <w:left w:val="single" w:color="auto" w:sz="2" w:space="0"/>
                    <w:bottom w:val="single" w:color="auto" w:sz="2" w:space="0"/>
                    <w:right w:val="single" w:color="auto" w:sz="2" w:space="0"/>
                  </w:tcBorders>
                  <w:vAlign w:val="center"/>
                </w:tcPr>
                <w:p>
                  <w:pPr>
                    <w:rPr>
                      <w:color w:val="auto"/>
                      <w:szCs w:val="22"/>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20" w:hRule="atLeast"/>
              </w:trPr>
              <w:tc>
                <w:tcPr>
                  <w:tcW w:w="946" w:type="pct"/>
                  <w:vMerge w:val="restart"/>
                  <w:tcBorders>
                    <w:top w:val="single" w:color="auto" w:sz="4" w:space="0"/>
                    <w:left w:val="single" w:color="auto" w:sz="2" w:space="0"/>
                    <w:bottom w:val="single" w:color="auto" w:sz="2" w:space="0"/>
                    <w:right w:val="single" w:color="auto" w:sz="4" w:space="0"/>
                  </w:tcBorders>
                  <w:vAlign w:val="center"/>
                </w:tcPr>
                <w:p>
                  <w:pPr>
                    <w:pStyle w:val="30"/>
                    <w:jc w:val="center"/>
                    <w:rPr>
                      <w:rFonts w:ascii="Times New Roman" w:hAnsi="Times New Roman"/>
                      <w:color w:val="auto"/>
                      <w:kern w:val="2"/>
                      <w:sz w:val="21"/>
                      <w:szCs w:val="22"/>
                      <w:highlight w:val="none"/>
                    </w:rPr>
                  </w:pPr>
                  <w:r>
                    <w:rPr>
                      <w:rFonts w:ascii="Times New Roman" w:hAnsi="Times New Roman"/>
                      <w:color w:val="auto"/>
                      <w:kern w:val="2"/>
                      <w:sz w:val="21"/>
                      <w:szCs w:val="22"/>
                      <w:highlight w:val="none"/>
                    </w:rPr>
                    <w:t>环境风险</w:t>
                  </w:r>
                </w:p>
              </w:tc>
              <w:tc>
                <w:tcPr>
                  <w:tcW w:w="3056" w:type="pct"/>
                  <w:gridSpan w:val="2"/>
                  <w:tcBorders>
                    <w:top w:val="single" w:color="auto" w:sz="2" w:space="0"/>
                    <w:left w:val="single" w:color="auto" w:sz="2" w:space="0"/>
                    <w:bottom w:val="single" w:color="auto" w:sz="4" w:space="0"/>
                    <w:right w:val="single" w:color="auto" w:sz="2" w:space="0"/>
                  </w:tcBorders>
                  <w:vAlign w:val="center"/>
                </w:tcPr>
                <w:p>
                  <w:pPr>
                    <w:pStyle w:val="30"/>
                    <w:jc w:val="center"/>
                    <w:rPr>
                      <w:rFonts w:ascii="Times New Roman" w:hAnsi="Times New Roman"/>
                      <w:color w:val="auto"/>
                      <w:kern w:val="2"/>
                      <w:sz w:val="21"/>
                      <w:szCs w:val="22"/>
                      <w:highlight w:val="none"/>
                    </w:rPr>
                  </w:pPr>
                  <w:r>
                    <w:rPr>
                      <w:rFonts w:ascii="Times New Roman" w:hAnsi="Times New Roman"/>
                      <w:color w:val="auto"/>
                      <w:kern w:val="2"/>
                      <w:sz w:val="21"/>
                      <w:szCs w:val="22"/>
                      <w:highlight w:val="none"/>
                    </w:rPr>
                    <w:t>应急物资</w:t>
                  </w:r>
                </w:p>
              </w:tc>
              <w:tc>
                <w:tcPr>
                  <w:tcW w:w="574" w:type="pct"/>
                  <w:tcBorders>
                    <w:top w:val="single" w:color="auto" w:sz="4" w:space="0"/>
                    <w:left w:val="single" w:color="auto" w:sz="2" w:space="0"/>
                    <w:bottom w:val="nil"/>
                    <w:right w:val="single" w:color="auto" w:sz="2" w:space="0"/>
                  </w:tcBorders>
                  <w:vAlign w:val="center"/>
                </w:tcPr>
                <w:p>
                  <w:pPr>
                    <w:pStyle w:val="30"/>
                    <w:jc w:val="center"/>
                    <w:rPr>
                      <w:rFonts w:ascii="Times New Roman" w:hAnsi="Times New Roman"/>
                      <w:color w:val="auto"/>
                      <w:kern w:val="2"/>
                      <w:sz w:val="21"/>
                      <w:szCs w:val="22"/>
                      <w:highlight w:val="none"/>
                    </w:rPr>
                  </w:pPr>
                  <w:r>
                    <w:rPr>
                      <w:rFonts w:ascii="Times New Roman" w:hAnsi="Times New Roman"/>
                      <w:color w:val="auto"/>
                      <w:kern w:val="2"/>
                      <w:sz w:val="21"/>
                      <w:szCs w:val="22"/>
                      <w:highlight w:val="none"/>
                    </w:rPr>
                    <w:t>5</w:t>
                  </w:r>
                </w:p>
              </w:tc>
              <w:tc>
                <w:tcPr>
                  <w:tcW w:w="424" w:type="pct"/>
                  <w:vMerge w:val="continue"/>
                  <w:tcBorders>
                    <w:top w:val="nil"/>
                    <w:left w:val="single" w:color="auto" w:sz="2" w:space="0"/>
                    <w:bottom w:val="single" w:color="auto" w:sz="2" w:space="0"/>
                    <w:right w:val="single" w:color="auto" w:sz="2" w:space="0"/>
                  </w:tcBorders>
                  <w:vAlign w:val="center"/>
                </w:tcPr>
                <w:p>
                  <w:pPr>
                    <w:rPr>
                      <w:color w:val="auto"/>
                      <w:szCs w:val="22"/>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20" w:hRule="atLeast"/>
              </w:trPr>
              <w:tc>
                <w:tcPr>
                  <w:tcW w:w="946" w:type="pct"/>
                  <w:vMerge w:val="continue"/>
                  <w:tcBorders>
                    <w:top w:val="nil"/>
                    <w:left w:val="single" w:color="auto" w:sz="2" w:space="0"/>
                    <w:bottom w:val="single" w:color="auto" w:sz="2" w:space="0"/>
                    <w:right w:val="single" w:color="auto" w:sz="4" w:space="0"/>
                  </w:tcBorders>
                  <w:vAlign w:val="center"/>
                </w:tcPr>
                <w:p>
                  <w:pPr>
                    <w:rPr>
                      <w:color w:val="auto"/>
                      <w:szCs w:val="22"/>
                      <w:highlight w:val="none"/>
                    </w:rPr>
                  </w:pPr>
                </w:p>
              </w:tc>
              <w:tc>
                <w:tcPr>
                  <w:tcW w:w="3056" w:type="pct"/>
                  <w:gridSpan w:val="2"/>
                  <w:tcBorders>
                    <w:top w:val="single" w:color="auto" w:sz="4" w:space="0"/>
                    <w:left w:val="single" w:color="auto" w:sz="2" w:space="0"/>
                    <w:bottom w:val="single" w:color="auto" w:sz="4" w:space="0"/>
                    <w:right w:val="single" w:color="auto" w:sz="2" w:space="0"/>
                  </w:tcBorders>
                  <w:vAlign w:val="center"/>
                </w:tcPr>
                <w:p>
                  <w:pPr>
                    <w:pStyle w:val="30"/>
                    <w:jc w:val="center"/>
                    <w:rPr>
                      <w:rFonts w:ascii="Times New Roman" w:hAnsi="Times New Roman"/>
                      <w:color w:val="auto"/>
                      <w:kern w:val="2"/>
                      <w:sz w:val="21"/>
                      <w:szCs w:val="22"/>
                      <w:highlight w:val="none"/>
                    </w:rPr>
                  </w:pPr>
                  <w:r>
                    <w:rPr>
                      <w:rFonts w:hint="eastAsia" w:ascii="Times New Roman" w:hAnsi="Times New Roman"/>
                      <w:color w:val="auto"/>
                      <w:kern w:val="2"/>
                      <w:sz w:val="21"/>
                      <w:szCs w:val="22"/>
                      <w:highlight w:val="none"/>
                    </w:rPr>
                    <w:t>修订</w:t>
                  </w:r>
                  <w:r>
                    <w:rPr>
                      <w:rFonts w:ascii="Times New Roman" w:hAnsi="Times New Roman"/>
                      <w:color w:val="auto"/>
                      <w:kern w:val="2"/>
                      <w:sz w:val="21"/>
                      <w:szCs w:val="22"/>
                      <w:highlight w:val="none"/>
                    </w:rPr>
                    <w:t>突发环境事件应急预案</w:t>
                  </w:r>
                </w:p>
              </w:tc>
              <w:tc>
                <w:tcPr>
                  <w:tcW w:w="574" w:type="pct"/>
                  <w:tcBorders>
                    <w:top w:val="single" w:color="auto" w:sz="4" w:space="0"/>
                    <w:left w:val="single" w:color="auto" w:sz="2" w:space="0"/>
                    <w:bottom w:val="single" w:color="auto" w:sz="4" w:space="0"/>
                    <w:right w:val="single" w:color="auto" w:sz="2" w:space="0"/>
                  </w:tcBorders>
                  <w:vAlign w:val="center"/>
                </w:tcPr>
                <w:p>
                  <w:pPr>
                    <w:pStyle w:val="30"/>
                    <w:jc w:val="center"/>
                    <w:rPr>
                      <w:rFonts w:ascii="Times New Roman" w:hAnsi="Times New Roman"/>
                      <w:color w:val="auto"/>
                      <w:kern w:val="2"/>
                      <w:sz w:val="21"/>
                      <w:szCs w:val="22"/>
                      <w:highlight w:val="none"/>
                    </w:rPr>
                  </w:pPr>
                  <w:r>
                    <w:rPr>
                      <w:rFonts w:ascii="Times New Roman" w:hAnsi="Times New Roman"/>
                      <w:color w:val="auto"/>
                      <w:kern w:val="2"/>
                      <w:sz w:val="21"/>
                      <w:szCs w:val="22"/>
                      <w:highlight w:val="none"/>
                    </w:rPr>
                    <w:t>--</w:t>
                  </w:r>
                </w:p>
              </w:tc>
              <w:tc>
                <w:tcPr>
                  <w:tcW w:w="424" w:type="pct"/>
                  <w:vMerge w:val="continue"/>
                  <w:tcBorders>
                    <w:top w:val="nil"/>
                    <w:left w:val="single" w:color="auto" w:sz="2" w:space="0"/>
                    <w:bottom w:val="single" w:color="auto" w:sz="2" w:space="0"/>
                    <w:right w:val="single" w:color="auto" w:sz="2" w:space="0"/>
                  </w:tcBorders>
                  <w:vAlign w:val="center"/>
                </w:tcPr>
                <w:p>
                  <w:pPr>
                    <w:rPr>
                      <w:color w:val="auto"/>
                      <w:szCs w:val="22"/>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20" w:hRule="atLeast"/>
              </w:trPr>
              <w:tc>
                <w:tcPr>
                  <w:tcW w:w="946" w:type="pct"/>
                  <w:vMerge w:val="continue"/>
                  <w:tcBorders>
                    <w:top w:val="nil"/>
                    <w:left w:val="single" w:color="auto" w:sz="2" w:space="0"/>
                    <w:bottom w:val="single" w:color="auto" w:sz="2" w:space="0"/>
                    <w:right w:val="single" w:color="auto" w:sz="4" w:space="0"/>
                  </w:tcBorders>
                  <w:vAlign w:val="center"/>
                </w:tcPr>
                <w:p>
                  <w:pPr>
                    <w:rPr>
                      <w:color w:val="auto"/>
                      <w:szCs w:val="22"/>
                      <w:highlight w:val="none"/>
                    </w:rPr>
                  </w:pPr>
                </w:p>
              </w:tc>
              <w:tc>
                <w:tcPr>
                  <w:tcW w:w="3056" w:type="pct"/>
                  <w:gridSpan w:val="2"/>
                  <w:tcBorders>
                    <w:top w:val="single" w:color="auto" w:sz="4" w:space="0"/>
                    <w:left w:val="single" w:color="auto" w:sz="2" w:space="0"/>
                    <w:bottom w:val="single" w:color="auto" w:sz="2" w:space="0"/>
                    <w:right w:val="single" w:color="auto" w:sz="2" w:space="0"/>
                  </w:tcBorders>
                  <w:vAlign w:val="center"/>
                </w:tcPr>
                <w:p>
                  <w:pPr>
                    <w:pStyle w:val="30"/>
                    <w:jc w:val="center"/>
                    <w:rPr>
                      <w:rFonts w:ascii="Times New Roman" w:hAnsi="Times New Roman"/>
                      <w:color w:val="auto"/>
                      <w:kern w:val="2"/>
                      <w:sz w:val="21"/>
                      <w:szCs w:val="22"/>
                      <w:highlight w:val="none"/>
                    </w:rPr>
                  </w:pPr>
                  <w:r>
                    <w:rPr>
                      <w:rFonts w:ascii="Times New Roman" w:hAnsi="Times New Roman"/>
                      <w:color w:val="auto"/>
                      <w:kern w:val="2"/>
                      <w:sz w:val="21"/>
                      <w:szCs w:val="22"/>
                      <w:highlight w:val="none"/>
                    </w:rPr>
                    <w:t>新建事故池</w:t>
                  </w:r>
                  <w:r>
                    <w:rPr>
                      <w:rFonts w:hint="eastAsia" w:ascii="Times New Roman" w:hAnsi="Times New Roman"/>
                      <w:color w:val="auto"/>
                      <w:kern w:val="2"/>
                      <w:sz w:val="21"/>
                      <w:szCs w:val="22"/>
                      <w:highlight w:val="none"/>
                    </w:rPr>
                    <w:t>80</w:t>
                  </w:r>
                  <w:r>
                    <w:rPr>
                      <w:rFonts w:ascii="Times New Roman" w:hAnsi="Times New Roman"/>
                      <w:color w:val="auto"/>
                      <w:kern w:val="2"/>
                      <w:sz w:val="21"/>
                      <w:szCs w:val="22"/>
                      <w:highlight w:val="none"/>
                    </w:rPr>
                    <w:t>0m</w:t>
                  </w:r>
                  <w:r>
                    <w:rPr>
                      <w:rFonts w:ascii="Times New Roman" w:hAnsi="Times New Roman"/>
                      <w:color w:val="auto"/>
                      <w:kern w:val="2"/>
                      <w:sz w:val="21"/>
                      <w:szCs w:val="22"/>
                      <w:highlight w:val="none"/>
                      <w:vertAlign w:val="superscript"/>
                    </w:rPr>
                    <w:t>3</w:t>
                  </w:r>
                </w:p>
              </w:tc>
              <w:tc>
                <w:tcPr>
                  <w:tcW w:w="574" w:type="pct"/>
                  <w:tcBorders>
                    <w:top w:val="single" w:color="auto" w:sz="4" w:space="0"/>
                    <w:left w:val="single" w:color="auto" w:sz="2" w:space="0"/>
                    <w:bottom w:val="single" w:color="auto" w:sz="4" w:space="0"/>
                    <w:right w:val="single" w:color="auto" w:sz="2" w:space="0"/>
                  </w:tcBorders>
                  <w:vAlign w:val="center"/>
                </w:tcPr>
                <w:p>
                  <w:pPr>
                    <w:pStyle w:val="30"/>
                    <w:jc w:val="center"/>
                    <w:rPr>
                      <w:rFonts w:ascii="Times New Roman" w:hAnsi="Times New Roman"/>
                      <w:color w:val="auto"/>
                      <w:kern w:val="2"/>
                      <w:sz w:val="21"/>
                      <w:szCs w:val="22"/>
                      <w:highlight w:val="none"/>
                    </w:rPr>
                  </w:pPr>
                  <w:r>
                    <w:rPr>
                      <w:rFonts w:ascii="Times New Roman" w:hAnsi="Times New Roman"/>
                      <w:color w:val="auto"/>
                      <w:kern w:val="2"/>
                      <w:sz w:val="21"/>
                      <w:szCs w:val="22"/>
                      <w:highlight w:val="none"/>
                    </w:rPr>
                    <w:t>160</w:t>
                  </w:r>
                </w:p>
              </w:tc>
              <w:tc>
                <w:tcPr>
                  <w:tcW w:w="424" w:type="pct"/>
                  <w:vMerge w:val="continue"/>
                  <w:tcBorders>
                    <w:top w:val="nil"/>
                    <w:left w:val="single" w:color="auto" w:sz="2" w:space="0"/>
                    <w:bottom w:val="single" w:color="auto" w:sz="2" w:space="0"/>
                    <w:right w:val="single" w:color="auto" w:sz="2" w:space="0"/>
                  </w:tcBorders>
                  <w:vAlign w:val="center"/>
                </w:tcPr>
                <w:p>
                  <w:pPr>
                    <w:rPr>
                      <w:color w:val="auto"/>
                      <w:szCs w:val="22"/>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20" w:hRule="atLeast"/>
              </w:trPr>
              <w:tc>
                <w:tcPr>
                  <w:tcW w:w="946" w:type="pct"/>
                  <w:tcBorders>
                    <w:top w:val="single" w:color="auto" w:sz="2" w:space="0"/>
                    <w:left w:val="single" w:color="auto" w:sz="2" w:space="0"/>
                    <w:bottom w:val="single" w:color="auto" w:sz="4" w:space="0"/>
                    <w:right w:val="single" w:color="auto" w:sz="4" w:space="0"/>
                  </w:tcBorders>
                  <w:vAlign w:val="center"/>
                </w:tcPr>
                <w:p>
                  <w:pPr>
                    <w:pStyle w:val="30"/>
                    <w:jc w:val="center"/>
                    <w:rPr>
                      <w:rFonts w:ascii="Times New Roman" w:hAnsi="Times New Roman"/>
                      <w:color w:val="auto"/>
                      <w:kern w:val="2"/>
                      <w:sz w:val="21"/>
                      <w:szCs w:val="22"/>
                      <w:highlight w:val="none"/>
                    </w:rPr>
                  </w:pPr>
                  <w:r>
                    <w:rPr>
                      <w:rFonts w:ascii="Times New Roman" w:hAnsi="Times New Roman"/>
                      <w:color w:val="auto"/>
                      <w:kern w:val="2"/>
                      <w:sz w:val="21"/>
                      <w:szCs w:val="22"/>
                      <w:highlight w:val="none"/>
                    </w:rPr>
                    <w:t>环境管理（机构、监测能力）</w:t>
                  </w:r>
                </w:p>
              </w:tc>
              <w:tc>
                <w:tcPr>
                  <w:tcW w:w="3056" w:type="pct"/>
                  <w:gridSpan w:val="2"/>
                  <w:tcBorders>
                    <w:top w:val="single" w:color="auto" w:sz="2" w:space="0"/>
                    <w:left w:val="nil"/>
                    <w:bottom w:val="single" w:color="auto" w:sz="4" w:space="0"/>
                    <w:right w:val="single" w:color="auto" w:sz="2" w:space="0"/>
                  </w:tcBorders>
                  <w:vAlign w:val="center"/>
                </w:tcPr>
                <w:p>
                  <w:pPr>
                    <w:pStyle w:val="30"/>
                    <w:jc w:val="center"/>
                    <w:rPr>
                      <w:rFonts w:ascii="Times New Roman" w:hAnsi="Times New Roman"/>
                      <w:color w:val="auto"/>
                      <w:kern w:val="2"/>
                      <w:sz w:val="21"/>
                      <w:szCs w:val="22"/>
                      <w:highlight w:val="none"/>
                    </w:rPr>
                  </w:pPr>
                  <w:r>
                    <w:rPr>
                      <w:rFonts w:ascii="Times New Roman" w:hAnsi="Times New Roman"/>
                      <w:color w:val="auto"/>
                      <w:kern w:val="2"/>
                      <w:sz w:val="21"/>
                      <w:szCs w:val="22"/>
                      <w:highlight w:val="none"/>
                    </w:rPr>
                    <w:t>建立环境管理制度</w:t>
                  </w:r>
                </w:p>
              </w:tc>
              <w:tc>
                <w:tcPr>
                  <w:tcW w:w="574" w:type="pct"/>
                  <w:tcBorders>
                    <w:top w:val="single" w:color="auto" w:sz="4" w:space="0"/>
                    <w:left w:val="single" w:color="auto" w:sz="2" w:space="0"/>
                    <w:bottom w:val="single" w:color="auto" w:sz="4" w:space="0"/>
                    <w:right w:val="single" w:color="auto" w:sz="2" w:space="0"/>
                  </w:tcBorders>
                  <w:vAlign w:val="center"/>
                </w:tcPr>
                <w:p>
                  <w:pPr>
                    <w:pStyle w:val="30"/>
                    <w:jc w:val="center"/>
                    <w:rPr>
                      <w:rFonts w:ascii="Times New Roman" w:hAnsi="Times New Roman"/>
                      <w:color w:val="auto"/>
                      <w:kern w:val="2"/>
                      <w:sz w:val="21"/>
                      <w:szCs w:val="22"/>
                      <w:highlight w:val="none"/>
                    </w:rPr>
                  </w:pPr>
                  <w:r>
                    <w:rPr>
                      <w:rFonts w:ascii="Times New Roman" w:hAnsi="Times New Roman"/>
                      <w:color w:val="auto"/>
                      <w:kern w:val="2"/>
                      <w:sz w:val="21"/>
                      <w:szCs w:val="22"/>
                      <w:highlight w:val="none"/>
                    </w:rPr>
                    <w:t>--</w:t>
                  </w:r>
                </w:p>
              </w:tc>
              <w:tc>
                <w:tcPr>
                  <w:tcW w:w="424" w:type="pct"/>
                  <w:vMerge w:val="continue"/>
                  <w:tcBorders>
                    <w:top w:val="nil"/>
                    <w:left w:val="single" w:color="auto" w:sz="2" w:space="0"/>
                    <w:bottom w:val="single" w:color="auto" w:sz="2" w:space="0"/>
                    <w:right w:val="single" w:color="auto" w:sz="2" w:space="0"/>
                  </w:tcBorders>
                  <w:vAlign w:val="center"/>
                </w:tcPr>
                <w:p>
                  <w:pPr>
                    <w:rPr>
                      <w:color w:val="auto"/>
                      <w:szCs w:val="22"/>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20" w:hRule="atLeast"/>
              </w:trPr>
              <w:tc>
                <w:tcPr>
                  <w:tcW w:w="4002" w:type="pct"/>
                  <w:gridSpan w:val="3"/>
                  <w:tcBorders>
                    <w:top w:val="single" w:color="auto" w:sz="4" w:space="0"/>
                    <w:left w:val="single" w:color="auto" w:sz="2" w:space="0"/>
                    <w:bottom w:val="single" w:color="auto" w:sz="2" w:space="0"/>
                    <w:right w:val="single" w:color="auto" w:sz="2" w:space="0"/>
                  </w:tcBorders>
                  <w:vAlign w:val="center"/>
                </w:tcPr>
                <w:p>
                  <w:pPr>
                    <w:pStyle w:val="30"/>
                    <w:jc w:val="center"/>
                    <w:rPr>
                      <w:rFonts w:ascii="Times New Roman" w:hAnsi="Times New Roman"/>
                      <w:color w:val="auto"/>
                      <w:kern w:val="2"/>
                      <w:sz w:val="21"/>
                      <w:szCs w:val="22"/>
                      <w:highlight w:val="none"/>
                    </w:rPr>
                  </w:pPr>
                  <w:r>
                    <w:rPr>
                      <w:rFonts w:ascii="Times New Roman" w:hAnsi="Times New Roman"/>
                      <w:color w:val="auto"/>
                      <w:kern w:val="2"/>
                      <w:sz w:val="21"/>
                      <w:szCs w:val="22"/>
                      <w:highlight w:val="none"/>
                    </w:rPr>
                    <w:t>合计</w:t>
                  </w:r>
                </w:p>
              </w:tc>
              <w:tc>
                <w:tcPr>
                  <w:tcW w:w="574" w:type="pct"/>
                  <w:tcBorders>
                    <w:top w:val="single" w:color="auto" w:sz="4" w:space="0"/>
                    <w:left w:val="single" w:color="auto" w:sz="2" w:space="0"/>
                    <w:bottom w:val="single" w:color="auto" w:sz="2" w:space="0"/>
                    <w:right w:val="single" w:color="auto" w:sz="4" w:space="0"/>
                  </w:tcBorders>
                  <w:vAlign w:val="center"/>
                </w:tcPr>
                <w:p>
                  <w:pPr>
                    <w:pStyle w:val="30"/>
                    <w:jc w:val="center"/>
                    <w:rPr>
                      <w:rFonts w:ascii="Times New Roman" w:hAnsi="Times New Roman"/>
                      <w:color w:val="auto"/>
                      <w:kern w:val="2"/>
                      <w:sz w:val="21"/>
                      <w:szCs w:val="22"/>
                      <w:highlight w:val="none"/>
                    </w:rPr>
                  </w:pPr>
                  <w:r>
                    <w:rPr>
                      <w:rFonts w:hint="eastAsia" w:ascii="Times New Roman" w:hAnsi="Times New Roman"/>
                      <w:color w:val="auto"/>
                      <w:kern w:val="2"/>
                      <w:sz w:val="21"/>
                      <w:szCs w:val="22"/>
                      <w:highlight w:val="none"/>
                    </w:rPr>
                    <w:t>274</w:t>
                  </w:r>
                </w:p>
              </w:tc>
              <w:tc>
                <w:tcPr>
                  <w:tcW w:w="424" w:type="pct"/>
                  <w:tcBorders>
                    <w:top w:val="single" w:color="auto" w:sz="4" w:space="0"/>
                    <w:left w:val="nil"/>
                    <w:bottom w:val="single" w:color="auto" w:sz="2" w:space="0"/>
                    <w:right w:val="single" w:color="auto" w:sz="2" w:space="0"/>
                  </w:tcBorders>
                  <w:vAlign w:val="center"/>
                </w:tcPr>
                <w:p>
                  <w:pPr>
                    <w:pStyle w:val="30"/>
                    <w:jc w:val="center"/>
                    <w:rPr>
                      <w:rFonts w:ascii="Times New Roman" w:hAnsi="Times New Roman"/>
                      <w:color w:val="auto"/>
                      <w:kern w:val="2"/>
                      <w:sz w:val="21"/>
                      <w:szCs w:val="22"/>
                      <w:highlight w:val="none"/>
                    </w:rPr>
                  </w:pPr>
                </w:p>
              </w:tc>
            </w:tr>
          </w:tbl>
          <w:p>
            <w:pPr>
              <w:spacing w:beforeLines="50" w:line="360" w:lineRule="auto"/>
              <w:ind w:firstLine="482" w:firstLineChars="200"/>
              <w:rPr>
                <w:b/>
                <w:color w:val="auto"/>
                <w:sz w:val="24"/>
                <w:highlight w:val="none"/>
              </w:rPr>
            </w:pPr>
            <w:r>
              <w:rPr>
                <w:b/>
                <w:color w:val="auto"/>
                <w:sz w:val="24"/>
                <w:highlight w:val="none"/>
              </w:rPr>
              <w:t>4、环境监测计划</w:t>
            </w:r>
          </w:p>
          <w:p>
            <w:pPr>
              <w:spacing w:line="360" w:lineRule="auto"/>
              <w:ind w:firstLine="480" w:firstLineChars="200"/>
              <w:rPr>
                <w:color w:val="auto"/>
                <w:sz w:val="24"/>
                <w:highlight w:val="none"/>
              </w:rPr>
            </w:pPr>
            <w:r>
              <w:rPr>
                <w:color w:val="auto"/>
                <w:sz w:val="24"/>
                <w:highlight w:val="none"/>
              </w:rPr>
              <w:t>根据《排污单位自行监测技术指南 电子工业》（HJ 1253-2022），针对本项目所排污染物情况，建设单位开展自行监测，根据监测结果编写自行监测年度报告并上报当地环境保护主管部门。</w:t>
            </w:r>
          </w:p>
          <w:p>
            <w:pPr>
              <w:spacing w:line="360" w:lineRule="auto"/>
              <w:ind w:firstLine="480" w:firstLineChars="200"/>
              <w:rPr>
                <w:color w:val="auto"/>
                <w:sz w:val="24"/>
                <w:highlight w:val="none"/>
              </w:rPr>
            </w:pPr>
            <w:r>
              <w:rPr>
                <w:color w:val="auto"/>
                <w:sz w:val="24"/>
                <w:highlight w:val="none"/>
              </w:rPr>
              <w:t>在监测单位出具环境监测报告之后，建设单位应当将监测数据归类、归档，妥善保存。对于监测结果所反映的环保问题应及时采取措施，及时纠正，确保污染物排放达标。本项目运营期间监测计划，见表5-2。</w:t>
            </w:r>
          </w:p>
          <w:p>
            <w:pPr>
              <w:spacing w:beforeLines="50" w:line="360" w:lineRule="auto"/>
              <w:jc w:val="center"/>
              <w:rPr>
                <w:color w:val="auto"/>
                <w:sz w:val="24"/>
                <w:highlight w:val="none"/>
              </w:rPr>
            </w:pPr>
            <w:r>
              <w:rPr>
                <w:b/>
                <w:bCs/>
                <w:color w:val="auto"/>
                <w:sz w:val="24"/>
                <w:highlight w:val="none"/>
              </w:rPr>
              <w:t>表5-2  本项目</w:t>
            </w:r>
            <w:r>
              <w:rPr>
                <w:rFonts w:hint="eastAsia"/>
                <w:b/>
                <w:bCs/>
                <w:color w:val="auto"/>
                <w:sz w:val="24"/>
                <w:highlight w:val="none"/>
              </w:rPr>
              <w:t>建成全厂</w:t>
            </w:r>
            <w:r>
              <w:rPr>
                <w:b/>
                <w:bCs/>
                <w:color w:val="auto"/>
                <w:sz w:val="24"/>
                <w:highlight w:val="none"/>
              </w:rPr>
              <w:t>环境监测工作计划</w:t>
            </w:r>
          </w:p>
          <w:tbl>
            <w:tblPr>
              <w:tblStyle w:val="3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571"/>
              <w:gridCol w:w="622"/>
              <w:gridCol w:w="438"/>
              <w:gridCol w:w="1264"/>
              <w:gridCol w:w="1461"/>
              <w:gridCol w:w="1164"/>
              <w:gridCol w:w="26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blHeader/>
                <w:jc w:val="center"/>
              </w:trPr>
              <w:tc>
                <w:tcPr>
                  <w:tcW w:w="348" w:type="pct"/>
                  <w:tcBorders>
                    <w:top w:val="single" w:color="auto" w:sz="4" w:space="0"/>
                  </w:tcBorders>
                  <w:vAlign w:val="center"/>
                </w:tcPr>
                <w:p>
                  <w:pPr>
                    <w:jc w:val="center"/>
                    <w:rPr>
                      <w:color w:val="auto"/>
                      <w:highlight w:val="none"/>
                    </w:rPr>
                  </w:pPr>
                  <w:r>
                    <w:rPr>
                      <w:color w:val="auto"/>
                      <w:highlight w:val="none"/>
                    </w:rPr>
                    <w:t>类别</w:t>
                  </w:r>
                </w:p>
              </w:tc>
              <w:tc>
                <w:tcPr>
                  <w:tcW w:w="1416" w:type="pct"/>
                  <w:gridSpan w:val="3"/>
                  <w:tcBorders>
                    <w:top w:val="single" w:color="auto" w:sz="4" w:space="0"/>
                  </w:tcBorders>
                  <w:vAlign w:val="center"/>
                </w:tcPr>
                <w:p>
                  <w:pPr>
                    <w:jc w:val="center"/>
                    <w:rPr>
                      <w:color w:val="auto"/>
                      <w:highlight w:val="none"/>
                    </w:rPr>
                  </w:pPr>
                  <w:r>
                    <w:rPr>
                      <w:color w:val="auto"/>
                      <w:highlight w:val="none"/>
                    </w:rPr>
                    <w:t>监测位置</w:t>
                  </w:r>
                </w:p>
              </w:tc>
              <w:tc>
                <w:tcPr>
                  <w:tcW w:w="890" w:type="pct"/>
                  <w:tcBorders>
                    <w:top w:val="single" w:color="auto" w:sz="4" w:space="0"/>
                  </w:tcBorders>
                  <w:vAlign w:val="center"/>
                </w:tcPr>
                <w:p>
                  <w:pPr>
                    <w:jc w:val="center"/>
                    <w:rPr>
                      <w:color w:val="auto"/>
                      <w:highlight w:val="none"/>
                    </w:rPr>
                  </w:pPr>
                  <w:r>
                    <w:rPr>
                      <w:color w:val="auto"/>
                      <w:highlight w:val="none"/>
                    </w:rPr>
                    <w:t>监测项目</w:t>
                  </w:r>
                </w:p>
              </w:tc>
              <w:tc>
                <w:tcPr>
                  <w:tcW w:w="709" w:type="pct"/>
                  <w:tcBorders>
                    <w:top w:val="single" w:color="auto" w:sz="4" w:space="0"/>
                  </w:tcBorders>
                  <w:vAlign w:val="center"/>
                </w:tcPr>
                <w:p>
                  <w:pPr>
                    <w:jc w:val="center"/>
                    <w:rPr>
                      <w:color w:val="auto"/>
                      <w:highlight w:val="none"/>
                    </w:rPr>
                  </w:pPr>
                  <w:r>
                    <w:rPr>
                      <w:color w:val="auto"/>
                      <w:highlight w:val="none"/>
                    </w:rPr>
                    <w:t>频次</w:t>
                  </w:r>
                </w:p>
              </w:tc>
              <w:tc>
                <w:tcPr>
                  <w:tcW w:w="1634" w:type="pct"/>
                  <w:tcBorders>
                    <w:top w:val="single" w:color="auto" w:sz="4" w:space="0"/>
                    <w:right w:val="single" w:color="auto" w:sz="4" w:space="0"/>
                  </w:tcBorders>
                  <w:vAlign w:val="center"/>
                </w:tcPr>
                <w:p>
                  <w:pPr>
                    <w:jc w:val="center"/>
                    <w:rPr>
                      <w:color w:val="auto"/>
                      <w:highlight w:val="none"/>
                    </w:rPr>
                  </w:pPr>
                  <w:r>
                    <w:rPr>
                      <w:color w:val="auto"/>
                      <w:highlight w:val="none"/>
                    </w:rPr>
                    <w:t>执行标准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7" w:hRule="atLeast"/>
                <w:jc w:val="center"/>
              </w:trPr>
              <w:tc>
                <w:tcPr>
                  <w:tcW w:w="348" w:type="pct"/>
                  <w:vMerge w:val="restart"/>
                  <w:vAlign w:val="center"/>
                </w:tcPr>
                <w:p>
                  <w:pPr>
                    <w:jc w:val="center"/>
                    <w:rPr>
                      <w:color w:val="auto"/>
                      <w:highlight w:val="none"/>
                    </w:rPr>
                  </w:pPr>
                  <w:r>
                    <w:rPr>
                      <w:color w:val="auto"/>
                      <w:highlight w:val="none"/>
                    </w:rPr>
                    <w:t>大气</w:t>
                  </w:r>
                </w:p>
              </w:tc>
              <w:tc>
                <w:tcPr>
                  <w:tcW w:w="379" w:type="pct"/>
                  <w:vMerge w:val="restart"/>
                  <w:vAlign w:val="center"/>
                </w:tcPr>
                <w:p>
                  <w:pPr>
                    <w:jc w:val="center"/>
                    <w:rPr>
                      <w:color w:val="auto"/>
                      <w:highlight w:val="none"/>
                    </w:rPr>
                  </w:pPr>
                  <w:r>
                    <w:rPr>
                      <w:color w:val="auto"/>
                      <w:highlight w:val="none"/>
                    </w:rPr>
                    <w:t>有组织</w:t>
                  </w:r>
                </w:p>
              </w:tc>
              <w:tc>
                <w:tcPr>
                  <w:tcW w:w="267" w:type="pct"/>
                  <w:vAlign w:val="center"/>
                </w:tcPr>
                <w:p>
                  <w:pPr>
                    <w:widowControl/>
                    <w:jc w:val="center"/>
                    <w:rPr>
                      <w:color w:val="auto"/>
                      <w:szCs w:val="21"/>
                      <w:highlight w:val="none"/>
                    </w:rPr>
                  </w:pPr>
                  <w:r>
                    <w:rPr>
                      <w:rFonts w:hint="eastAsia"/>
                      <w:color w:val="auto"/>
                      <w:szCs w:val="21"/>
                      <w:highlight w:val="none"/>
                    </w:rPr>
                    <w:t>P1</w:t>
                  </w:r>
                </w:p>
              </w:tc>
              <w:tc>
                <w:tcPr>
                  <w:tcW w:w="770" w:type="pct"/>
                  <w:vAlign w:val="center"/>
                </w:tcPr>
                <w:p>
                  <w:pPr>
                    <w:widowControl/>
                    <w:jc w:val="center"/>
                    <w:rPr>
                      <w:color w:val="auto"/>
                      <w:szCs w:val="21"/>
                      <w:highlight w:val="none"/>
                    </w:rPr>
                  </w:pPr>
                  <w:r>
                    <w:rPr>
                      <w:rFonts w:hint="eastAsia"/>
                      <w:color w:val="auto"/>
                      <w:szCs w:val="21"/>
                      <w:highlight w:val="none"/>
                    </w:rPr>
                    <w:t>1#厂房生产</w:t>
                  </w:r>
                  <w:r>
                    <w:rPr>
                      <w:color w:val="auto"/>
                      <w:szCs w:val="21"/>
                      <w:highlight w:val="none"/>
                    </w:rPr>
                    <w:t>过程产生</w:t>
                  </w:r>
                  <w:r>
                    <w:rPr>
                      <w:rFonts w:hint="eastAsia"/>
                      <w:color w:val="auto"/>
                      <w:szCs w:val="21"/>
                      <w:highlight w:val="none"/>
                    </w:rPr>
                    <w:t>的废气</w:t>
                  </w:r>
                </w:p>
              </w:tc>
              <w:tc>
                <w:tcPr>
                  <w:tcW w:w="890" w:type="pct"/>
                  <w:vAlign w:val="center"/>
                </w:tcPr>
                <w:p>
                  <w:pPr>
                    <w:jc w:val="center"/>
                    <w:rPr>
                      <w:color w:val="auto"/>
                      <w:highlight w:val="none"/>
                    </w:rPr>
                  </w:pPr>
                  <w:r>
                    <w:rPr>
                      <w:color w:val="auto"/>
                      <w:highlight w:val="none"/>
                    </w:rPr>
                    <w:t>非甲烷总烃、HCl</w:t>
                  </w:r>
                </w:p>
              </w:tc>
              <w:tc>
                <w:tcPr>
                  <w:tcW w:w="709" w:type="pct"/>
                  <w:vAlign w:val="center"/>
                </w:tcPr>
                <w:p>
                  <w:pPr>
                    <w:jc w:val="center"/>
                    <w:rPr>
                      <w:color w:val="auto"/>
                      <w:highlight w:val="none"/>
                    </w:rPr>
                  </w:pPr>
                  <w:r>
                    <w:rPr>
                      <w:color w:val="auto"/>
                      <w:highlight w:val="none"/>
                    </w:rPr>
                    <w:t>1次/年</w:t>
                  </w:r>
                </w:p>
              </w:tc>
              <w:tc>
                <w:tcPr>
                  <w:tcW w:w="1634" w:type="pct"/>
                  <w:vMerge w:val="restart"/>
                  <w:tcBorders>
                    <w:right w:val="single" w:color="auto" w:sz="4" w:space="0"/>
                  </w:tcBorders>
                  <w:vAlign w:val="center"/>
                </w:tcPr>
                <w:p>
                  <w:pPr>
                    <w:jc w:val="center"/>
                    <w:rPr>
                      <w:color w:val="auto"/>
                      <w:highlight w:val="none"/>
                    </w:rPr>
                  </w:pPr>
                  <w:r>
                    <w:rPr>
                      <w:color w:val="auto"/>
                      <w:highlight w:val="none"/>
                    </w:rPr>
                    <w:t>《大气污染物综合排放标准》DB32/4041—2021表1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7" w:hRule="atLeast"/>
                <w:jc w:val="center"/>
              </w:trPr>
              <w:tc>
                <w:tcPr>
                  <w:tcW w:w="348" w:type="pct"/>
                  <w:vMerge w:val="continue"/>
                  <w:vAlign w:val="center"/>
                </w:tcPr>
                <w:p>
                  <w:pPr>
                    <w:jc w:val="center"/>
                    <w:rPr>
                      <w:color w:val="auto"/>
                      <w:highlight w:val="none"/>
                    </w:rPr>
                  </w:pPr>
                </w:p>
              </w:tc>
              <w:tc>
                <w:tcPr>
                  <w:tcW w:w="379" w:type="pct"/>
                  <w:vMerge w:val="continue"/>
                  <w:vAlign w:val="center"/>
                </w:tcPr>
                <w:p>
                  <w:pPr>
                    <w:jc w:val="center"/>
                    <w:rPr>
                      <w:color w:val="auto"/>
                      <w:highlight w:val="none"/>
                    </w:rPr>
                  </w:pPr>
                </w:p>
              </w:tc>
              <w:tc>
                <w:tcPr>
                  <w:tcW w:w="267" w:type="pct"/>
                  <w:vMerge w:val="restart"/>
                  <w:vAlign w:val="center"/>
                </w:tcPr>
                <w:p>
                  <w:pPr>
                    <w:widowControl/>
                    <w:jc w:val="center"/>
                    <w:rPr>
                      <w:color w:val="auto"/>
                      <w:highlight w:val="none"/>
                    </w:rPr>
                  </w:pPr>
                  <w:r>
                    <w:rPr>
                      <w:color w:val="auto"/>
                      <w:szCs w:val="21"/>
                      <w:highlight w:val="none"/>
                    </w:rPr>
                    <w:t>P2</w:t>
                  </w:r>
                  <w:r>
                    <w:rPr>
                      <w:rFonts w:hint="eastAsia"/>
                      <w:color w:val="auto"/>
                      <w:sz w:val="18"/>
                      <w:szCs w:val="18"/>
                      <w:highlight w:val="none"/>
                    </w:rPr>
                    <w:t>（监测点位于排气筒）</w:t>
                  </w:r>
                </w:p>
              </w:tc>
              <w:tc>
                <w:tcPr>
                  <w:tcW w:w="770" w:type="pct"/>
                  <w:vAlign w:val="center"/>
                </w:tcPr>
                <w:p>
                  <w:pPr>
                    <w:widowControl/>
                    <w:jc w:val="center"/>
                    <w:rPr>
                      <w:color w:val="auto"/>
                      <w:highlight w:val="none"/>
                    </w:rPr>
                  </w:pPr>
                  <w:r>
                    <w:rPr>
                      <w:color w:val="auto"/>
                      <w:szCs w:val="21"/>
                      <w:highlight w:val="none"/>
                    </w:rPr>
                    <w:t>8#厂房清洗废气</w:t>
                  </w:r>
                </w:p>
              </w:tc>
              <w:tc>
                <w:tcPr>
                  <w:tcW w:w="890" w:type="pct"/>
                  <w:vAlign w:val="center"/>
                </w:tcPr>
                <w:p>
                  <w:pPr>
                    <w:jc w:val="center"/>
                    <w:rPr>
                      <w:color w:val="auto"/>
                      <w:highlight w:val="none"/>
                    </w:rPr>
                  </w:pPr>
                  <w:r>
                    <w:rPr>
                      <w:color w:val="auto"/>
                      <w:highlight w:val="none"/>
                    </w:rPr>
                    <w:t>非甲烷总烃、HCl</w:t>
                  </w:r>
                </w:p>
              </w:tc>
              <w:tc>
                <w:tcPr>
                  <w:tcW w:w="709" w:type="pct"/>
                  <w:vAlign w:val="center"/>
                </w:tcPr>
                <w:p>
                  <w:pPr>
                    <w:jc w:val="center"/>
                    <w:rPr>
                      <w:color w:val="auto"/>
                      <w:highlight w:val="none"/>
                    </w:rPr>
                  </w:pPr>
                  <w:r>
                    <w:rPr>
                      <w:color w:val="auto"/>
                      <w:highlight w:val="none"/>
                    </w:rPr>
                    <w:t>1次/年</w:t>
                  </w:r>
                </w:p>
              </w:tc>
              <w:tc>
                <w:tcPr>
                  <w:tcW w:w="1634" w:type="pct"/>
                  <w:vMerge w:val="continue"/>
                  <w:tcBorders>
                    <w:right w:val="single" w:color="auto" w:sz="4" w:space="0"/>
                  </w:tcBorders>
                  <w:vAlign w:val="center"/>
                </w:tcPr>
                <w:p>
                  <w:pPr>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08" w:hRule="atLeast"/>
                <w:jc w:val="center"/>
              </w:trPr>
              <w:tc>
                <w:tcPr>
                  <w:tcW w:w="348" w:type="pct"/>
                  <w:vMerge w:val="continue"/>
                  <w:vAlign w:val="center"/>
                </w:tcPr>
                <w:p>
                  <w:pPr>
                    <w:jc w:val="center"/>
                    <w:rPr>
                      <w:color w:val="auto"/>
                      <w:highlight w:val="none"/>
                    </w:rPr>
                  </w:pPr>
                </w:p>
              </w:tc>
              <w:tc>
                <w:tcPr>
                  <w:tcW w:w="379" w:type="pct"/>
                  <w:vMerge w:val="continue"/>
                  <w:vAlign w:val="center"/>
                </w:tcPr>
                <w:p>
                  <w:pPr>
                    <w:jc w:val="center"/>
                    <w:rPr>
                      <w:color w:val="auto"/>
                      <w:highlight w:val="none"/>
                    </w:rPr>
                  </w:pPr>
                </w:p>
              </w:tc>
              <w:tc>
                <w:tcPr>
                  <w:tcW w:w="267" w:type="pct"/>
                  <w:vMerge w:val="continue"/>
                  <w:vAlign w:val="center"/>
                </w:tcPr>
                <w:p>
                  <w:pPr>
                    <w:widowControl/>
                    <w:jc w:val="center"/>
                    <w:rPr>
                      <w:color w:val="auto"/>
                      <w:highlight w:val="none"/>
                    </w:rPr>
                  </w:pPr>
                </w:p>
              </w:tc>
              <w:tc>
                <w:tcPr>
                  <w:tcW w:w="770" w:type="pct"/>
                  <w:vAlign w:val="center"/>
                </w:tcPr>
                <w:p>
                  <w:pPr>
                    <w:widowControl/>
                    <w:jc w:val="center"/>
                    <w:rPr>
                      <w:color w:val="auto"/>
                      <w:highlight w:val="none"/>
                    </w:rPr>
                  </w:pPr>
                  <w:r>
                    <w:rPr>
                      <w:color w:val="auto"/>
                      <w:szCs w:val="21"/>
                      <w:highlight w:val="none"/>
                    </w:rPr>
                    <w:t>石油天然气燃烧废气</w:t>
                  </w:r>
                </w:p>
              </w:tc>
              <w:tc>
                <w:tcPr>
                  <w:tcW w:w="890" w:type="pct"/>
                  <w:vAlign w:val="center"/>
                </w:tcPr>
                <w:p>
                  <w:pPr>
                    <w:jc w:val="center"/>
                    <w:rPr>
                      <w:color w:val="auto"/>
                      <w:highlight w:val="none"/>
                    </w:rPr>
                  </w:pPr>
                  <w:r>
                    <w:rPr>
                      <w:color w:val="auto"/>
                      <w:highlight w:val="none"/>
                    </w:rPr>
                    <w:t>非甲烷总烃</w:t>
                  </w:r>
                  <w:r>
                    <w:rPr>
                      <w:rFonts w:hint="eastAsia"/>
                      <w:color w:val="auto"/>
                      <w:highlight w:val="none"/>
                    </w:rPr>
                    <w:t>、颗粒物、</w:t>
                  </w:r>
                  <w:r>
                    <w:rPr>
                      <w:color w:val="auto"/>
                      <w:highlight w:val="none"/>
                    </w:rPr>
                    <w:t>NOx、</w:t>
                  </w:r>
                  <w:r>
                    <w:rPr>
                      <w:rFonts w:hint="eastAsia"/>
                      <w:color w:val="auto"/>
                      <w:szCs w:val="21"/>
                      <w:highlight w:val="none"/>
                    </w:rPr>
                    <w:t>SO</w:t>
                  </w:r>
                  <w:r>
                    <w:rPr>
                      <w:rFonts w:hint="eastAsia"/>
                      <w:color w:val="auto"/>
                      <w:szCs w:val="21"/>
                      <w:highlight w:val="none"/>
                      <w:vertAlign w:val="subscript"/>
                    </w:rPr>
                    <w:t>2</w:t>
                  </w:r>
                </w:p>
              </w:tc>
              <w:tc>
                <w:tcPr>
                  <w:tcW w:w="709" w:type="pct"/>
                  <w:vAlign w:val="center"/>
                </w:tcPr>
                <w:p>
                  <w:pPr>
                    <w:jc w:val="center"/>
                    <w:rPr>
                      <w:color w:val="auto"/>
                      <w:highlight w:val="none"/>
                    </w:rPr>
                  </w:pPr>
                  <w:r>
                    <w:rPr>
                      <w:color w:val="auto"/>
                      <w:highlight w:val="none"/>
                    </w:rPr>
                    <w:t>1次/年</w:t>
                  </w:r>
                </w:p>
              </w:tc>
              <w:tc>
                <w:tcPr>
                  <w:tcW w:w="1634" w:type="pct"/>
                  <w:vMerge w:val="continue"/>
                  <w:tcBorders>
                    <w:right w:val="single" w:color="auto" w:sz="4" w:space="0"/>
                  </w:tcBorders>
                  <w:vAlign w:val="center"/>
                </w:tcPr>
                <w:p>
                  <w:pPr>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46" w:hRule="atLeast"/>
                <w:jc w:val="center"/>
              </w:trPr>
              <w:tc>
                <w:tcPr>
                  <w:tcW w:w="348" w:type="pct"/>
                  <w:vMerge w:val="continue"/>
                  <w:vAlign w:val="center"/>
                </w:tcPr>
                <w:p>
                  <w:pPr>
                    <w:jc w:val="center"/>
                    <w:rPr>
                      <w:color w:val="auto"/>
                      <w:highlight w:val="none"/>
                    </w:rPr>
                  </w:pPr>
                </w:p>
              </w:tc>
              <w:tc>
                <w:tcPr>
                  <w:tcW w:w="379" w:type="pct"/>
                  <w:vMerge w:val="continue"/>
                  <w:vAlign w:val="center"/>
                </w:tcPr>
                <w:p>
                  <w:pPr>
                    <w:jc w:val="center"/>
                    <w:rPr>
                      <w:color w:val="auto"/>
                      <w:highlight w:val="none"/>
                    </w:rPr>
                  </w:pPr>
                </w:p>
              </w:tc>
              <w:tc>
                <w:tcPr>
                  <w:tcW w:w="267" w:type="pct"/>
                  <w:vAlign w:val="center"/>
                </w:tcPr>
                <w:p>
                  <w:pPr>
                    <w:widowControl/>
                    <w:jc w:val="center"/>
                    <w:rPr>
                      <w:color w:val="auto"/>
                      <w:highlight w:val="none"/>
                    </w:rPr>
                  </w:pPr>
                  <w:r>
                    <w:rPr>
                      <w:rFonts w:hint="eastAsia"/>
                      <w:color w:val="auto"/>
                      <w:highlight w:val="none"/>
                    </w:rPr>
                    <w:t>P3</w:t>
                  </w:r>
                </w:p>
              </w:tc>
              <w:tc>
                <w:tcPr>
                  <w:tcW w:w="770" w:type="pct"/>
                  <w:vAlign w:val="center"/>
                </w:tcPr>
                <w:p>
                  <w:pPr>
                    <w:widowControl/>
                    <w:jc w:val="center"/>
                    <w:rPr>
                      <w:color w:val="auto"/>
                      <w:szCs w:val="21"/>
                      <w:highlight w:val="none"/>
                    </w:rPr>
                  </w:pPr>
                  <w:r>
                    <w:rPr>
                      <w:rFonts w:hint="eastAsia"/>
                      <w:color w:val="auto"/>
                      <w:szCs w:val="21"/>
                      <w:highlight w:val="none"/>
                    </w:rPr>
                    <w:t>危废库</w:t>
                  </w:r>
                </w:p>
              </w:tc>
              <w:tc>
                <w:tcPr>
                  <w:tcW w:w="890" w:type="pct"/>
                  <w:vAlign w:val="center"/>
                </w:tcPr>
                <w:p>
                  <w:pPr>
                    <w:jc w:val="center"/>
                    <w:rPr>
                      <w:color w:val="auto"/>
                      <w:highlight w:val="none"/>
                    </w:rPr>
                  </w:pPr>
                  <w:r>
                    <w:rPr>
                      <w:color w:val="auto"/>
                      <w:highlight w:val="none"/>
                    </w:rPr>
                    <w:t>非甲烷总烃</w:t>
                  </w:r>
                </w:p>
              </w:tc>
              <w:tc>
                <w:tcPr>
                  <w:tcW w:w="709" w:type="pct"/>
                  <w:vAlign w:val="center"/>
                </w:tcPr>
                <w:p>
                  <w:pPr>
                    <w:jc w:val="center"/>
                    <w:rPr>
                      <w:color w:val="auto"/>
                      <w:highlight w:val="none"/>
                    </w:rPr>
                  </w:pPr>
                  <w:r>
                    <w:rPr>
                      <w:color w:val="auto"/>
                      <w:highlight w:val="none"/>
                    </w:rPr>
                    <w:t>1次/年</w:t>
                  </w:r>
                </w:p>
              </w:tc>
              <w:tc>
                <w:tcPr>
                  <w:tcW w:w="1634" w:type="pct"/>
                  <w:vMerge w:val="continue"/>
                  <w:tcBorders>
                    <w:right w:val="single" w:color="auto" w:sz="4" w:space="0"/>
                  </w:tcBorders>
                  <w:vAlign w:val="center"/>
                </w:tcPr>
                <w:p>
                  <w:pPr>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6" w:hRule="atLeast"/>
                <w:jc w:val="center"/>
              </w:trPr>
              <w:tc>
                <w:tcPr>
                  <w:tcW w:w="348" w:type="pct"/>
                  <w:vMerge w:val="continue"/>
                  <w:vAlign w:val="center"/>
                </w:tcPr>
                <w:p>
                  <w:pPr>
                    <w:jc w:val="center"/>
                    <w:rPr>
                      <w:color w:val="auto"/>
                      <w:highlight w:val="none"/>
                    </w:rPr>
                  </w:pPr>
                </w:p>
              </w:tc>
              <w:tc>
                <w:tcPr>
                  <w:tcW w:w="379" w:type="pct"/>
                  <w:vMerge w:val="restart"/>
                  <w:vAlign w:val="center"/>
                </w:tcPr>
                <w:p>
                  <w:pPr>
                    <w:jc w:val="center"/>
                    <w:rPr>
                      <w:color w:val="auto"/>
                      <w:highlight w:val="none"/>
                    </w:rPr>
                  </w:pPr>
                  <w:r>
                    <w:rPr>
                      <w:color w:val="auto"/>
                      <w:highlight w:val="none"/>
                    </w:rPr>
                    <w:t>无组织</w:t>
                  </w:r>
                </w:p>
              </w:tc>
              <w:tc>
                <w:tcPr>
                  <w:tcW w:w="1037" w:type="pct"/>
                  <w:gridSpan w:val="2"/>
                  <w:vAlign w:val="center"/>
                </w:tcPr>
                <w:p>
                  <w:pPr>
                    <w:snapToGrid w:val="0"/>
                    <w:jc w:val="center"/>
                    <w:rPr>
                      <w:color w:val="auto"/>
                      <w:szCs w:val="21"/>
                      <w:highlight w:val="none"/>
                    </w:rPr>
                  </w:pPr>
                  <w:r>
                    <w:rPr>
                      <w:color w:val="auto"/>
                      <w:szCs w:val="21"/>
                      <w:highlight w:val="none"/>
                    </w:rPr>
                    <w:t>厂界（企业厂界上风向设1个参照点，下风向设3个监控点）</w:t>
                  </w:r>
                </w:p>
              </w:tc>
              <w:tc>
                <w:tcPr>
                  <w:tcW w:w="890" w:type="pct"/>
                  <w:vAlign w:val="center"/>
                </w:tcPr>
                <w:p>
                  <w:pPr>
                    <w:jc w:val="center"/>
                    <w:rPr>
                      <w:color w:val="auto"/>
                      <w:highlight w:val="none"/>
                    </w:rPr>
                  </w:pPr>
                  <w:r>
                    <w:rPr>
                      <w:color w:val="auto"/>
                      <w:highlight w:val="none"/>
                    </w:rPr>
                    <w:t>甲烷总烃、HCl</w:t>
                  </w:r>
                  <w:r>
                    <w:rPr>
                      <w:rFonts w:hint="eastAsia"/>
                      <w:color w:val="auto"/>
                      <w:highlight w:val="none"/>
                    </w:rPr>
                    <w:t>、NOx、SO</w:t>
                  </w:r>
                  <w:r>
                    <w:rPr>
                      <w:rFonts w:hint="eastAsia"/>
                      <w:color w:val="auto"/>
                      <w:highlight w:val="none"/>
                      <w:vertAlign w:val="subscript"/>
                    </w:rPr>
                    <w:t>2、</w:t>
                  </w:r>
                  <w:r>
                    <w:rPr>
                      <w:rFonts w:hint="eastAsia"/>
                      <w:color w:val="auto"/>
                      <w:highlight w:val="none"/>
                    </w:rPr>
                    <w:t>颗粒物</w:t>
                  </w:r>
                </w:p>
              </w:tc>
              <w:tc>
                <w:tcPr>
                  <w:tcW w:w="709" w:type="pct"/>
                  <w:vAlign w:val="center"/>
                </w:tcPr>
                <w:p>
                  <w:pPr>
                    <w:jc w:val="center"/>
                    <w:rPr>
                      <w:color w:val="auto"/>
                      <w:highlight w:val="none"/>
                    </w:rPr>
                  </w:pPr>
                  <w:r>
                    <w:rPr>
                      <w:color w:val="auto"/>
                      <w:highlight w:val="none"/>
                    </w:rPr>
                    <w:t>1次/年</w:t>
                  </w:r>
                </w:p>
              </w:tc>
              <w:tc>
                <w:tcPr>
                  <w:tcW w:w="1634" w:type="pct"/>
                  <w:tcBorders>
                    <w:right w:val="single" w:color="auto" w:sz="4" w:space="0"/>
                  </w:tcBorders>
                  <w:vAlign w:val="center"/>
                </w:tcPr>
                <w:p>
                  <w:pPr>
                    <w:jc w:val="center"/>
                    <w:rPr>
                      <w:color w:val="auto"/>
                      <w:highlight w:val="none"/>
                    </w:rPr>
                  </w:pPr>
                  <w:r>
                    <w:rPr>
                      <w:color w:val="auto"/>
                      <w:highlight w:val="none"/>
                    </w:rPr>
                    <w:t>《大气污染物综合排放标准》DB32/4041—2021表3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37" w:hRule="atLeast"/>
                <w:jc w:val="center"/>
              </w:trPr>
              <w:tc>
                <w:tcPr>
                  <w:tcW w:w="348" w:type="pct"/>
                  <w:vMerge w:val="continue"/>
                  <w:vAlign w:val="center"/>
                </w:tcPr>
                <w:p>
                  <w:pPr>
                    <w:jc w:val="center"/>
                    <w:rPr>
                      <w:color w:val="auto"/>
                      <w:highlight w:val="none"/>
                    </w:rPr>
                  </w:pPr>
                </w:p>
              </w:tc>
              <w:tc>
                <w:tcPr>
                  <w:tcW w:w="379" w:type="pct"/>
                  <w:vMerge w:val="continue"/>
                  <w:vAlign w:val="center"/>
                </w:tcPr>
                <w:p>
                  <w:pPr>
                    <w:jc w:val="center"/>
                    <w:rPr>
                      <w:color w:val="auto"/>
                      <w:highlight w:val="none"/>
                    </w:rPr>
                  </w:pPr>
                </w:p>
              </w:tc>
              <w:tc>
                <w:tcPr>
                  <w:tcW w:w="1037" w:type="pct"/>
                  <w:gridSpan w:val="2"/>
                  <w:vAlign w:val="center"/>
                </w:tcPr>
                <w:p>
                  <w:pPr>
                    <w:snapToGrid w:val="0"/>
                    <w:jc w:val="center"/>
                    <w:rPr>
                      <w:color w:val="auto"/>
                      <w:szCs w:val="21"/>
                      <w:highlight w:val="none"/>
                    </w:rPr>
                  </w:pPr>
                  <w:r>
                    <w:rPr>
                      <w:color w:val="auto"/>
                      <w:szCs w:val="21"/>
                      <w:highlight w:val="none"/>
                    </w:rPr>
                    <w:t>门窗或通风口外1m，距离地面1.5m以上位置设1-2个监控点，检测1h平均浓度值</w:t>
                  </w:r>
                </w:p>
              </w:tc>
              <w:tc>
                <w:tcPr>
                  <w:tcW w:w="890" w:type="pct"/>
                  <w:vAlign w:val="center"/>
                </w:tcPr>
                <w:p>
                  <w:pPr>
                    <w:jc w:val="center"/>
                    <w:rPr>
                      <w:color w:val="auto"/>
                      <w:highlight w:val="none"/>
                    </w:rPr>
                  </w:pPr>
                  <w:r>
                    <w:rPr>
                      <w:color w:val="auto"/>
                      <w:highlight w:val="none"/>
                    </w:rPr>
                    <w:t>非甲烷总烃</w:t>
                  </w:r>
                </w:p>
              </w:tc>
              <w:tc>
                <w:tcPr>
                  <w:tcW w:w="709" w:type="pct"/>
                  <w:vAlign w:val="center"/>
                </w:tcPr>
                <w:p>
                  <w:pPr>
                    <w:jc w:val="center"/>
                    <w:rPr>
                      <w:color w:val="auto"/>
                      <w:highlight w:val="none"/>
                    </w:rPr>
                  </w:pPr>
                  <w:r>
                    <w:rPr>
                      <w:color w:val="auto"/>
                      <w:highlight w:val="none"/>
                    </w:rPr>
                    <w:t>1次/年</w:t>
                  </w:r>
                </w:p>
              </w:tc>
              <w:tc>
                <w:tcPr>
                  <w:tcW w:w="1634" w:type="pct"/>
                  <w:tcBorders>
                    <w:right w:val="single" w:color="auto" w:sz="4" w:space="0"/>
                  </w:tcBorders>
                  <w:vAlign w:val="center"/>
                </w:tcPr>
                <w:p>
                  <w:pPr>
                    <w:jc w:val="center"/>
                    <w:rPr>
                      <w:color w:val="auto"/>
                      <w:highlight w:val="none"/>
                    </w:rPr>
                  </w:pPr>
                  <w:r>
                    <w:rPr>
                      <w:color w:val="auto"/>
                      <w:highlight w:val="none"/>
                    </w:rPr>
                    <w:t>《大气污染物综合排放标准》DB32/4041—2021表2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59" w:hRule="atLeast"/>
                <w:jc w:val="center"/>
              </w:trPr>
              <w:tc>
                <w:tcPr>
                  <w:tcW w:w="348" w:type="pct"/>
                  <w:vAlign w:val="center"/>
                </w:tcPr>
                <w:p>
                  <w:pPr>
                    <w:jc w:val="center"/>
                    <w:rPr>
                      <w:color w:val="auto"/>
                      <w:highlight w:val="none"/>
                    </w:rPr>
                  </w:pPr>
                  <w:r>
                    <w:rPr>
                      <w:color w:val="auto"/>
                      <w:highlight w:val="none"/>
                    </w:rPr>
                    <w:t>废水</w:t>
                  </w:r>
                </w:p>
              </w:tc>
              <w:tc>
                <w:tcPr>
                  <w:tcW w:w="1416" w:type="pct"/>
                  <w:gridSpan w:val="3"/>
                  <w:vAlign w:val="center"/>
                </w:tcPr>
                <w:p>
                  <w:pPr>
                    <w:jc w:val="center"/>
                    <w:rPr>
                      <w:color w:val="auto"/>
                      <w:highlight w:val="none"/>
                    </w:rPr>
                  </w:pPr>
                  <w:r>
                    <w:rPr>
                      <w:color w:val="auto"/>
                      <w:highlight w:val="none"/>
                    </w:rPr>
                    <w:t>DW001</w:t>
                  </w:r>
                </w:p>
              </w:tc>
              <w:tc>
                <w:tcPr>
                  <w:tcW w:w="890" w:type="pct"/>
                  <w:vAlign w:val="center"/>
                </w:tcPr>
                <w:p>
                  <w:pPr>
                    <w:jc w:val="center"/>
                    <w:rPr>
                      <w:color w:val="auto"/>
                      <w:highlight w:val="none"/>
                    </w:rPr>
                  </w:pPr>
                  <w:r>
                    <w:rPr>
                      <w:color w:val="auto"/>
                      <w:szCs w:val="21"/>
                      <w:highlight w:val="none"/>
                    </w:rPr>
                    <w:t>pH、</w:t>
                  </w:r>
                  <w:r>
                    <w:rPr>
                      <w:color w:val="auto"/>
                      <w:highlight w:val="none"/>
                    </w:rPr>
                    <w:t>COD、SS、氨氮、总磷</w:t>
                  </w:r>
                </w:p>
              </w:tc>
              <w:tc>
                <w:tcPr>
                  <w:tcW w:w="709" w:type="pct"/>
                  <w:vAlign w:val="center"/>
                </w:tcPr>
                <w:p>
                  <w:pPr>
                    <w:jc w:val="center"/>
                    <w:rPr>
                      <w:color w:val="auto"/>
                      <w:highlight w:val="none"/>
                    </w:rPr>
                  </w:pPr>
                  <w:r>
                    <w:rPr>
                      <w:color w:val="auto"/>
                      <w:highlight w:val="none"/>
                    </w:rPr>
                    <w:t>1/年</w:t>
                  </w:r>
                </w:p>
              </w:tc>
              <w:tc>
                <w:tcPr>
                  <w:tcW w:w="1634" w:type="pct"/>
                  <w:tcBorders>
                    <w:right w:val="single" w:color="auto" w:sz="4" w:space="0"/>
                  </w:tcBorders>
                  <w:vAlign w:val="center"/>
                </w:tcPr>
                <w:p>
                  <w:pPr>
                    <w:jc w:val="center"/>
                    <w:rPr>
                      <w:color w:val="auto"/>
                      <w:highlight w:val="none"/>
                    </w:rPr>
                  </w:pPr>
                  <w:r>
                    <w:rPr>
                      <w:color w:val="auto"/>
                      <w:szCs w:val="21"/>
                      <w:highlight w:val="none"/>
                    </w:rPr>
                    <w:t>江宁经济技术</w:t>
                  </w:r>
                  <w:r>
                    <w:rPr>
                      <w:color w:val="auto"/>
                      <w:highlight w:val="none"/>
                    </w:rPr>
                    <w:t>开发区污水处理厂接管标准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348" w:type="pct"/>
                  <w:vAlign w:val="center"/>
                </w:tcPr>
                <w:p>
                  <w:pPr>
                    <w:jc w:val="center"/>
                    <w:rPr>
                      <w:color w:val="auto"/>
                      <w:highlight w:val="none"/>
                    </w:rPr>
                  </w:pPr>
                  <w:r>
                    <w:rPr>
                      <w:color w:val="auto"/>
                      <w:highlight w:val="none"/>
                    </w:rPr>
                    <w:t>噪声</w:t>
                  </w:r>
                </w:p>
              </w:tc>
              <w:tc>
                <w:tcPr>
                  <w:tcW w:w="1416" w:type="pct"/>
                  <w:gridSpan w:val="3"/>
                  <w:vAlign w:val="center"/>
                </w:tcPr>
                <w:p>
                  <w:pPr>
                    <w:jc w:val="center"/>
                    <w:rPr>
                      <w:color w:val="auto"/>
                      <w:highlight w:val="none"/>
                    </w:rPr>
                  </w:pPr>
                  <w:r>
                    <w:rPr>
                      <w:color w:val="auto"/>
                      <w:highlight w:val="none"/>
                    </w:rPr>
                    <w:t>厂界四周外1m</w:t>
                  </w:r>
                </w:p>
              </w:tc>
              <w:tc>
                <w:tcPr>
                  <w:tcW w:w="890" w:type="pct"/>
                  <w:vAlign w:val="center"/>
                </w:tcPr>
                <w:p>
                  <w:pPr>
                    <w:jc w:val="center"/>
                    <w:rPr>
                      <w:color w:val="auto"/>
                      <w:highlight w:val="none"/>
                    </w:rPr>
                  </w:pPr>
                  <w:r>
                    <w:rPr>
                      <w:color w:val="auto"/>
                      <w:highlight w:val="none"/>
                    </w:rPr>
                    <w:t>连续等效A声级</w:t>
                  </w:r>
                </w:p>
              </w:tc>
              <w:tc>
                <w:tcPr>
                  <w:tcW w:w="709" w:type="pct"/>
                  <w:vAlign w:val="center"/>
                </w:tcPr>
                <w:p>
                  <w:pPr>
                    <w:jc w:val="center"/>
                    <w:rPr>
                      <w:color w:val="auto"/>
                      <w:highlight w:val="none"/>
                    </w:rPr>
                  </w:pPr>
                  <w:r>
                    <w:rPr>
                      <w:color w:val="auto"/>
                      <w:highlight w:val="none"/>
                    </w:rPr>
                    <w:t>每季度一次，监测昼</w:t>
                  </w:r>
                  <w:r>
                    <w:rPr>
                      <w:rFonts w:hint="eastAsia"/>
                      <w:color w:val="auto"/>
                      <w:highlight w:val="none"/>
                    </w:rPr>
                    <w:t>间</w:t>
                  </w:r>
                  <w:r>
                    <w:rPr>
                      <w:color w:val="auto"/>
                      <w:highlight w:val="none"/>
                    </w:rPr>
                    <w:t>噪声</w:t>
                  </w:r>
                </w:p>
              </w:tc>
              <w:tc>
                <w:tcPr>
                  <w:tcW w:w="1634" w:type="pct"/>
                  <w:tcBorders>
                    <w:right w:val="single" w:color="auto" w:sz="4" w:space="0"/>
                  </w:tcBorders>
                  <w:vAlign w:val="center"/>
                </w:tcPr>
                <w:p>
                  <w:pPr>
                    <w:jc w:val="center"/>
                    <w:rPr>
                      <w:color w:val="auto"/>
                      <w:highlight w:val="none"/>
                    </w:rPr>
                  </w:pPr>
                  <w:r>
                    <w:rPr>
                      <w:color w:val="auto"/>
                      <w:highlight w:val="none"/>
                    </w:rPr>
                    <w:t>《工业企业厂界环境噪声排放标准》（GB12348-2008）表1中</w:t>
                  </w:r>
                  <w:r>
                    <w:rPr>
                      <w:rFonts w:hint="eastAsia"/>
                      <w:color w:val="auto"/>
                      <w:highlight w:val="none"/>
                    </w:rPr>
                    <w:t>2</w:t>
                  </w:r>
                  <w:r>
                    <w:rPr>
                      <w:color w:val="auto"/>
                      <w:highlight w:val="none"/>
                    </w:rPr>
                    <w:t>类排放标准</w:t>
                  </w:r>
                </w:p>
              </w:tc>
            </w:tr>
          </w:tbl>
          <w:p>
            <w:pPr>
              <w:pStyle w:val="3"/>
              <w:rPr>
                <w:color w:val="auto"/>
                <w:highlight w:val="none"/>
              </w:rPr>
            </w:pPr>
          </w:p>
          <w:p>
            <w:pPr>
              <w:spacing w:line="360" w:lineRule="auto"/>
              <w:ind w:firstLine="482" w:firstLineChars="200"/>
              <w:rPr>
                <w:b/>
                <w:color w:val="auto"/>
                <w:sz w:val="24"/>
                <w:highlight w:val="none"/>
              </w:rPr>
            </w:pPr>
            <w:r>
              <w:rPr>
                <w:b/>
                <w:color w:val="auto"/>
                <w:sz w:val="24"/>
                <w:highlight w:val="none"/>
              </w:rPr>
              <w:t>（5）固定污染源排污登记</w:t>
            </w:r>
          </w:p>
          <w:p>
            <w:pPr>
              <w:spacing w:line="360" w:lineRule="auto"/>
              <w:ind w:firstLine="480" w:firstLineChars="200"/>
              <w:rPr>
                <w:color w:val="auto"/>
                <w:sz w:val="24"/>
                <w:highlight w:val="none"/>
              </w:rPr>
            </w:pPr>
            <w:r>
              <w:rPr>
                <w:color w:val="auto"/>
                <w:sz w:val="24"/>
                <w:highlight w:val="none"/>
              </w:rPr>
              <w:t>根据《固定污染源排污许可分类管理名录》（2019年版），本项目为简化管理排污单位，履行固定污染源登记。</w:t>
            </w:r>
          </w:p>
          <w:p>
            <w:pPr>
              <w:pStyle w:val="3"/>
              <w:rPr>
                <w:color w:val="auto"/>
                <w:highlight w:val="none"/>
              </w:rPr>
            </w:pPr>
          </w:p>
          <w:p>
            <w:pPr>
              <w:rPr>
                <w:color w:val="auto"/>
                <w:highlight w:val="none"/>
              </w:rPr>
            </w:pPr>
          </w:p>
          <w:p>
            <w:pPr>
              <w:pStyle w:val="3"/>
              <w:rPr>
                <w:color w:val="auto"/>
                <w:highlight w:val="none"/>
              </w:rPr>
            </w:pPr>
          </w:p>
          <w:p>
            <w:pPr>
              <w:rPr>
                <w:color w:val="auto"/>
                <w:highlight w:val="none"/>
              </w:rPr>
            </w:pPr>
          </w:p>
          <w:p>
            <w:pPr>
              <w:pStyle w:val="2"/>
              <w:rPr>
                <w:color w:val="auto"/>
                <w:highlight w:val="none"/>
              </w:rPr>
            </w:pPr>
          </w:p>
          <w:p>
            <w:pPr>
              <w:pStyle w:val="3"/>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tc>
      </w:tr>
    </w:tbl>
    <w:p>
      <w:pPr>
        <w:pStyle w:val="30"/>
        <w:snapToGrid w:val="0"/>
        <w:spacing w:before="0" w:beforeAutospacing="0" w:after="0" w:afterAutospacing="0"/>
        <w:jc w:val="center"/>
        <w:outlineLvl w:val="0"/>
        <w:rPr>
          <w:rFonts w:ascii="Times New Roman" w:hAnsi="Times New Roman" w:eastAsia="黑体"/>
          <w:snapToGrid w:val="0"/>
          <w:sz w:val="30"/>
          <w:szCs w:val="30"/>
        </w:rPr>
        <w:sectPr>
          <w:pgSz w:w="11906" w:h="16838"/>
          <w:pgMar w:top="1474" w:right="1474" w:bottom="1474" w:left="1474" w:header="851" w:footer="851" w:gutter="0"/>
          <w:pgNumType w:fmt="numberInDash"/>
          <w:cols w:space="720" w:num="1"/>
          <w:docGrid w:linePitch="312" w:charSpace="0"/>
        </w:sectPr>
      </w:pPr>
    </w:p>
    <w:p>
      <w:pPr>
        <w:pStyle w:val="30"/>
        <w:snapToGrid w:val="0"/>
        <w:spacing w:before="0" w:beforeAutospacing="0" w:after="0" w:afterAutospacing="0"/>
        <w:jc w:val="center"/>
        <w:outlineLvl w:val="0"/>
        <w:rPr>
          <w:rFonts w:ascii="Times New Roman" w:hAnsi="Times New Roman" w:eastAsia="黑体"/>
          <w:snapToGrid w:val="0"/>
          <w:sz w:val="30"/>
          <w:szCs w:val="30"/>
        </w:rPr>
      </w:pPr>
      <w:bookmarkStart w:id="10" w:name="_Toc88945584"/>
      <w:r>
        <w:rPr>
          <w:rFonts w:ascii="Times New Roman" w:hAnsi="Times New Roman" w:eastAsia="黑体"/>
          <w:snapToGrid w:val="0"/>
          <w:sz w:val="30"/>
          <w:szCs w:val="30"/>
        </w:rPr>
        <w:t>六、结论</w:t>
      </w:r>
      <w:bookmarkEnd w:id="10"/>
    </w:p>
    <w:tbl>
      <w:tblPr>
        <w:tblStyle w:val="34"/>
        <w:tblW w:w="0" w:type="auto"/>
        <w:jc w:val="center"/>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8875"/>
      </w:tblGrid>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jc w:val="center"/>
        </w:trPr>
        <w:tc>
          <w:tcPr>
            <w:tcW w:w="8875" w:type="dxa"/>
          </w:tcPr>
          <w:p>
            <w:pPr>
              <w:spacing w:beforeLines="50" w:line="336" w:lineRule="auto"/>
              <w:ind w:firstLine="480" w:firstLineChars="200"/>
              <w:rPr>
                <w:color w:val="auto"/>
                <w:sz w:val="24"/>
              </w:rPr>
            </w:pPr>
            <w:r>
              <w:rPr>
                <w:color w:val="auto"/>
                <w:sz w:val="24"/>
              </w:rPr>
              <w:t>本项目是方夜视技术股份有限公司“光电倍增管生产线改造项目”，建设地点位于南京江宁经济技术开发区秣陵街道康平街2号北方夜视技术股份有限公司现有厂房内。该项目符合国家及地方的产业政策，选址合理，采用的各项污染防治措施可行，总体上对评价区域环境影响较小，不会降低区域环境质量现状，总量按照江宁区要求落实，环境风险可</w:t>
            </w:r>
            <w:r>
              <w:rPr>
                <w:rFonts w:hint="eastAsia"/>
                <w:color w:val="auto"/>
                <w:sz w:val="24"/>
              </w:rPr>
              <w:t>防控</w:t>
            </w:r>
            <w:r>
              <w:rPr>
                <w:color w:val="auto"/>
                <w:sz w:val="24"/>
              </w:rPr>
              <w:t>。从环境保护角度</w:t>
            </w:r>
            <w:r>
              <w:rPr>
                <w:rFonts w:hint="eastAsia"/>
                <w:color w:val="auto"/>
                <w:sz w:val="24"/>
              </w:rPr>
              <w:t>出发</w:t>
            </w:r>
            <w:r>
              <w:rPr>
                <w:color w:val="auto"/>
                <w:sz w:val="24"/>
              </w:rPr>
              <w:t>，该建设项目在该地建设是可行的。</w:t>
            </w:r>
          </w:p>
          <w:p>
            <w:pPr>
              <w:pStyle w:val="75"/>
              <w:jc w:val="both"/>
              <w:rPr>
                <w:rFonts w:ascii="Times New Roman" w:hAnsi="Times New Roman" w:eastAsia="宋体"/>
                <w:color w:val="auto"/>
              </w:rPr>
            </w:pPr>
          </w:p>
          <w:p>
            <w:pPr>
              <w:pStyle w:val="75"/>
              <w:jc w:val="both"/>
              <w:rPr>
                <w:rFonts w:ascii="Times New Roman" w:hAnsi="Times New Roman" w:eastAsia="宋体"/>
                <w:color w:val="auto"/>
              </w:rPr>
            </w:pPr>
          </w:p>
          <w:p>
            <w:pPr>
              <w:pStyle w:val="75"/>
              <w:jc w:val="both"/>
              <w:rPr>
                <w:rFonts w:ascii="Times New Roman" w:hAnsi="Times New Roman" w:eastAsia="宋体"/>
                <w:color w:val="auto"/>
              </w:rPr>
            </w:pPr>
          </w:p>
          <w:p>
            <w:pPr>
              <w:pStyle w:val="75"/>
              <w:jc w:val="both"/>
              <w:rPr>
                <w:rFonts w:ascii="Times New Roman" w:hAnsi="Times New Roman" w:eastAsia="宋体"/>
                <w:color w:val="auto"/>
              </w:rPr>
            </w:pPr>
          </w:p>
          <w:p>
            <w:pPr>
              <w:pStyle w:val="75"/>
              <w:jc w:val="both"/>
              <w:rPr>
                <w:rFonts w:ascii="Times New Roman" w:hAnsi="Times New Roman" w:eastAsia="宋体"/>
                <w:color w:val="auto"/>
              </w:rPr>
            </w:pPr>
          </w:p>
          <w:p>
            <w:pPr>
              <w:pStyle w:val="75"/>
              <w:jc w:val="both"/>
              <w:rPr>
                <w:rFonts w:ascii="Times New Roman" w:hAnsi="Times New Roman" w:eastAsia="宋体"/>
                <w:color w:val="auto"/>
              </w:rPr>
            </w:pPr>
          </w:p>
          <w:p>
            <w:pPr>
              <w:pStyle w:val="75"/>
              <w:jc w:val="both"/>
              <w:rPr>
                <w:rFonts w:ascii="Times New Roman" w:hAnsi="Times New Roman" w:eastAsia="宋体"/>
                <w:color w:val="auto"/>
              </w:rPr>
            </w:pPr>
          </w:p>
          <w:p>
            <w:pPr>
              <w:pStyle w:val="75"/>
              <w:jc w:val="both"/>
              <w:rPr>
                <w:rFonts w:ascii="Times New Roman" w:hAnsi="Times New Roman" w:eastAsia="宋体"/>
                <w:color w:val="auto"/>
              </w:rPr>
            </w:pPr>
          </w:p>
          <w:p>
            <w:pPr>
              <w:pStyle w:val="75"/>
              <w:jc w:val="both"/>
              <w:rPr>
                <w:rFonts w:ascii="Times New Roman" w:hAnsi="Times New Roman" w:eastAsia="宋体"/>
                <w:color w:val="auto"/>
              </w:rPr>
            </w:pPr>
          </w:p>
          <w:p>
            <w:pPr>
              <w:pStyle w:val="75"/>
              <w:jc w:val="both"/>
              <w:rPr>
                <w:rFonts w:ascii="Times New Roman" w:hAnsi="Times New Roman" w:eastAsia="宋体"/>
                <w:color w:val="auto"/>
              </w:rPr>
            </w:pPr>
          </w:p>
          <w:p>
            <w:pPr>
              <w:pStyle w:val="75"/>
              <w:jc w:val="both"/>
              <w:rPr>
                <w:rFonts w:ascii="Times New Roman" w:hAnsi="Times New Roman" w:eastAsia="宋体"/>
                <w:color w:val="auto"/>
              </w:rPr>
            </w:pPr>
          </w:p>
          <w:p>
            <w:pPr>
              <w:pStyle w:val="75"/>
              <w:jc w:val="both"/>
              <w:rPr>
                <w:rFonts w:ascii="Times New Roman" w:hAnsi="Times New Roman" w:eastAsia="宋体"/>
                <w:color w:val="auto"/>
              </w:rPr>
            </w:pPr>
          </w:p>
          <w:p>
            <w:pPr>
              <w:pStyle w:val="75"/>
              <w:jc w:val="both"/>
              <w:rPr>
                <w:rFonts w:ascii="Times New Roman" w:hAnsi="Times New Roman" w:eastAsia="宋体"/>
                <w:color w:val="auto"/>
              </w:rPr>
            </w:pPr>
          </w:p>
          <w:p>
            <w:pPr>
              <w:pStyle w:val="75"/>
              <w:jc w:val="both"/>
              <w:rPr>
                <w:rFonts w:ascii="Times New Roman" w:hAnsi="Times New Roman" w:eastAsia="宋体"/>
                <w:color w:val="auto"/>
              </w:rPr>
            </w:pPr>
          </w:p>
          <w:p>
            <w:pPr>
              <w:pStyle w:val="75"/>
              <w:jc w:val="both"/>
              <w:rPr>
                <w:rFonts w:ascii="Times New Roman" w:hAnsi="Times New Roman" w:eastAsia="宋体"/>
                <w:color w:val="auto"/>
              </w:rPr>
            </w:pPr>
          </w:p>
          <w:p>
            <w:pPr>
              <w:pStyle w:val="75"/>
              <w:jc w:val="both"/>
              <w:rPr>
                <w:rFonts w:ascii="Times New Roman" w:hAnsi="Times New Roman" w:eastAsia="宋体"/>
                <w:color w:val="auto"/>
              </w:rPr>
            </w:pPr>
          </w:p>
          <w:p>
            <w:pPr>
              <w:pStyle w:val="75"/>
              <w:jc w:val="both"/>
              <w:rPr>
                <w:rFonts w:ascii="Times New Roman" w:hAnsi="Times New Roman" w:eastAsia="宋体"/>
                <w:color w:val="auto"/>
              </w:rPr>
            </w:pPr>
          </w:p>
          <w:p>
            <w:pPr>
              <w:pStyle w:val="75"/>
              <w:jc w:val="both"/>
              <w:rPr>
                <w:rFonts w:ascii="Times New Roman" w:hAnsi="Times New Roman" w:eastAsia="宋体"/>
                <w:color w:val="auto"/>
              </w:rPr>
            </w:pPr>
          </w:p>
          <w:p>
            <w:pPr>
              <w:pStyle w:val="75"/>
              <w:jc w:val="both"/>
              <w:rPr>
                <w:rFonts w:ascii="Times New Roman" w:hAnsi="Times New Roman" w:eastAsia="宋体"/>
                <w:color w:val="auto"/>
              </w:rPr>
            </w:pPr>
          </w:p>
          <w:p>
            <w:pPr>
              <w:pStyle w:val="75"/>
              <w:jc w:val="both"/>
              <w:rPr>
                <w:rFonts w:ascii="Times New Roman" w:hAnsi="Times New Roman" w:eastAsia="宋体"/>
                <w:color w:val="auto"/>
              </w:rPr>
            </w:pPr>
          </w:p>
          <w:p>
            <w:pPr>
              <w:pStyle w:val="75"/>
              <w:jc w:val="both"/>
              <w:rPr>
                <w:rFonts w:ascii="Times New Roman" w:hAnsi="Times New Roman" w:eastAsia="宋体"/>
                <w:color w:val="auto"/>
              </w:rPr>
            </w:pPr>
          </w:p>
          <w:p>
            <w:pPr>
              <w:pStyle w:val="75"/>
              <w:jc w:val="both"/>
              <w:rPr>
                <w:rFonts w:ascii="Times New Roman" w:hAnsi="Times New Roman" w:eastAsia="宋体"/>
                <w:color w:val="auto"/>
              </w:rPr>
            </w:pPr>
          </w:p>
          <w:p>
            <w:pPr>
              <w:pStyle w:val="75"/>
              <w:jc w:val="both"/>
              <w:rPr>
                <w:rFonts w:ascii="Times New Roman" w:hAnsi="Times New Roman" w:eastAsia="宋体"/>
                <w:color w:val="auto"/>
              </w:rPr>
            </w:pPr>
          </w:p>
          <w:p>
            <w:pPr>
              <w:pStyle w:val="75"/>
              <w:jc w:val="both"/>
              <w:rPr>
                <w:rFonts w:ascii="Times New Roman" w:hAnsi="Times New Roman" w:eastAsia="宋体"/>
                <w:color w:val="auto"/>
              </w:rPr>
            </w:pPr>
          </w:p>
          <w:p>
            <w:pPr>
              <w:pStyle w:val="75"/>
              <w:jc w:val="both"/>
              <w:rPr>
                <w:rFonts w:ascii="Times New Roman" w:hAnsi="Times New Roman" w:eastAsia="宋体"/>
                <w:color w:val="auto"/>
              </w:rPr>
            </w:pPr>
          </w:p>
          <w:p>
            <w:pPr>
              <w:pStyle w:val="75"/>
              <w:jc w:val="both"/>
              <w:rPr>
                <w:rFonts w:ascii="Times New Roman" w:hAnsi="Times New Roman" w:eastAsia="宋体"/>
                <w:color w:val="auto"/>
              </w:rPr>
            </w:pPr>
          </w:p>
          <w:p>
            <w:pPr>
              <w:pStyle w:val="75"/>
              <w:jc w:val="both"/>
              <w:rPr>
                <w:rFonts w:ascii="Times New Roman" w:hAnsi="Times New Roman" w:eastAsia="宋体"/>
                <w:color w:val="auto"/>
              </w:rPr>
            </w:pPr>
          </w:p>
          <w:p>
            <w:pPr>
              <w:pStyle w:val="75"/>
              <w:jc w:val="both"/>
              <w:rPr>
                <w:rFonts w:ascii="Times New Roman" w:hAnsi="Times New Roman" w:eastAsia="宋体"/>
                <w:color w:val="auto"/>
              </w:rPr>
            </w:pPr>
          </w:p>
          <w:p>
            <w:pPr>
              <w:pStyle w:val="75"/>
              <w:jc w:val="both"/>
              <w:rPr>
                <w:rFonts w:ascii="Times New Roman" w:hAnsi="Times New Roman" w:eastAsia="宋体"/>
                <w:color w:val="auto"/>
              </w:rPr>
            </w:pPr>
          </w:p>
          <w:p>
            <w:pPr>
              <w:pStyle w:val="75"/>
              <w:jc w:val="both"/>
              <w:rPr>
                <w:rFonts w:ascii="Times New Roman" w:hAnsi="Times New Roman" w:eastAsia="宋体"/>
                <w:color w:val="auto"/>
              </w:rPr>
            </w:pPr>
          </w:p>
          <w:p>
            <w:pPr>
              <w:pStyle w:val="75"/>
              <w:jc w:val="both"/>
              <w:rPr>
                <w:rFonts w:ascii="Times New Roman" w:hAnsi="Times New Roman" w:eastAsia="宋体"/>
                <w:color w:val="auto"/>
              </w:rPr>
            </w:pPr>
          </w:p>
          <w:p>
            <w:pPr>
              <w:pStyle w:val="75"/>
              <w:jc w:val="both"/>
              <w:rPr>
                <w:rFonts w:ascii="Times New Roman" w:hAnsi="Times New Roman" w:eastAsia="宋体"/>
                <w:color w:val="auto"/>
              </w:rPr>
            </w:pPr>
          </w:p>
          <w:p>
            <w:pPr>
              <w:pStyle w:val="75"/>
              <w:jc w:val="both"/>
              <w:rPr>
                <w:rFonts w:ascii="Times New Roman" w:hAnsi="Times New Roman" w:eastAsia="宋体"/>
                <w:color w:val="auto"/>
              </w:rPr>
            </w:pPr>
          </w:p>
          <w:p>
            <w:pPr>
              <w:pStyle w:val="75"/>
              <w:jc w:val="both"/>
              <w:rPr>
                <w:rFonts w:ascii="Times New Roman" w:hAnsi="Times New Roman" w:eastAsia="宋体"/>
                <w:color w:val="auto"/>
              </w:rPr>
            </w:pPr>
          </w:p>
          <w:p>
            <w:pPr>
              <w:pStyle w:val="75"/>
              <w:jc w:val="both"/>
              <w:rPr>
                <w:rFonts w:ascii="Times New Roman" w:hAnsi="Times New Roman" w:eastAsia="宋体"/>
                <w:color w:val="auto"/>
              </w:rPr>
            </w:pPr>
          </w:p>
          <w:p>
            <w:pPr>
              <w:pStyle w:val="75"/>
              <w:jc w:val="both"/>
              <w:rPr>
                <w:rFonts w:ascii="Times New Roman" w:hAnsi="Times New Roman" w:eastAsia="宋体"/>
                <w:color w:val="auto"/>
              </w:rPr>
            </w:pPr>
          </w:p>
          <w:p>
            <w:pPr>
              <w:pStyle w:val="75"/>
              <w:jc w:val="both"/>
              <w:rPr>
                <w:rFonts w:ascii="Times New Roman" w:hAnsi="Times New Roman" w:eastAsia="宋体"/>
                <w:color w:val="auto"/>
              </w:rPr>
            </w:pPr>
          </w:p>
          <w:p>
            <w:pPr>
              <w:pStyle w:val="75"/>
              <w:jc w:val="both"/>
              <w:rPr>
                <w:rFonts w:ascii="Times New Roman" w:hAnsi="Times New Roman" w:eastAsia="宋体"/>
                <w:color w:val="auto"/>
              </w:rPr>
            </w:pPr>
          </w:p>
        </w:tc>
      </w:tr>
    </w:tbl>
    <w:p>
      <w:pPr>
        <w:sectPr>
          <w:pgSz w:w="11906" w:h="16838"/>
          <w:pgMar w:top="1474" w:right="1474" w:bottom="1474" w:left="1474" w:header="851" w:footer="851" w:gutter="0"/>
          <w:pgNumType w:fmt="numberInDash"/>
          <w:cols w:space="720" w:num="1"/>
          <w:docGrid w:linePitch="312" w:charSpace="0"/>
        </w:sectPr>
      </w:pPr>
    </w:p>
    <w:p>
      <w:pPr>
        <w:spacing w:line="360" w:lineRule="auto"/>
        <w:sectPr>
          <w:type w:val="continuous"/>
          <w:pgSz w:w="11906" w:h="16838"/>
          <w:pgMar w:top="1474" w:right="1474" w:bottom="1474" w:left="1474" w:header="851" w:footer="851" w:gutter="0"/>
          <w:pgNumType w:fmt="numberInDash"/>
          <w:cols w:space="720" w:num="1"/>
          <w:docGrid w:linePitch="312" w:charSpace="0"/>
        </w:sectPr>
      </w:pPr>
    </w:p>
    <w:p>
      <w:pPr>
        <w:pStyle w:val="30"/>
        <w:adjustRightInd w:val="0"/>
        <w:snapToGrid w:val="0"/>
        <w:spacing w:before="0" w:beforeAutospacing="0" w:after="0" w:afterAutospacing="0"/>
        <w:outlineLvl w:val="0"/>
        <w:rPr>
          <w:rFonts w:ascii="Times New Roman" w:hAnsi="Times New Roman" w:eastAsia="黑体"/>
          <w:snapToGrid w:val="0"/>
          <w:sz w:val="32"/>
          <w:szCs w:val="32"/>
        </w:rPr>
      </w:pPr>
      <w:bookmarkStart w:id="11" w:name="_Toc88945585"/>
      <w:r>
        <w:rPr>
          <w:rFonts w:ascii="Times New Roman" w:hAnsi="Times New Roman" w:eastAsia="黑体"/>
          <w:snapToGrid w:val="0"/>
          <w:sz w:val="32"/>
          <w:szCs w:val="32"/>
        </w:rPr>
        <w:t>附表</w:t>
      </w:r>
      <w:bookmarkEnd w:id="11"/>
    </w:p>
    <w:p>
      <w:pPr>
        <w:spacing w:line="360" w:lineRule="auto"/>
        <w:jc w:val="center"/>
        <w:rPr>
          <w:snapToGrid w:val="0"/>
          <w:sz w:val="36"/>
          <w:szCs w:val="36"/>
        </w:rPr>
      </w:pPr>
      <w:r>
        <w:rPr>
          <w:snapToGrid w:val="0"/>
          <w:sz w:val="36"/>
          <w:szCs w:val="36"/>
        </w:rPr>
        <w:t>建设项目污染物排放量汇总表(t/a)</w:t>
      </w:r>
    </w:p>
    <w:tbl>
      <w:tblPr>
        <w:tblStyle w:val="34"/>
        <w:tblW w:w="14026"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338"/>
        <w:gridCol w:w="450"/>
        <w:gridCol w:w="1350"/>
        <w:gridCol w:w="971"/>
        <w:gridCol w:w="972"/>
        <w:gridCol w:w="989"/>
        <w:gridCol w:w="848"/>
        <w:gridCol w:w="848"/>
        <w:gridCol w:w="848"/>
        <w:gridCol w:w="848"/>
        <w:gridCol w:w="1023"/>
        <w:gridCol w:w="852"/>
        <w:gridCol w:w="818"/>
        <w:gridCol w:w="955"/>
        <w:gridCol w:w="91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38" w:type="dxa"/>
            <w:tcBorders>
              <w:top w:val="single" w:color="auto" w:sz="12" w:space="0"/>
              <w:left w:val="single" w:color="auto" w:sz="12" w:space="0"/>
              <w:bottom w:val="single" w:color="auto" w:sz="4" w:space="0"/>
              <w:tl2br w:val="single" w:color="auto" w:sz="4" w:space="0"/>
            </w:tcBorders>
            <w:tcMar>
              <w:left w:w="28" w:type="dxa"/>
              <w:right w:w="28" w:type="dxa"/>
            </w:tcMar>
            <w:vAlign w:val="center"/>
          </w:tcPr>
          <w:p>
            <w:pPr>
              <w:jc w:val="center"/>
              <w:rPr>
                <w:snapToGrid w:val="0"/>
                <w:color w:val="auto"/>
                <w:szCs w:val="21"/>
              </w:rPr>
            </w:pPr>
            <w:r>
              <w:rPr>
                <w:snapToGrid w:val="0"/>
                <w:color w:val="auto"/>
                <w:szCs w:val="21"/>
              </w:rPr>
              <w:t xml:space="preserve">    项目</w:t>
            </w:r>
          </w:p>
          <w:p>
            <w:pPr>
              <w:jc w:val="center"/>
              <w:rPr>
                <w:snapToGrid w:val="0"/>
                <w:color w:val="auto"/>
                <w:szCs w:val="21"/>
              </w:rPr>
            </w:pPr>
            <w:r>
              <w:rPr>
                <w:snapToGrid w:val="0"/>
                <w:color w:val="auto"/>
                <w:szCs w:val="21"/>
              </w:rPr>
              <w:t>分类</w:t>
            </w:r>
          </w:p>
        </w:tc>
        <w:tc>
          <w:tcPr>
            <w:tcW w:w="1800" w:type="dxa"/>
            <w:gridSpan w:val="2"/>
            <w:tcBorders>
              <w:top w:val="single" w:color="auto" w:sz="12" w:space="0"/>
              <w:bottom w:val="single" w:color="auto" w:sz="4" w:space="0"/>
            </w:tcBorders>
            <w:tcMar>
              <w:left w:w="28" w:type="dxa"/>
              <w:right w:w="28" w:type="dxa"/>
            </w:tcMar>
            <w:vAlign w:val="center"/>
          </w:tcPr>
          <w:p>
            <w:pPr>
              <w:jc w:val="center"/>
              <w:rPr>
                <w:snapToGrid w:val="0"/>
                <w:color w:val="auto"/>
                <w:szCs w:val="21"/>
              </w:rPr>
            </w:pPr>
            <w:r>
              <w:rPr>
                <w:snapToGrid w:val="0"/>
                <w:color w:val="auto"/>
                <w:szCs w:val="21"/>
              </w:rPr>
              <w:t>污染物名称</w:t>
            </w:r>
          </w:p>
        </w:tc>
        <w:tc>
          <w:tcPr>
            <w:tcW w:w="1943" w:type="dxa"/>
            <w:gridSpan w:val="2"/>
            <w:tcBorders>
              <w:top w:val="single" w:color="auto" w:sz="12" w:space="0"/>
              <w:bottom w:val="single" w:color="auto" w:sz="4" w:space="0"/>
            </w:tcBorders>
            <w:tcMar>
              <w:left w:w="28" w:type="dxa"/>
              <w:right w:w="28" w:type="dxa"/>
            </w:tcMar>
            <w:vAlign w:val="center"/>
          </w:tcPr>
          <w:p>
            <w:pPr>
              <w:jc w:val="center"/>
              <w:rPr>
                <w:snapToGrid w:val="0"/>
                <w:color w:val="auto"/>
                <w:szCs w:val="21"/>
              </w:rPr>
            </w:pPr>
            <w:r>
              <w:rPr>
                <w:snapToGrid w:val="0"/>
                <w:color w:val="auto"/>
                <w:szCs w:val="21"/>
              </w:rPr>
              <w:t>现有工程</w:t>
            </w:r>
          </w:p>
          <w:p>
            <w:pPr>
              <w:jc w:val="center"/>
              <w:rPr>
                <w:snapToGrid w:val="0"/>
                <w:color w:val="auto"/>
                <w:szCs w:val="21"/>
              </w:rPr>
            </w:pPr>
            <w:r>
              <w:rPr>
                <w:snapToGrid w:val="0"/>
                <w:color w:val="auto"/>
                <w:szCs w:val="21"/>
              </w:rPr>
              <w:t>排放量（固体废物产生量）</w:t>
            </w:r>
            <w:r>
              <w:rPr>
                <w:snapToGrid w:val="0"/>
                <w:color w:val="auto"/>
                <w:szCs w:val="21"/>
              </w:rPr>
              <w:fldChar w:fldCharType="begin"/>
            </w:r>
            <w:r>
              <w:rPr>
                <w:snapToGrid w:val="0"/>
                <w:color w:val="auto"/>
                <w:szCs w:val="21"/>
              </w:rPr>
              <w:instrText xml:space="preserve"> = 1 \* GB3 \* MERGEFORMAT </w:instrText>
            </w:r>
            <w:r>
              <w:rPr>
                <w:snapToGrid w:val="0"/>
                <w:color w:val="auto"/>
                <w:szCs w:val="21"/>
              </w:rPr>
              <w:fldChar w:fldCharType="separate"/>
            </w:r>
            <w:r>
              <w:rPr>
                <w:rFonts w:hint="eastAsia" w:ascii="宋体" w:hAnsi="宋体" w:cs="宋体"/>
                <w:color w:val="auto"/>
                <w:szCs w:val="21"/>
              </w:rPr>
              <w:t>①</w:t>
            </w:r>
            <w:r>
              <w:rPr>
                <w:snapToGrid w:val="0"/>
                <w:color w:val="auto"/>
                <w:szCs w:val="21"/>
              </w:rPr>
              <w:fldChar w:fldCharType="end"/>
            </w:r>
          </w:p>
        </w:tc>
        <w:tc>
          <w:tcPr>
            <w:tcW w:w="989" w:type="dxa"/>
            <w:tcBorders>
              <w:top w:val="single" w:color="auto" w:sz="12" w:space="0"/>
              <w:bottom w:val="single" w:color="auto" w:sz="4" w:space="0"/>
            </w:tcBorders>
            <w:tcMar>
              <w:left w:w="28" w:type="dxa"/>
              <w:right w:w="28" w:type="dxa"/>
            </w:tcMar>
            <w:vAlign w:val="center"/>
          </w:tcPr>
          <w:p>
            <w:pPr>
              <w:jc w:val="center"/>
              <w:rPr>
                <w:snapToGrid w:val="0"/>
                <w:color w:val="auto"/>
                <w:szCs w:val="21"/>
              </w:rPr>
            </w:pPr>
            <w:r>
              <w:rPr>
                <w:snapToGrid w:val="0"/>
                <w:color w:val="auto"/>
                <w:szCs w:val="21"/>
              </w:rPr>
              <w:t>现有工程</w:t>
            </w:r>
          </w:p>
          <w:p>
            <w:pPr>
              <w:jc w:val="center"/>
              <w:rPr>
                <w:snapToGrid w:val="0"/>
                <w:color w:val="auto"/>
                <w:szCs w:val="21"/>
              </w:rPr>
            </w:pPr>
            <w:r>
              <w:rPr>
                <w:snapToGrid w:val="0"/>
                <w:color w:val="auto"/>
                <w:szCs w:val="21"/>
              </w:rPr>
              <w:t>许可排放量</w:t>
            </w:r>
            <w:r>
              <w:rPr>
                <w:snapToGrid w:val="0"/>
                <w:color w:val="auto"/>
                <w:szCs w:val="21"/>
              </w:rPr>
              <w:fldChar w:fldCharType="begin"/>
            </w:r>
            <w:r>
              <w:rPr>
                <w:snapToGrid w:val="0"/>
                <w:color w:val="auto"/>
                <w:szCs w:val="21"/>
              </w:rPr>
              <w:instrText xml:space="preserve"> = 2 \* GB3 \* MERGEFORMAT </w:instrText>
            </w:r>
            <w:r>
              <w:rPr>
                <w:snapToGrid w:val="0"/>
                <w:color w:val="auto"/>
                <w:szCs w:val="21"/>
              </w:rPr>
              <w:fldChar w:fldCharType="separate"/>
            </w:r>
            <w:r>
              <w:rPr>
                <w:rFonts w:hint="eastAsia" w:ascii="宋体" w:hAnsi="宋体" w:cs="宋体"/>
                <w:snapToGrid w:val="0"/>
                <w:color w:val="auto"/>
                <w:szCs w:val="21"/>
              </w:rPr>
              <w:t>②</w:t>
            </w:r>
            <w:r>
              <w:rPr>
                <w:snapToGrid w:val="0"/>
                <w:color w:val="auto"/>
                <w:szCs w:val="21"/>
              </w:rPr>
              <w:fldChar w:fldCharType="end"/>
            </w:r>
          </w:p>
        </w:tc>
        <w:tc>
          <w:tcPr>
            <w:tcW w:w="1696" w:type="dxa"/>
            <w:gridSpan w:val="2"/>
            <w:tcBorders>
              <w:top w:val="single" w:color="auto" w:sz="12" w:space="0"/>
              <w:bottom w:val="single" w:color="auto" w:sz="4" w:space="0"/>
            </w:tcBorders>
            <w:tcMar>
              <w:left w:w="28" w:type="dxa"/>
              <w:right w:w="28" w:type="dxa"/>
            </w:tcMar>
            <w:vAlign w:val="center"/>
          </w:tcPr>
          <w:p>
            <w:pPr>
              <w:jc w:val="center"/>
              <w:rPr>
                <w:snapToGrid w:val="0"/>
                <w:color w:val="auto"/>
                <w:szCs w:val="21"/>
              </w:rPr>
            </w:pPr>
            <w:r>
              <w:rPr>
                <w:snapToGrid w:val="0"/>
                <w:color w:val="auto"/>
                <w:szCs w:val="21"/>
              </w:rPr>
              <w:t>在建工程</w:t>
            </w:r>
          </w:p>
          <w:p>
            <w:pPr>
              <w:jc w:val="center"/>
              <w:rPr>
                <w:snapToGrid w:val="0"/>
                <w:color w:val="auto"/>
                <w:szCs w:val="21"/>
              </w:rPr>
            </w:pPr>
            <w:r>
              <w:rPr>
                <w:snapToGrid w:val="0"/>
                <w:color w:val="auto"/>
                <w:szCs w:val="21"/>
              </w:rPr>
              <w:t>排放量（固体废物产生量）</w:t>
            </w:r>
            <w:r>
              <w:rPr>
                <w:snapToGrid w:val="0"/>
                <w:color w:val="auto"/>
                <w:szCs w:val="21"/>
              </w:rPr>
              <w:fldChar w:fldCharType="begin"/>
            </w:r>
            <w:r>
              <w:rPr>
                <w:snapToGrid w:val="0"/>
                <w:color w:val="auto"/>
                <w:szCs w:val="21"/>
              </w:rPr>
              <w:instrText xml:space="preserve"> = 3 \* GB3 \* MERGEFORMAT </w:instrText>
            </w:r>
            <w:r>
              <w:rPr>
                <w:snapToGrid w:val="0"/>
                <w:color w:val="auto"/>
                <w:szCs w:val="21"/>
              </w:rPr>
              <w:fldChar w:fldCharType="separate"/>
            </w:r>
            <w:r>
              <w:rPr>
                <w:rFonts w:hint="eastAsia" w:ascii="宋体" w:hAnsi="宋体" w:cs="宋体"/>
                <w:color w:val="auto"/>
                <w:szCs w:val="21"/>
              </w:rPr>
              <w:t>③</w:t>
            </w:r>
            <w:r>
              <w:rPr>
                <w:snapToGrid w:val="0"/>
                <w:color w:val="auto"/>
                <w:szCs w:val="21"/>
              </w:rPr>
              <w:fldChar w:fldCharType="end"/>
            </w:r>
          </w:p>
        </w:tc>
        <w:tc>
          <w:tcPr>
            <w:tcW w:w="1696" w:type="dxa"/>
            <w:gridSpan w:val="2"/>
            <w:tcBorders>
              <w:top w:val="single" w:color="auto" w:sz="12" w:space="0"/>
              <w:bottom w:val="single" w:color="auto" w:sz="4" w:space="0"/>
            </w:tcBorders>
            <w:tcMar>
              <w:left w:w="28" w:type="dxa"/>
              <w:right w:w="28" w:type="dxa"/>
            </w:tcMar>
            <w:vAlign w:val="center"/>
          </w:tcPr>
          <w:p>
            <w:pPr>
              <w:jc w:val="center"/>
              <w:rPr>
                <w:snapToGrid w:val="0"/>
                <w:color w:val="auto"/>
                <w:szCs w:val="21"/>
              </w:rPr>
            </w:pPr>
            <w:r>
              <w:rPr>
                <w:snapToGrid w:val="0"/>
                <w:color w:val="auto"/>
                <w:szCs w:val="21"/>
              </w:rPr>
              <w:t>本项目</w:t>
            </w:r>
          </w:p>
          <w:p>
            <w:pPr>
              <w:jc w:val="center"/>
              <w:rPr>
                <w:snapToGrid w:val="0"/>
                <w:color w:val="auto"/>
                <w:szCs w:val="21"/>
              </w:rPr>
            </w:pPr>
            <w:r>
              <w:rPr>
                <w:snapToGrid w:val="0"/>
                <w:color w:val="auto"/>
                <w:szCs w:val="21"/>
              </w:rPr>
              <w:t>排放量（固体废物产生量）</w:t>
            </w:r>
            <w:r>
              <w:rPr>
                <w:snapToGrid w:val="0"/>
                <w:color w:val="auto"/>
                <w:szCs w:val="21"/>
              </w:rPr>
              <w:fldChar w:fldCharType="begin"/>
            </w:r>
            <w:r>
              <w:rPr>
                <w:snapToGrid w:val="0"/>
                <w:color w:val="auto"/>
                <w:szCs w:val="21"/>
              </w:rPr>
              <w:instrText xml:space="preserve"> = 4 \* GB3 \* MERGEFORMAT </w:instrText>
            </w:r>
            <w:r>
              <w:rPr>
                <w:snapToGrid w:val="0"/>
                <w:color w:val="auto"/>
                <w:szCs w:val="21"/>
              </w:rPr>
              <w:fldChar w:fldCharType="separate"/>
            </w:r>
            <w:r>
              <w:rPr>
                <w:rFonts w:hint="eastAsia" w:ascii="宋体" w:hAnsi="宋体" w:cs="宋体"/>
                <w:color w:val="auto"/>
                <w:szCs w:val="21"/>
              </w:rPr>
              <w:t>④</w:t>
            </w:r>
            <w:r>
              <w:rPr>
                <w:snapToGrid w:val="0"/>
                <w:color w:val="auto"/>
                <w:szCs w:val="21"/>
              </w:rPr>
              <w:fldChar w:fldCharType="end"/>
            </w:r>
          </w:p>
        </w:tc>
        <w:tc>
          <w:tcPr>
            <w:tcW w:w="1023" w:type="dxa"/>
            <w:tcBorders>
              <w:top w:val="single" w:color="auto" w:sz="12" w:space="0"/>
              <w:bottom w:val="single" w:color="auto" w:sz="4" w:space="0"/>
            </w:tcBorders>
            <w:tcMar>
              <w:left w:w="28" w:type="dxa"/>
              <w:right w:w="28" w:type="dxa"/>
            </w:tcMar>
            <w:vAlign w:val="center"/>
          </w:tcPr>
          <w:p>
            <w:pPr>
              <w:jc w:val="center"/>
              <w:rPr>
                <w:snapToGrid w:val="0"/>
                <w:color w:val="auto"/>
                <w:spacing w:val="-16"/>
                <w:szCs w:val="21"/>
              </w:rPr>
            </w:pPr>
            <w:r>
              <w:rPr>
                <w:snapToGrid w:val="0"/>
                <w:color w:val="auto"/>
                <w:spacing w:val="-16"/>
                <w:szCs w:val="21"/>
              </w:rPr>
              <w:t>以新带老削减量（新建项目不填）</w:t>
            </w:r>
            <w:r>
              <w:rPr>
                <w:snapToGrid w:val="0"/>
                <w:color w:val="auto"/>
                <w:spacing w:val="-16"/>
                <w:szCs w:val="21"/>
              </w:rPr>
              <w:fldChar w:fldCharType="begin"/>
            </w:r>
            <w:r>
              <w:rPr>
                <w:snapToGrid w:val="0"/>
                <w:color w:val="auto"/>
                <w:spacing w:val="-16"/>
                <w:szCs w:val="21"/>
              </w:rPr>
              <w:instrText xml:space="preserve"> = 5 \* GB3 \* MERGEFORMAT </w:instrText>
            </w:r>
            <w:r>
              <w:rPr>
                <w:snapToGrid w:val="0"/>
                <w:color w:val="auto"/>
                <w:spacing w:val="-16"/>
                <w:szCs w:val="21"/>
              </w:rPr>
              <w:fldChar w:fldCharType="separate"/>
            </w:r>
            <w:r>
              <w:rPr>
                <w:rFonts w:hint="eastAsia" w:ascii="宋体" w:hAnsi="宋体" w:cs="宋体"/>
                <w:color w:val="auto"/>
                <w:szCs w:val="21"/>
              </w:rPr>
              <w:t>⑤</w:t>
            </w:r>
            <w:r>
              <w:rPr>
                <w:snapToGrid w:val="0"/>
                <w:color w:val="auto"/>
                <w:spacing w:val="-16"/>
                <w:szCs w:val="21"/>
              </w:rPr>
              <w:fldChar w:fldCharType="end"/>
            </w:r>
          </w:p>
        </w:tc>
        <w:tc>
          <w:tcPr>
            <w:tcW w:w="1670" w:type="dxa"/>
            <w:gridSpan w:val="2"/>
            <w:tcBorders>
              <w:top w:val="single" w:color="auto" w:sz="12" w:space="0"/>
              <w:bottom w:val="single" w:color="auto" w:sz="4" w:space="0"/>
            </w:tcBorders>
            <w:tcMar>
              <w:left w:w="28" w:type="dxa"/>
              <w:right w:w="28" w:type="dxa"/>
            </w:tcMar>
            <w:vAlign w:val="center"/>
          </w:tcPr>
          <w:p>
            <w:pPr>
              <w:jc w:val="center"/>
              <w:rPr>
                <w:snapToGrid w:val="0"/>
                <w:color w:val="auto"/>
                <w:spacing w:val="-16"/>
                <w:szCs w:val="21"/>
              </w:rPr>
            </w:pPr>
            <w:r>
              <w:rPr>
                <w:snapToGrid w:val="0"/>
                <w:color w:val="auto"/>
                <w:spacing w:val="-16"/>
                <w:szCs w:val="21"/>
              </w:rPr>
              <w:t>本项目建成后</w:t>
            </w:r>
          </w:p>
          <w:p>
            <w:pPr>
              <w:jc w:val="center"/>
              <w:rPr>
                <w:snapToGrid w:val="0"/>
                <w:color w:val="auto"/>
                <w:spacing w:val="-16"/>
                <w:szCs w:val="21"/>
              </w:rPr>
            </w:pPr>
            <w:r>
              <w:rPr>
                <w:snapToGrid w:val="0"/>
                <w:color w:val="auto"/>
                <w:spacing w:val="-16"/>
                <w:szCs w:val="21"/>
              </w:rPr>
              <w:t>全厂排放量（固体废物产生量）</w:t>
            </w:r>
            <w:r>
              <w:rPr>
                <w:snapToGrid w:val="0"/>
                <w:color w:val="auto"/>
                <w:spacing w:val="-16"/>
                <w:szCs w:val="21"/>
              </w:rPr>
              <w:fldChar w:fldCharType="begin"/>
            </w:r>
            <w:r>
              <w:rPr>
                <w:snapToGrid w:val="0"/>
                <w:color w:val="auto"/>
                <w:spacing w:val="-16"/>
                <w:szCs w:val="21"/>
              </w:rPr>
              <w:instrText xml:space="preserve"> = 6 \* GB3 \* MERGEFORMAT </w:instrText>
            </w:r>
            <w:r>
              <w:rPr>
                <w:snapToGrid w:val="0"/>
                <w:color w:val="auto"/>
                <w:spacing w:val="-16"/>
                <w:szCs w:val="21"/>
              </w:rPr>
              <w:fldChar w:fldCharType="separate"/>
            </w:r>
            <w:r>
              <w:rPr>
                <w:rFonts w:hint="eastAsia" w:ascii="宋体" w:hAnsi="宋体" w:cs="宋体"/>
                <w:color w:val="auto"/>
                <w:szCs w:val="21"/>
              </w:rPr>
              <w:t>⑥</w:t>
            </w:r>
            <w:r>
              <w:rPr>
                <w:snapToGrid w:val="0"/>
                <w:color w:val="auto"/>
                <w:spacing w:val="-16"/>
                <w:szCs w:val="21"/>
              </w:rPr>
              <w:fldChar w:fldCharType="end"/>
            </w:r>
          </w:p>
        </w:tc>
        <w:tc>
          <w:tcPr>
            <w:tcW w:w="1871" w:type="dxa"/>
            <w:gridSpan w:val="2"/>
            <w:tcBorders>
              <w:top w:val="single" w:color="auto" w:sz="12" w:space="0"/>
              <w:bottom w:val="single" w:color="auto" w:sz="4" w:space="0"/>
              <w:right w:val="single" w:color="auto" w:sz="12" w:space="0"/>
            </w:tcBorders>
            <w:tcMar>
              <w:left w:w="28" w:type="dxa"/>
              <w:right w:w="28" w:type="dxa"/>
            </w:tcMar>
            <w:vAlign w:val="center"/>
          </w:tcPr>
          <w:p>
            <w:pPr>
              <w:jc w:val="center"/>
              <w:rPr>
                <w:snapToGrid w:val="0"/>
                <w:color w:val="auto"/>
                <w:szCs w:val="21"/>
              </w:rPr>
            </w:pPr>
            <w:r>
              <w:rPr>
                <w:snapToGrid w:val="0"/>
                <w:color w:val="auto"/>
                <w:szCs w:val="21"/>
              </w:rPr>
              <w:t>变化量</w:t>
            </w:r>
          </w:p>
          <w:p>
            <w:pPr>
              <w:jc w:val="center"/>
              <w:rPr>
                <w:snapToGrid w:val="0"/>
                <w:color w:val="auto"/>
                <w:szCs w:val="21"/>
              </w:rPr>
            </w:pPr>
            <w:r>
              <w:rPr>
                <w:snapToGrid w:val="0"/>
                <w:color w:val="auto"/>
                <w:szCs w:val="21"/>
              </w:rPr>
              <w:fldChar w:fldCharType="begin"/>
            </w:r>
            <w:r>
              <w:rPr>
                <w:snapToGrid w:val="0"/>
                <w:color w:val="auto"/>
                <w:szCs w:val="21"/>
              </w:rPr>
              <w:instrText xml:space="preserve"> = 7 \* GB3 \* MERGEFORMAT </w:instrText>
            </w:r>
            <w:r>
              <w:rPr>
                <w:snapToGrid w:val="0"/>
                <w:color w:val="auto"/>
                <w:szCs w:val="21"/>
              </w:rPr>
              <w:fldChar w:fldCharType="separate"/>
            </w:r>
            <w:r>
              <w:rPr>
                <w:rFonts w:hint="eastAsia" w:ascii="宋体" w:hAnsi="宋体" w:cs="宋体"/>
                <w:color w:val="auto"/>
                <w:szCs w:val="21"/>
              </w:rPr>
              <w:t>⑦</w:t>
            </w:r>
            <w:r>
              <w:rPr>
                <w:snapToGrid w:val="0"/>
                <w:color w:val="auto"/>
                <w:szCs w:val="21"/>
              </w:rPr>
              <w:fldChar w:fldCharType="end"/>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38" w:type="dxa"/>
            <w:vMerge w:val="restart"/>
            <w:tcBorders>
              <w:top w:val="single" w:color="auto" w:sz="4" w:space="0"/>
              <w:left w:val="single" w:color="auto" w:sz="12" w:space="0"/>
            </w:tcBorders>
            <w:vAlign w:val="center"/>
          </w:tcPr>
          <w:p>
            <w:pPr>
              <w:jc w:val="center"/>
              <w:rPr>
                <w:snapToGrid w:val="0"/>
                <w:color w:val="auto"/>
                <w:szCs w:val="21"/>
              </w:rPr>
            </w:pPr>
            <w:r>
              <w:rPr>
                <w:snapToGrid w:val="0"/>
                <w:color w:val="auto"/>
                <w:szCs w:val="21"/>
              </w:rPr>
              <w:t>废气</w:t>
            </w:r>
          </w:p>
        </w:tc>
        <w:tc>
          <w:tcPr>
            <w:tcW w:w="450" w:type="dxa"/>
            <w:vMerge w:val="restart"/>
            <w:tcBorders>
              <w:top w:val="single" w:color="auto" w:sz="4" w:space="0"/>
              <w:bottom w:val="single" w:color="auto" w:sz="4" w:space="0"/>
            </w:tcBorders>
            <w:vAlign w:val="center"/>
          </w:tcPr>
          <w:p>
            <w:pPr>
              <w:jc w:val="center"/>
              <w:rPr>
                <w:color w:val="auto"/>
                <w:kern w:val="0"/>
                <w:szCs w:val="21"/>
              </w:rPr>
            </w:pPr>
            <w:r>
              <w:rPr>
                <w:color w:val="auto"/>
                <w:kern w:val="0"/>
                <w:szCs w:val="21"/>
              </w:rPr>
              <w:t>有组织</w:t>
            </w:r>
          </w:p>
        </w:tc>
        <w:tc>
          <w:tcPr>
            <w:tcW w:w="1350" w:type="dxa"/>
            <w:tcBorders>
              <w:top w:val="single" w:color="auto" w:sz="4" w:space="0"/>
              <w:bottom w:val="single" w:color="auto" w:sz="4" w:space="0"/>
            </w:tcBorders>
            <w:vAlign w:val="center"/>
          </w:tcPr>
          <w:p>
            <w:pPr>
              <w:pStyle w:val="30"/>
              <w:widowControl w:val="0"/>
              <w:spacing w:before="0" w:beforeAutospacing="0" w:after="0" w:afterAutospacing="0"/>
              <w:jc w:val="center"/>
              <w:rPr>
                <w:rFonts w:ascii="Times New Roman" w:hAnsi="Times New Roman"/>
                <w:color w:val="auto"/>
                <w:spacing w:val="-4"/>
                <w:sz w:val="21"/>
                <w:szCs w:val="21"/>
              </w:rPr>
            </w:pPr>
            <w:r>
              <w:rPr>
                <w:rFonts w:ascii="Times New Roman" w:hAnsi="Times New Roman"/>
                <w:color w:val="auto"/>
                <w:kern w:val="2"/>
                <w:sz w:val="21"/>
                <w:szCs w:val="21"/>
              </w:rPr>
              <w:t>VOCs（非甲烷总烃计）</w:t>
            </w:r>
          </w:p>
        </w:tc>
        <w:tc>
          <w:tcPr>
            <w:tcW w:w="1943" w:type="dxa"/>
            <w:gridSpan w:val="2"/>
            <w:tcBorders>
              <w:top w:val="single" w:color="auto" w:sz="4" w:space="0"/>
              <w:bottom w:val="single" w:color="auto" w:sz="4" w:space="0"/>
            </w:tcBorders>
            <w:vAlign w:val="center"/>
          </w:tcPr>
          <w:p>
            <w:pPr>
              <w:autoSpaceDE w:val="0"/>
              <w:spacing w:line="240" w:lineRule="atLeast"/>
              <w:jc w:val="center"/>
              <w:rPr>
                <w:snapToGrid w:val="0"/>
                <w:color w:val="auto"/>
                <w:szCs w:val="21"/>
              </w:rPr>
            </w:pPr>
            <w:r>
              <w:rPr>
                <w:color w:val="auto"/>
                <w:kern w:val="0"/>
                <w:szCs w:val="21"/>
              </w:rPr>
              <w:t>0.053</w:t>
            </w:r>
          </w:p>
        </w:tc>
        <w:tc>
          <w:tcPr>
            <w:tcW w:w="989" w:type="dxa"/>
            <w:tcBorders>
              <w:top w:val="single" w:color="auto" w:sz="4" w:space="0"/>
              <w:bottom w:val="single" w:color="auto" w:sz="4" w:space="0"/>
            </w:tcBorders>
            <w:vAlign w:val="center"/>
          </w:tcPr>
          <w:p>
            <w:pPr>
              <w:pStyle w:val="30"/>
              <w:widowControl w:val="0"/>
              <w:spacing w:before="0" w:beforeAutospacing="0" w:after="0" w:afterAutospacing="0"/>
              <w:jc w:val="center"/>
              <w:rPr>
                <w:rFonts w:ascii="Times New Roman" w:hAnsi="Times New Roman"/>
                <w:snapToGrid w:val="0"/>
                <w:color w:val="auto"/>
                <w:sz w:val="21"/>
                <w:szCs w:val="21"/>
              </w:rPr>
            </w:pPr>
            <w:r>
              <w:rPr>
                <w:rFonts w:ascii="Times New Roman" w:hAnsi="Times New Roman"/>
                <w:snapToGrid w:val="0"/>
                <w:color w:val="auto"/>
                <w:sz w:val="21"/>
                <w:szCs w:val="21"/>
              </w:rPr>
              <w:t>--</w:t>
            </w:r>
          </w:p>
        </w:tc>
        <w:tc>
          <w:tcPr>
            <w:tcW w:w="1696" w:type="dxa"/>
            <w:gridSpan w:val="2"/>
            <w:tcBorders>
              <w:top w:val="single" w:color="auto" w:sz="4" w:space="0"/>
              <w:bottom w:val="single" w:color="auto" w:sz="4" w:space="0"/>
            </w:tcBorders>
            <w:vAlign w:val="center"/>
          </w:tcPr>
          <w:p>
            <w:pPr>
              <w:pStyle w:val="30"/>
              <w:widowControl w:val="0"/>
              <w:spacing w:before="0" w:beforeAutospacing="0" w:after="0" w:afterAutospacing="0"/>
              <w:jc w:val="center"/>
              <w:rPr>
                <w:rFonts w:ascii="Times New Roman" w:hAnsi="Times New Roman"/>
                <w:color w:val="auto"/>
                <w:sz w:val="21"/>
                <w:szCs w:val="21"/>
                <w:shd w:val="clear" w:color="auto" w:fill="FFFFFF"/>
              </w:rPr>
            </w:pPr>
            <w:r>
              <w:rPr>
                <w:rFonts w:ascii="Times New Roman" w:hAnsi="Times New Roman"/>
                <w:snapToGrid w:val="0"/>
                <w:color w:val="auto"/>
                <w:sz w:val="21"/>
                <w:szCs w:val="21"/>
              </w:rPr>
              <w:t>--</w:t>
            </w:r>
          </w:p>
        </w:tc>
        <w:tc>
          <w:tcPr>
            <w:tcW w:w="1696" w:type="dxa"/>
            <w:gridSpan w:val="2"/>
            <w:tcBorders>
              <w:top w:val="single" w:color="auto" w:sz="4" w:space="0"/>
              <w:bottom w:val="single" w:color="auto" w:sz="4" w:space="0"/>
            </w:tcBorders>
            <w:vAlign w:val="center"/>
          </w:tcPr>
          <w:p>
            <w:pPr>
              <w:adjustRightInd w:val="0"/>
              <w:snapToGrid w:val="0"/>
              <w:jc w:val="center"/>
              <w:rPr>
                <w:color w:val="auto"/>
                <w:szCs w:val="21"/>
              </w:rPr>
            </w:pPr>
            <w:r>
              <w:rPr>
                <w:rFonts w:hint="eastAsia"/>
                <w:color w:val="auto"/>
                <w:szCs w:val="21"/>
              </w:rPr>
              <w:t>0.161</w:t>
            </w:r>
          </w:p>
        </w:tc>
        <w:tc>
          <w:tcPr>
            <w:tcW w:w="1023" w:type="dxa"/>
            <w:tcBorders>
              <w:top w:val="single" w:color="auto" w:sz="4" w:space="0"/>
              <w:bottom w:val="single" w:color="auto" w:sz="4" w:space="0"/>
            </w:tcBorders>
            <w:vAlign w:val="center"/>
          </w:tcPr>
          <w:p>
            <w:pPr>
              <w:pStyle w:val="30"/>
              <w:widowControl w:val="0"/>
              <w:spacing w:before="0" w:beforeAutospacing="0" w:after="0" w:afterAutospacing="0"/>
              <w:jc w:val="center"/>
              <w:rPr>
                <w:rFonts w:hint="default" w:ascii="Times New Roman" w:hAnsi="Times New Roman" w:eastAsia="宋体"/>
                <w:snapToGrid w:val="0"/>
                <w:color w:val="auto"/>
                <w:sz w:val="21"/>
                <w:szCs w:val="21"/>
                <w:lang w:val="en-US" w:eastAsia="zh-CN"/>
              </w:rPr>
            </w:pPr>
            <w:r>
              <w:rPr>
                <w:rFonts w:hint="eastAsia" w:ascii="Times New Roman" w:hAnsi="Times New Roman"/>
                <w:snapToGrid w:val="0"/>
                <w:color w:val="auto"/>
                <w:sz w:val="21"/>
                <w:szCs w:val="21"/>
                <w:lang w:val="en-US" w:eastAsia="zh-CN"/>
              </w:rPr>
              <w:t>0.002</w:t>
            </w:r>
          </w:p>
        </w:tc>
        <w:tc>
          <w:tcPr>
            <w:tcW w:w="1670" w:type="dxa"/>
            <w:gridSpan w:val="2"/>
            <w:tcBorders>
              <w:top w:val="single" w:color="auto" w:sz="4" w:space="0"/>
              <w:bottom w:val="single" w:color="auto" w:sz="4" w:space="0"/>
            </w:tcBorders>
            <w:vAlign w:val="center"/>
          </w:tcPr>
          <w:p>
            <w:pPr>
              <w:adjustRightInd w:val="0"/>
              <w:snapToGrid w:val="0"/>
              <w:jc w:val="center"/>
              <w:rPr>
                <w:rFonts w:hint="default" w:eastAsia="宋体"/>
                <w:color w:val="auto"/>
                <w:szCs w:val="21"/>
                <w:lang w:val="en-US" w:eastAsia="zh-CN"/>
              </w:rPr>
            </w:pPr>
            <w:r>
              <w:rPr>
                <w:color w:val="auto"/>
                <w:szCs w:val="21"/>
              </w:rPr>
              <w:t>0.</w:t>
            </w:r>
            <w:r>
              <w:rPr>
                <w:rFonts w:hint="eastAsia"/>
                <w:color w:val="auto"/>
                <w:szCs w:val="21"/>
              </w:rPr>
              <w:t>2</w:t>
            </w:r>
            <w:r>
              <w:rPr>
                <w:rFonts w:hint="eastAsia"/>
                <w:color w:val="auto"/>
                <w:szCs w:val="21"/>
                <w:lang w:val="en-US" w:eastAsia="zh-CN"/>
              </w:rPr>
              <w:t>12</w:t>
            </w:r>
          </w:p>
        </w:tc>
        <w:tc>
          <w:tcPr>
            <w:tcW w:w="1871" w:type="dxa"/>
            <w:gridSpan w:val="2"/>
            <w:tcBorders>
              <w:top w:val="single" w:color="auto" w:sz="4" w:space="0"/>
              <w:bottom w:val="single" w:color="auto" w:sz="4" w:space="0"/>
              <w:right w:val="single" w:color="auto" w:sz="12" w:space="0"/>
            </w:tcBorders>
            <w:vAlign w:val="center"/>
          </w:tcPr>
          <w:p>
            <w:pPr>
              <w:adjustRightInd w:val="0"/>
              <w:snapToGrid w:val="0"/>
              <w:jc w:val="center"/>
              <w:rPr>
                <w:rFonts w:hint="default" w:eastAsia="宋体"/>
                <w:color w:val="auto"/>
                <w:szCs w:val="21"/>
                <w:lang w:val="en-US" w:eastAsia="zh-CN"/>
              </w:rPr>
            </w:pPr>
            <w:r>
              <w:rPr>
                <w:color w:val="auto"/>
                <w:szCs w:val="21"/>
              </w:rPr>
              <w:t>+0.1</w:t>
            </w:r>
            <w:r>
              <w:rPr>
                <w:rFonts w:hint="eastAsia"/>
                <w:color w:val="auto"/>
                <w:szCs w:val="21"/>
                <w:lang w:val="en-US" w:eastAsia="zh-CN"/>
              </w:rPr>
              <w:t>59</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38" w:type="dxa"/>
            <w:vMerge w:val="continue"/>
            <w:tcBorders>
              <w:left w:val="single" w:color="auto" w:sz="12" w:space="0"/>
            </w:tcBorders>
            <w:vAlign w:val="center"/>
          </w:tcPr>
          <w:p>
            <w:pPr>
              <w:jc w:val="center"/>
              <w:rPr>
                <w:snapToGrid w:val="0"/>
                <w:color w:val="auto"/>
                <w:szCs w:val="21"/>
              </w:rPr>
            </w:pPr>
          </w:p>
        </w:tc>
        <w:tc>
          <w:tcPr>
            <w:tcW w:w="450" w:type="dxa"/>
            <w:vMerge w:val="continue"/>
            <w:tcBorders>
              <w:top w:val="single" w:color="auto" w:sz="4" w:space="0"/>
              <w:bottom w:val="single" w:color="auto" w:sz="4" w:space="0"/>
            </w:tcBorders>
            <w:vAlign w:val="center"/>
          </w:tcPr>
          <w:p>
            <w:pPr>
              <w:jc w:val="center"/>
              <w:rPr>
                <w:color w:val="auto"/>
                <w:kern w:val="0"/>
                <w:szCs w:val="21"/>
              </w:rPr>
            </w:pPr>
          </w:p>
        </w:tc>
        <w:tc>
          <w:tcPr>
            <w:tcW w:w="1350" w:type="dxa"/>
            <w:tcBorders>
              <w:top w:val="single" w:color="auto" w:sz="4" w:space="0"/>
            </w:tcBorders>
            <w:vAlign w:val="center"/>
          </w:tcPr>
          <w:p>
            <w:pPr>
              <w:pStyle w:val="30"/>
              <w:widowControl w:val="0"/>
              <w:spacing w:before="0" w:beforeAutospacing="0" w:after="0" w:afterAutospacing="0"/>
              <w:jc w:val="center"/>
              <w:rPr>
                <w:rFonts w:ascii="Times New Roman" w:hAnsi="Times New Roman"/>
                <w:color w:val="auto"/>
                <w:spacing w:val="-4"/>
                <w:sz w:val="21"/>
                <w:szCs w:val="21"/>
              </w:rPr>
            </w:pPr>
            <w:r>
              <w:rPr>
                <w:rFonts w:ascii="Times New Roman" w:hAnsi="Times New Roman"/>
                <w:color w:val="auto"/>
                <w:kern w:val="2"/>
                <w:sz w:val="21"/>
                <w:szCs w:val="21"/>
              </w:rPr>
              <w:t>氯化氢</w:t>
            </w:r>
          </w:p>
        </w:tc>
        <w:tc>
          <w:tcPr>
            <w:tcW w:w="1943" w:type="dxa"/>
            <w:gridSpan w:val="2"/>
            <w:tcBorders>
              <w:top w:val="single" w:color="auto" w:sz="4" w:space="0"/>
            </w:tcBorders>
            <w:vAlign w:val="center"/>
          </w:tcPr>
          <w:p>
            <w:pPr>
              <w:autoSpaceDE w:val="0"/>
              <w:spacing w:line="240" w:lineRule="atLeast"/>
              <w:jc w:val="center"/>
              <w:rPr>
                <w:snapToGrid w:val="0"/>
                <w:color w:val="auto"/>
                <w:szCs w:val="21"/>
              </w:rPr>
            </w:pPr>
            <w:r>
              <w:rPr>
                <w:color w:val="auto"/>
                <w:kern w:val="0"/>
                <w:szCs w:val="21"/>
              </w:rPr>
              <w:t>0.006</w:t>
            </w:r>
          </w:p>
        </w:tc>
        <w:tc>
          <w:tcPr>
            <w:tcW w:w="989" w:type="dxa"/>
            <w:tcBorders>
              <w:top w:val="single" w:color="auto" w:sz="4" w:space="0"/>
            </w:tcBorders>
            <w:vAlign w:val="center"/>
          </w:tcPr>
          <w:p>
            <w:pPr>
              <w:pStyle w:val="30"/>
              <w:widowControl w:val="0"/>
              <w:spacing w:before="0" w:beforeAutospacing="0" w:after="0" w:afterAutospacing="0"/>
              <w:jc w:val="center"/>
              <w:rPr>
                <w:rFonts w:ascii="Times New Roman" w:hAnsi="Times New Roman"/>
                <w:snapToGrid w:val="0"/>
                <w:color w:val="auto"/>
                <w:sz w:val="21"/>
                <w:szCs w:val="21"/>
              </w:rPr>
            </w:pPr>
            <w:r>
              <w:rPr>
                <w:rFonts w:ascii="Times New Roman" w:hAnsi="Times New Roman"/>
                <w:color w:val="auto"/>
                <w:sz w:val="21"/>
                <w:szCs w:val="21"/>
              </w:rPr>
              <w:t>0.0268</w:t>
            </w:r>
          </w:p>
        </w:tc>
        <w:tc>
          <w:tcPr>
            <w:tcW w:w="1696" w:type="dxa"/>
            <w:gridSpan w:val="2"/>
            <w:tcBorders>
              <w:top w:val="single" w:color="auto" w:sz="4" w:space="0"/>
            </w:tcBorders>
            <w:vAlign w:val="center"/>
          </w:tcPr>
          <w:p>
            <w:pPr>
              <w:pStyle w:val="30"/>
              <w:widowControl w:val="0"/>
              <w:spacing w:before="0" w:beforeAutospacing="0" w:after="0" w:afterAutospacing="0"/>
              <w:jc w:val="center"/>
              <w:rPr>
                <w:rFonts w:ascii="Times New Roman" w:hAnsi="Times New Roman"/>
                <w:color w:val="auto"/>
                <w:sz w:val="21"/>
                <w:szCs w:val="21"/>
                <w:shd w:val="clear" w:color="auto" w:fill="FFFFFF"/>
              </w:rPr>
            </w:pPr>
            <w:r>
              <w:rPr>
                <w:rFonts w:ascii="Times New Roman" w:hAnsi="Times New Roman"/>
                <w:snapToGrid w:val="0"/>
                <w:color w:val="auto"/>
                <w:sz w:val="21"/>
                <w:szCs w:val="21"/>
              </w:rPr>
              <w:t>--</w:t>
            </w:r>
          </w:p>
        </w:tc>
        <w:tc>
          <w:tcPr>
            <w:tcW w:w="1696" w:type="dxa"/>
            <w:gridSpan w:val="2"/>
            <w:tcBorders>
              <w:top w:val="single" w:color="auto" w:sz="4" w:space="0"/>
            </w:tcBorders>
            <w:vAlign w:val="center"/>
          </w:tcPr>
          <w:p>
            <w:pPr>
              <w:adjustRightInd w:val="0"/>
              <w:snapToGrid w:val="0"/>
              <w:jc w:val="center"/>
              <w:rPr>
                <w:color w:val="auto"/>
                <w:szCs w:val="21"/>
              </w:rPr>
            </w:pPr>
            <w:r>
              <w:rPr>
                <w:color w:val="auto"/>
                <w:szCs w:val="21"/>
              </w:rPr>
              <w:t>0.00</w:t>
            </w:r>
            <w:r>
              <w:rPr>
                <w:rFonts w:hint="eastAsia"/>
                <w:color w:val="auto"/>
                <w:szCs w:val="21"/>
              </w:rPr>
              <w:t>4</w:t>
            </w:r>
          </w:p>
        </w:tc>
        <w:tc>
          <w:tcPr>
            <w:tcW w:w="1023" w:type="dxa"/>
            <w:tcBorders>
              <w:top w:val="single" w:color="auto" w:sz="4" w:space="0"/>
            </w:tcBorders>
            <w:vAlign w:val="center"/>
          </w:tcPr>
          <w:p>
            <w:pPr>
              <w:pStyle w:val="30"/>
              <w:widowControl w:val="0"/>
              <w:spacing w:before="0" w:beforeAutospacing="0" w:after="0" w:afterAutospacing="0"/>
              <w:jc w:val="center"/>
              <w:rPr>
                <w:rFonts w:ascii="Times New Roman" w:hAnsi="Times New Roman"/>
                <w:snapToGrid w:val="0"/>
                <w:color w:val="auto"/>
                <w:sz w:val="21"/>
                <w:szCs w:val="21"/>
              </w:rPr>
            </w:pPr>
            <w:r>
              <w:rPr>
                <w:rFonts w:ascii="Times New Roman" w:hAnsi="Times New Roman"/>
                <w:snapToGrid w:val="0"/>
                <w:color w:val="auto"/>
                <w:sz w:val="21"/>
                <w:szCs w:val="21"/>
              </w:rPr>
              <w:t>--</w:t>
            </w:r>
          </w:p>
        </w:tc>
        <w:tc>
          <w:tcPr>
            <w:tcW w:w="1670" w:type="dxa"/>
            <w:gridSpan w:val="2"/>
            <w:tcBorders>
              <w:top w:val="single" w:color="auto" w:sz="4" w:space="0"/>
            </w:tcBorders>
            <w:vAlign w:val="center"/>
          </w:tcPr>
          <w:p>
            <w:pPr>
              <w:adjustRightInd w:val="0"/>
              <w:snapToGrid w:val="0"/>
              <w:jc w:val="center"/>
              <w:rPr>
                <w:color w:val="auto"/>
                <w:szCs w:val="21"/>
              </w:rPr>
            </w:pPr>
            <w:r>
              <w:rPr>
                <w:color w:val="auto"/>
                <w:szCs w:val="21"/>
              </w:rPr>
              <w:t>0.0</w:t>
            </w:r>
            <w:r>
              <w:rPr>
                <w:rFonts w:hint="eastAsia"/>
                <w:color w:val="auto"/>
                <w:szCs w:val="21"/>
              </w:rPr>
              <w:t>1</w:t>
            </w:r>
          </w:p>
        </w:tc>
        <w:tc>
          <w:tcPr>
            <w:tcW w:w="1871" w:type="dxa"/>
            <w:gridSpan w:val="2"/>
            <w:tcBorders>
              <w:top w:val="single" w:color="auto" w:sz="4" w:space="0"/>
              <w:right w:val="single" w:color="auto" w:sz="12" w:space="0"/>
            </w:tcBorders>
            <w:vAlign w:val="center"/>
          </w:tcPr>
          <w:p>
            <w:pPr>
              <w:adjustRightInd w:val="0"/>
              <w:snapToGrid w:val="0"/>
              <w:jc w:val="center"/>
              <w:rPr>
                <w:color w:val="auto"/>
                <w:szCs w:val="21"/>
              </w:rPr>
            </w:pPr>
            <w:r>
              <w:rPr>
                <w:color w:val="auto"/>
                <w:szCs w:val="21"/>
              </w:rPr>
              <w:t>+0.00</w:t>
            </w:r>
            <w:r>
              <w:rPr>
                <w:rFonts w:hint="eastAsia"/>
                <w:color w:val="auto"/>
                <w:szCs w:val="21"/>
              </w:rPr>
              <w:t>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38" w:type="dxa"/>
            <w:vMerge w:val="continue"/>
            <w:tcBorders>
              <w:left w:val="single" w:color="auto" w:sz="12" w:space="0"/>
            </w:tcBorders>
            <w:vAlign w:val="center"/>
          </w:tcPr>
          <w:p>
            <w:pPr>
              <w:jc w:val="center"/>
              <w:rPr>
                <w:snapToGrid w:val="0"/>
                <w:color w:val="auto"/>
                <w:szCs w:val="21"/>
              </w:rPr>
            </w:pPr>
          </w:p>
        </w:tc>
        <w:tc>
          <w:tcPr>
            <w:tcW w:w="450" w:type="dxa"/>
            <w:vMerge w:val="continue"/>
            <w:tcBorders>
              <w:top w:val="single" w:color="auto" w:sz="4" w:space="0"/>
              <w:bottom w:val="single" w:color="auto" w:sz="4" w:space="0"/>
            </w:tcBorders>
            <w:vAlign w:val="center"/>
          </w:tcPr>
          <w:p>
            <w:pPr>
              <w:jc w:val="center"/>
              <w:rPr>
                <w:color w:val="auto"/>
                <w:kern w:val="0"/>
                <w:szCs w:val="21"/>
              </w:rPr>
            </w:pPr>
          </w:p>
        </w:tc>
        <w:tc>
          <w:tcPr>
            <w:tcW w:w="1350" w:type="dxa"/>
            <w:tcBorders>
              <w:top w:val="single" w:color="auto" w:sz="4" w:space="0"/>
              <w:bottom w:val="single" w:color="auto" w:sz="4" w:space="0"/>
            </w:tcBorders>
            <w:vAlign w:val="center"/>
          </w:tcPr>
          <w:p>
            <w:pPr>
              <w:pStyle w:val="30"/>
              <w:widowControl w:val="0"/>
              <w:spacing w:before="0" w:beforeAutospacing="0" w:after="0" w:afterAutospacing="0"/>
              <w:jc w:val="center"/>
              <w:rPr>
                <w:rFonts w:ascii="Times New Roman" w:hAnsi="Times New Roman"/>
                <w:color w:val="auto"/>
                <w:spacing w:val="-4"/>
                <w:sz w:val="21"/>
                <w:szCs w:val="21"/>
              </w:rPr>
            </w:pPr>
            <w:r>
              <w:rPr>
                <w:rFonts w:ascii="Times New Roman" w:hAnsi="Times New Roman"/>
                <w:color w:val="auto"/>
                <w:sz w:val="21"/>
                <w:szCs w:val="21"/>
              </w:rPr>
              <w:t>烟尘</w:t>
            </w:r>
          </w:p>
        </w:tc>
        <w:tc>
          <w:tcPr>
            <w:tcW w:w="1943" w:type="dxa"/>
            <w:gridSpan w:val="2"/>
            <w:tcBorders>
              <w:top w:val="single" w:color="auto" w:sz="4" w:space="0"/>
              <w:bottom w:val="single" w:color="auto" w:sz="4" w:space="0"/>
            </w:tcBorders>
            <w:vAlign w:val="center"/>
          </w:tcPr>
          <w:p>
            <w:pPr>
              <w:pStyle w:val="30"/>
              <w:widowControl w:val="0"/>
              <w:spacing w:before="0" w:beforeAutospacing="0" w:after="0" w:afterAutospacing="0"/>
              <w:jc w:val="center"/>
              <w:rPr>
                <w:rFonts w:ascii="Times New Roman" w:hAnsi="Times New Roman"/>
                <w:snapToGrid w:val="0"/>
                <w:color w:val="auto"/>
                <w:sz w:val="21"/>
                <w:szCs w:val="21"/>
              </w:rPr>
            </w:pPr>
            <w:r>
              <w:rPr>
                <w:rFonts w:ascii="Times New Roman" w:hAnsi="Times New Roman"/>
                <w:snapToGrid w:val="0"/>
                <w:color w:val="auto"/>
                <w:sz w:val="21"/>
                <w:szCs w:val="21"/>
              </w:rPr>
              <w:t>--</w:t>
            </w:r>
          </w:p>
        </w:tc>
        <w:tc>
          <w:tcPr>
            <w:tcW w:w="989" w:type="dxa"/>
            <w:tcBorders>
              <w:top w:val="single" w:color="auto" w:sz="4" w:space="0"/>
              <w:bottom w:val="single" w:color="auto" w:sz="4" w:space="0"/>
            </w:tcBorders>
            <w:vAlign w:val="center"/>
          </w:tcPr>
          <w:p>
            <w:pPr>
              <w:pStyle w:val="30"/>
              <w:widowControl w:val="0"/>
              <w:spacing w:before="0" w:beforeAutospacing="0" w:after="0" w:afterAutospacing="0"/>
              <w:jc w:val="center"/>
              <w:rPr>
                <w:rFonts w:ascii="Times New Roman" w:hAnsi="Times New Roman"/>
                <w:snapToGrid w:val="0"/>
                <w:color w:val="auto"/>
                <w:sz w:val="21"/>
                <w:szCs w:val="21"/>
              </w:rPr>
            </w:pPr>
            <w:r>
              <w:rPr>
                <w:rFonts w:ascii="Times New Roman" w:hAnsi="Times New Roman"/>
                <w:snapToGrid w:val="0"/>
                <w:color w:val="auto"/>
                <w:sz w:val="21"/>
                <w:szCs w:val="21"/>
              </w:rPr>
              <w:t>--</w:t>
            </w:r>
          </w:p>
        </w:tc>
        <w:tc>
          <w:tcPr>
            <w:tcW w:w="1696" w:type="dxa"/>
            <w:gridSpan w:val="2"/>
            <w:tcBorders>
              <w:top w:val="single" w:color="auto" w:sz="4" w:space="0"/>
              <w:bottom w:val="single" w:color="auto" w:sz="4" w:space="0"/>
            </w:tcBorders>
            <w:vAlign w:val="center"/>
          </w:tcPr>
          <w:p>
            <w:pPr>
              <w:pStyle w:val="30"/>
              <w:widowControl w:val="0"/>
              <w:spacing w:before="0" w:beforeAutospacing="0" w:after="0" w:afterAutospacing="0"/>
              <w:jc w:val="center"/>
              <w:rPr>
                <w:rFonts w:ascii="Times New Roman" w:hAnsi="Times New Roman"/>
                <w:color w:val="auto"/>
                <w:sz w:val="21"/>
                <w:szCs w:val="21"/>
              </w:rPr>
            </w:pPr>
            <w:r>
              <w:rPr>
                <w:rFonts w:ascii="Times New Roman" w:hAnsi="Times New Roman"/>
                <w:snapToGrid w:val="0"/>
                <w:color w:val="auto"/>
                <w:sz w:val="21"/>
                <w:szCs w:val="21"/>
              </w:rPr>
              <w:t>--</w:t>
            </w:r>
          </w:p>
        </w:tc>
        <w:tc>
          <w:tcPr>
            <w:tcW w:w="1696" w:type="dxa"/>
            <w:gridSpan w:val="2"/>
            <w:tcBorders>
              <w:top w:val="single" w:color="auto" w:sz="4" w:space="0"/>
              <w:bottom w:val="single" w:color="auto" w:sz="4" w:space="0"/>
            </w:tcBorders>
            <w:vAlign w:val="center"/>
          </w:tcPr>
          <w:p>
            <w:pPr>
              <w:adjustRightInd w:val="0"/>
              <w:snapToGrid w:val="0"/>
              <w:jc w:val="center"/>
              <w:rPr>
                <w:color w:val="auto"/>
                <w:szCs w:val="21"/>
              </w:rPr>
            </w:pPr>
            <w:r>
              <w:rPr>
                <w:color w:val="auto"/>
                <w:szCs w:val="21"/>
              </w:rPr>
              <w:t>0.00</w:t>
            </w:r>
            <w:r>
              <w:rPr>
                <w:rFonts w:hint="eastAsia"/>
                <w:color w:val="auto"/>
                <w:szCs w:val="21"/>
              </w:rPr>
              <w:t>0</w:t>
            </w:r>
          </w:p>
        </w:tc>
        <w:tc>
          <w:tcPr>
            <w:tcW w:w="1023" w:type="dxa"/>
            <w:tcBorders>
              <w:top w:val="single" w:color="auto" w:sz="4" w:space="0"/>
              <w:bottom w:val="single" w:color="auto" w:sz="4" w:space="0"/>
            </w:tcBorders>
            <w:vAlign w:val="center"/>
          </w:tcPr>
          <w:p>
            <w:pPr>
              <w:pStyle w:val="30"/>
              <w:widowControl w:val="0"/>
              <w:spacing w:before="0" w:beforeAutospacing="0" w:after="0" w:afterAutospacing="0"/>
              <w:jc w:val="center"/>
              <w:rPr>
                <w:rFonts w:ascii="Times New Roman" w:hAnsi="Times New Roman"/>
                <w:snapToGrid w:val="0"/>
                <w:color w:val="auto"/>
                <w:sz w:val="21"/>
                <w:szCs w:val="21"/>
              </w:rPr>
            </w:pPr>
            <w:r>
              <w:rPr>
                <w:rFonts w:ascii="Times New Roman" w:hAnsi="Times New Roman"/>
                <w:snapToGrid w:val="0"/>
                <w:color w:val="auto"/>
                <w:sz w:val="21"/>
                <w:szCs w:val="21"/>
              </w:rPr>
              <w:t>--</w:t>
            </w:r>
          </w:p>
        </w:tc>
        <w:tc>
          <w:tcPr>
            <w:tcW w:w="1670" w:type="dxa"/>
            <w:gridSpan w:val="2"/>
            <w:tcBorders>
              <w:top w:val="single" w:color="auto" w:sz="4" w:space="0"/>
              <w:bottom w:val="single" w:color="auto" w:sz="4" w:space="0"/>
            </w:tcBorders>
            <w:vAlign w:val="center"/>
          </w:tcPr>
          <w:p>
            <w:pPr>
              <w:adjustRightInd w:val="0"/>
              <w:snapToGrid w:val="0"/>
              <w:jc w:val="center"/>
              <w:rPr>
                <w:color w:val="auto"/>
                <w:szCs w:val="21"/>
              </w:rPr>
            </w:pPr>
            <w:r>
              <w:rPr>
                <w:color w:val="auto"/>
                <w:szCs w:val="21"/>
              </w:rPr>
              <w:t>0.006</w:t>
            </w:r>
          </w:p>
        </w:tc>
        <w:tc>
          <w:tcPr>
            <w:tcW w:w="1871" w:type="dxa"/>
            <w:gridSpan w:val="2"/>
            <w:tcBorders>
              <w:top w:val="single" w:color="auto" w:sz="4" w:space="0"/>
              <w:bottom w:val="single" w:color="auto" w:sz="4" w:space="0"/>
              <w:right w:val="single" w:color="auto" w:sz="12" w:space="0"/>
            </w:tcBorders>
            <w:vAlign w:val="center"/>
          </w:tcPr>
          <w:p>
            <w:pPr>
              <w:adjustRightInd w:val="0"/>
              <w:snapToGrid w:val="0"/>
              <w:jc w:val="center"/>
              <w:rPr>
                <w:color w:val="auto"/>
                <w:szCs w:val="21"/>
              </w:rPr>
            </w:pPr>
            <w:r>
              <w:rPr>
                <w:color w:val="auto"/>
                <w:szCs w:val="21"/>
              </w:rPr>
              <w:t>+0.006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38" w:type="dxa"/>
            <w:vMerge w:val="continue"/>
            <w:tcBorders>
              <w:left w:val="single" w:color="auto" w:sz="12" w:space="0"/>
            </w:tcBorders>
            <w:vAlign w:val="center"/>
          </w:tcPr>
          <w:p>
            <w:pPr>
              <w:jc w:val="center"/>
              <w:rPr>
                <w:snapToGrid w:val="0"/>
                <w:color w:val="auto"/>
                <w:szCs w:val="21"/>
              </w:rPr>
            </w:pPr>
          </w:p>
        </w:tc>
        <w:tc>
          <w:tcPr>
            <w:tcW w:w="450" w:type="dxa"/>
            <w:vMerge w:val="continue"/>
            <w:tcBorders>
              <w:top w:val="single" w:color="auto" w:sz="4" w:space="0"/>
              <w:bottom w:val="single" w:color="auto" w:sz="4" w:space="0"/>
            </w:tcBorders>
            <w:vAlign w:val="center"/>
          </w:tcPr>
          <w:p>
            <w:pPr>
              <w:jc w:val="center"/>
              <w:rPr>
                <w:color w:val="auto"/>
                <w:kern w:val="0"/>
                <w:szCs w:val="21"/>
              </w:rPr>
            </w:pPr>
          </w:p>
        </w:tc>
        <w:tc>
          <w:tcPr>
            <w:tcW w:w="1350" w:type="dxa"/>
            <w:tcBorders>
              <w:top w:val="single" w:color="auto" w:sz="4" w:space="0"/>
              <w:bottom w:val="single" w:color="auto" w:sz="4" w:space="0"/>
            </w:tcBorders>
            <w:vAlign w:val="center"/>
          </w:tcPr>
          <w:p>
            <w:pPr>
              <w:pStyle w:val="30"/>
              <w:widowControl w:val="0"/>
              <w:spacing w:before="0" w:beforeAutospacing="0" w:after="0" w:afterAutospacing="0"/>
              <w:jc w:val="center"/>
              <w:rPr>
                <w:rFonts w:ascii="Times New Roman" w:hAnsi="Times New Roman"/>
                <w:color w:val="auto"/>
                <w:spacing w:val="-4"/>
                <w:sz w:val="21"/>
                <w:szCs w:val="21"/>
              </w:rPr>
            </w:pPr>
            <w:r>
              <w:rPr>
                <w:rFonts w:ascii="Times New Roman" w:hAnsi="Times New Roman"/>
                <w:color w:val="auto"/>
                <w:kern w:val="2"/>
                <w:sz w:val="21"/>
                <w:szCs w:val="21"/>
              </w:rPr>
              <w:t>二氧化硫</w:t>
            </w:r>
          </w:p>
        </w:tc>
        <w:tc>
          <w:tcPr>
            <w:tcW w:w="1943" w:type="dxa"/>
            <w:gridSpan w:val="2"/>
            <w:tcBorders>
              <w:top w:val="single" w:color="auto" w:sz="4" w:space="0"/>
              <w:bottom w:val="single" w:color="auto" w:sz="4" w:space="0"/>
            </w:tcBorders>
            <w:vAlign w:val="center"/>
          </w:tcPr>
          <w:p>
            <w:pPr>
              <w:pStyle w:val="30"/>
              <w:widowControl w:val="0"/>
              <w:spacing w:before="0" w:beforeAutospacing="0" w:after="0" w:afterAutospacing="0"/>
              <w:jc w:val="center"/>
              <w:rPr>
                <w:rFonts w:ascii="Times New Roman" w:hAnsi="Times New Roman"/>
                <w:color w:val="auto"/>
                <w:sz w:val="21"/>
                <w:szCs w:val="21"/>
              </w:rPr>
            </w:pPr>
            <w:r>
              <w:rPr>
                <w:rFonts w:ascii="Times New Roman" w:hAnsi="Times New Roman"/>
                <w:color w:val="auto"/>
                <w:sz w:val="21"/>
                <w:szCs w:val="21"/>
              </w:rPr>
              <w:t>--</w:t>
            </w:r>
          </w:p>
        </w:tc>
        <w:tc>
          <w:tcPr>
            <w:tcW w:w="989" w:type="dxa"/>
            <w:tcBorders>
              <w:top w:val="single" w:color="auto" w:sz="4" w:space="0"/>
              <w:bottom w:val="single" w:color="auto" w:sz="4" w:space="0"/>
            </w:tcBorders>
            <w:vAlign w:val="center"/>
          </w:tcPr>
          <w:p>
            <w:pPr>
              <w:pStyle w:val="30"/>
              <w:widowControl w:val="0"/>
              <w:spacing w:before="0" w:beforeAutospacing="0" w:after="0" w:afterAutospacing="0"/>
              <w:jc w:val="center"/>
              <w:rPr>
                <w:rFonts w:ascii="Times New Roman" w:hAnsi="Times New Roman"/>
                <w:snapToGrid w:val="0"/>
                <w:color w:val="auto"/>
                <w:sz w:val="21"/>
                <w:szCs w:val="21"/>
              </w:rPr>
            </w:pPr>
            <w:r>
              <w:rPr>
                <w:rFonts w:ascii="Times New Roman" w:hAnsi="Times New Roman"/>
                <w:snapToGrid w:val="0"/>
                <w:color w:val="auto"/>
                <w:sz w:val="21"/>
                <w:szCs w:val="21"/>
              </w:rPr>
              <w:t>--</w:t>
            </w:r>
          </w:p>
        </w:tc>
        <w:tc>
          <w:tcPr>
            <w:tcW w:w="1696" w:type="dxa"/>
            <w:gridSpan w:val="2"/>
            <w:tcBorders>
              <w:top w:val="single" w:color="auto" w:sz="4" w:space="0"/>
              <w:bottom w:val="single" w:color="auto" w:sz="4" w:space="0"/>
            </w:tcBorders>
            <w:vAlign w:val="center"/>
          </w:tcPr>
          <w:p>
            <w:pPr>
              <w:pStyle w:val="30"/>
              <w:widowControl w:val="0"/>
              <w:spacing w:before="0" w:beforeAutospacing="0" w:after="0" w:afterAutospacing="0"/>
              <w:jc w:val="center"/>
              <w:rPr>
                <w:rFonts w:ascii="Times New Roman" w:hAnsi="Times New Roman"/>
                <w:bCs/>
                <w:color w:val="auto"/>
                <w:sz w:val="21"/>
                <w:szCs w:val="21"/>
              </w:rPr>
            </w:pPr>
            <w:r>
              <w:rPr>
                <w:rFonts w:ascii="Times New Roman" w:hAnsi="Times New Roman"/>
                <w:snapToGrid w:val="0"/>
                <w:color w:val="auto"/>
                <w:sz w:val="21"/>
                <w:szCs w:val="21"/>
              </w:rPr>
              <w:t>--</w:t>
            </w:r>
          </w:p>
        </w:tc>
        <w:tc>
          <w:tcPr>
            <w:tcW w:w="1696" w:type="dxa"/>
            <w:gridSpan w:val="2"/>
            <w:tcBorders>
              <w:top w:val="single" w:color="auto" w:sz="4" w:space="0"/>
              <w:bottom w:val="single" w:color="auto" w:sz="4" w:space="0"/>
            </w:tcBorders>
            <w:vAlign w:val="center"/>
          </w:tcPr>
          <w:p>
            <w:pPr>
              <w:adjustRightInd w:val="0"/>
              <w:snapToGrid w:val="0"/>
              <w:jc w:val="center"/>
              <w:rPr>
                <w:color w:val="auto"/>
                <w:szCs w:val="21"/>
              </w:rPr>
            </w:pPr>
            <w:r>
              <w:rPr>
                <w:color w:val="auto"/>
                <w:szCs w:val="21"/>
              </w:rPr>
              <w:t>0.000</w:t>
            </w:r>
          </w:p>
        </w:tc>
        <w:tc>
          <w:tcPr>
            <w:tcW w:w="1023" w:type="dxa"/>
            <w:tcBorders>
              <w:top w:val="single" w:color="auto" w:sz="4" w:space="0"/>
              <w:bottom w:val="single" w:color="auto" w:sz="4" w:space="0"/>
            </w:tcBorders>
            <w:vAlign w:val="center"/>
          </w:tcPr>
          <w:p>
            <w:pPr>
              <w:pStyle w:val="30"/>
              <w:widowControl w:val="0"/>
              <w:spacing w:before="0" w:beforeAutospacing="0" w:after="0" w:afterAutospacing="0"/>
              <w:jc w:val="center"/>
              <w:rPr>
                <w:rFonts w:ascii="Times New Roman" w:hAnsi="Times New Roman"/>
                <w:color w:val="auto"/>
                <w:sz w:val="21"/>
                <w:szCs w:val="21"/>
              </w:rPr>
            </w:pPr>
            <w:r>
              <w:rPr>
                <w:rFonts w:ascii="Times New Roman" w:hAnsi="Times New Roman"/>
                <w:snapToGrid w:val="0"/>
                <w:color w:val="auto"/>
                <w:sz w:val="21"/>
                <w:szCs w:val="21"/>
              </w:rPr>
              <w:t>--</w:t>
            </w:r>
          </w:p>
        </w:tc>
        <w:tc>
          <w:tcPr>
            <w:tcW w:w="1670" w:type="dxa"/>
            <w:gridSpan w:val="2"/>
            <w:tcBorders>
              <w:top w:val="single" w:color="auto" w:sz="4" w:space="0"/>
              <w:bottom w:val="single" w:color="auto" w:sz="4" w:space="0"/>
            </w:tcBorders>
            <w:vAlign w:val="center"/>
          </w:tcPr>
          <w:p>
            <w:pPr>
              <w:adjustRightInd w:val="0"/>
              <w:snapToGrid w:val="0"/>
              <w:jc w:val="center"/>
              <w:rPr>
                <w:color w:val="auto"/>
                <w:szCs w:val="21"/>
              </w:rPr>
            </w:pPr>
            <w:r>
              <w:rPr>
                <w:color w:val="auto"/>
                <w:szCs w:val="21"/>
              </w:rPr>
              <w:t>0.000</w:t>
            </w:r>
          </w:p>
        </w:tc>
        <w:tc>
          <w:tcPr>
            <w:tcW w:w="1871" w:type="dxa"/>
            <w:gridSpan w:val="2"/>
            <w:tcBorders>
              <w:top w:val="single" w:color="auto" w:sz="4" w:space="0"/>
              <w:bottom w:val="single" w:color="auto" w:sz="4" w:space="0"/>
              <w:right w:val="single" w:color="auto" w:sz="12" w:space="0"/>
            </w:tcBorders>
            <w:vAlign w:val="center"/>
          </w:tcPr>
          <w:p>
            <w:pPr>
              <w:adjustRightInd w:val="0"/>
              <w:snapToGrid w:val="0"/>
              <w:jc w:val="center"/>
              <w:rPr>
                <w:color w:val="auto"/>
                <w:szCs w:val="21"/>
              </w:rPr>
            </w:pPr>
            <w:r>
              <w:rPr>
                <w:color w:val="auto"/>
                <w:szCs w:val="21"/>
              </w:rPr>
              <w:t>+0.000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38" w:type="dxa"/>
            <w:vMerge w:val="continue"/>
            <w:tcBorders>
              <w:left w:val="single" w:color="auto" w:sz="12" w:space="0"/>
            </w:tcBorders>
            <w:vAlign w:val="center"/>
          </w:tcPr>
          <w:p>
            <w:pPr>
              <w:jc w:val="center"/>
              <w:rPr>
                <w:snapToGrid w:val="0"/>
                <w:color w:val="auto"/>
                <w:szCs w:val="21"/>
              </w:rPr>
            </w:pPr>
          </w:p>
        </w:tc>
        <w:tc>
          <w:tcPr>
            <w:tcW w:w="450" w:type="dxa"/>
            <w:vMerge w:val="continue"/>
            <w:tcBorders>
              <w:top w:val="single" w:color="auto" w:sz="4" w:space="0"/>
              <w:bottom w:val="single" w:color="auto" w:sz="4" w:space="0"/>
            </w:tcBorders>
            <w:vAlign w:val="center"/>
          </w:tcPr>
          <w:p>
            <w:pPr>
              <w:jc w:val="center"/>
              <w:rPr>
                <w:color w:val="auto"/>
                <w:kern w:val="0"/>
                <w:szCs w:val="21"/>
              </w:rPr>
            </w:pPr>
          </w:p>
        </w:tc>
        <w:tc>
          <w:tcPr>
            <w:tcW w:w="1350" w:type="dxa"/>
            <w:tcBorders>
              <w:top w:val="single" w:color="auto" w:sz="4" w:space="0"/>
            </w:tcBorders>
            <w:vAlign w:val="center"/>
          </w:tcPr>
          <w:p>
            <w:pPr>
              <w:pStyle w:val="30"/>
              <w:widowControl w:val="0"/>
              <w:spacing w:before="0" w:beforeAutospacing="0" w:after="0" w:afterAutospacing="0"/>
              <w:jc w:val="center"/>
              <w:rPr>
                <w:rFonts w:ascii="Times New Roman" w:hAnsi="Times New Roman"/>
                <w:color w:val="auto"/>
                <w:spacing w:val="-4"/>
                <w:sz w:val="21"/>
                <w:szCs w:val="21"/>
              </w:rPr>
            </w:pPr>
            <w:r>
              <w:rPr>
                <w:rFonts w:ascii="Times New Roman" w:hAnsi="Times New Roman"/>
                <w:color w:val="auto"/>
                <w:sz w:val="21"/>
                <w:szCs w:val="21"/>
              </w:rPr>
              <w:t>氮氧化物</w:t>
            </w:r>
          </w:p>
        </w:tc>
        <w:tc>
          <w:tcPr>
            <w:tcW w:w="1943" w:type="dxa"/>
            <w:gridSpan w:val="2"/>
            <w:tcBorders>
              <w:top w:val="single" w:color="auto" w:sz="4" w:space="0"/>
            </w:tcBorders>
            <w:vAlign w:val="center"/>
          </w:tcPr>
          <w:p>
            <w:pPr>
              <w:pStyle w:val="30"/>
              <w:widowControl w:val="0"/>
              <w:spacing w:before="0" w:beforeAutospacing="0" w:after="0" w:afterAutospacing="0"/>
              <w:jc w:val="center"/>
              <w:rPr>
                <w:rFonts w:ascii="Times New Roman" w:hAnsi="Times New Roman"/>
                <w:color w:val="auto"/>
                <w:sz w:val="21"/>
                <w:szCs w:val="21"/>
              </w:rPr>
            </w:pPr>
            <w:r>
              <w:rPr>
                <w:rFonts w:ascii="Times New Roman" w:hAnsi="Times New Roman"/>
                <w:color w:val="auto"/>
                <w:sz w:val="21"/>
                <w:szCs w:val="21"/>
              </w:rPr>
              <w:t>--</w:t>
            </w:r>
          </w:p>
        </w:tc>
        <w:tc>
          <w:tcPr>
            <w:tcW w:w="989" w:type="dxa"/>
            <w:tcBorders>
              <w:top w:val="single" w:color="auto" w:sz="4" w:space="0"/>
            </w:tcBorders>
            <w:vAlign w:val="center"/>
          </w:tcPr>
          <w:p>
            <w:pPr>
              <w:pStyle w:val="30"/>
              <w:widowControl w:val="0"/>
              <w:spacing w:before="0" w:beforeAutospacing="0" w:after="0" w:afterAutospacing="0"/>
              <w:jc w:val="center"/>
              <w:rPr>
                <w:rFonts w:ascii="Times New Roman" w:hAnsi="Times New Roman"/>
                <w:snapToGrid w:val="0"/>
                <w:color w:val="auto"/>
                <w:sz w:val="21"/>
                <w:szCs w:val="21"/>
              </w:rPr>
            </w:pPr>
            <w:r>
              <w:rPr>
                <w:rFonts w:ascii="Times New Roman" w:hAnsi="Times New Roman"/>
                <w:snapToGrid w:val="0"/>
                <w:color w:val="auto"/>
                <w:sz w:val="21"/>
                <w:szCs w:val="21"/>
              </w:rPr>
              <w:t>--</w:t>
            </w:r>
          </w:p>
        </w:tc>
        <w:tc>
          <w:tcPr>
            <w:tcW w:w="1696" w:type="dxa"/>
            <w:gridSpan w:val="2"/>
            <w:tcBorders>
              <w:top w:val="single" w:color="auto" w:sz="4" w:space="0"/>
            </w:tcBorders>
            <w:vAlign w:val="center"/>
          </w:tcPr>
          <w:p>
            <w:pPr>
              <w:pStyle w:val="30"/>
              <w:widowControl w:val="0"/>
              <w:spacing w:before="0" w:beforeAutospacing="0" w:after="0" w:afterAutospacing="0"/>
              <w:jc w:val="center"/>
              <w:rPr>
                <w:rFonts w:ascii="Times New Roman" w:hAnsi="Times New Roman"/>
                <w:bCs/>
                <w:color w:val="auto"/>
                <w:sz w:val="21"/>
                <w:szCs w:val="21"/>
              </w:rPr>
            </w:pPr>
            <w:r>
              <w:rPr>
                <w:rFonts w:ascii="Times New Roman" w:hAnsi="Times New Roman"/>
                <w:snapToGrid w:val="0"/>
                <w:color w:val="auto"/>
                <w:sz w:val="21"/>
                <w:szCs w:val="21"/>
              </w:rPr>
              <w:t>--</w:t>
            </w:r>
          </w:p>
        </w:tc>
        <w:tc>
          <w:tcPr>
            <w:tcW w:w="1696" w:type="dxa"/>
            <w:gridSpan w:val="2"/>
            <w:tcBorders>
              <w:top w:val="single" w:color="auto" w:sz="4" w:space="0"/>
            </w:tcBorders>
            <w:vAlign w:val="center"/>
          </w:tcPr>
          <w:p>
            <w:pPr>
              <w:adjustRightInd w:val="0"/>
              <w:snapToGrid w:val="0"/>
              <w:jc w:val="center"/>
              <w:rPr>
                <w:color w:val="auto"/>
                <w:szCs w:val="21"/>
              </w:rPr>
            </w:pPr>
            <w:r>
              <w:rPr>
                <w:color w:val="auto"/>
                <w:szCs w:val="21"/>
              </w:rPr>
              <w:t>0.00</w:t>
            </w:r>
            <w:r>
              <w:rPr>
                <w:rFonts w:hint="eastAsia"/>
                <w:color w:val="auto"/>
                <w:szCs w:val="21"/>
              </w:rPr>
              <w:t>2</w:t>
            </w:r>
          </w:p>
        </w:tc>
        <w:tc>
          <w:tcPr>
            <w:tcW w:w="1023" w:type="dxa"/>
            <w:tcBorders>
              <w:top w:val="single" w:color="auto" w:sz="4" w:space="0"/>
            </w:tcBorders>
            <w:vAlign w:val="center"/>
          </w:tcPr>
          <w:p>
            <w:pPr>
              <w:pStyle w:val="30"/>
              <w:widowControl w:val="0"/>
              <w:spacing w:before="0" w:beforeAutospacing="0" w:after="0" w:afterAutospacing="0"/>
              <w:jc w:val="center"/>
              <w:rPr>
                <w:rFonts w:ascii="Times New Roman" w:hAnsi="Times New Roman"/>
                <w:color w:val="auto"/>
                <w:sz w:val="21"/>
                <w:szCs w:val="21"/>
              </w:rPr>
            </w:pPr>
            <w:r>
              <w:rPr>
                <w:rFonts w:ascii="Times New Roman" w:hAnsi="Times New Roman"/>
                <w:snapToGrid w:val="0"/>
                <w:color w:val="auto"/>
                <w:sz w:val="21"/>
                <w:szCs w:val="21"/>
              </w:rPr>
              <w:t>--</w:t>
            </w:r>
          </w:p>
        </w:tc>
        <w:tc>
          <w:tcPr>
            <w:tcW w:w="1670" w:type="dxa"/>
            <w:gridSpan w:val="2"/>
            <w:tcBorders>
              <w:top w:val="single" w:color="auto" w:sz="4" w:space="0"/>
            </w:tcBorders>
            <w:vAlign w:val="center"/>
          </w:tcPr>
          <w:p>
            <w:pPr>
              <w:adjustRightInd w:val="0"/>
              <w:snapToGrid w:val="0"/>
              <w:jc w:val="center"/>
              <w:rPr>
                <w:rFonts w:hint="eastAsia" w:eastAsia="宋体"/>
                <w:color w:val="auto"/>
                <w:szCs w:val="21"/>
                <w:lang w:eastAsia="zh-CN"/>
              </w:rPr>
            </w:pPr>
            <w:r>
              <w:rPr>
                <w:color w:val="auto"/>
                <w:szCs w:val="21"/>
              </w:rPr>
              <w:t>0.00</w:t>
            </w:r>
            <w:r>
              <w:rPr>
                <w:rFonts w:hint="eastAsia"/>
                <w:color w:val="auto"/>
                <w:szCs w:val="21"/>
                <w:lang w:val="en-US" w:eastAsia="zh-CN"/>
              </w:rPr>
              <w:t>2</w:t>
            </w:r>
          </w:p>
        </w:tc>
        <w:tc>
          <w:tcPr>
            <w:tcW w:w="1871" w:type="dxa"/>
            <w:gridSpan w:val="2"/>
            <w:tcBorders>
              <w:top w:val="single" w:color="auto" w:sz="4" w:space="0"/>
              <w:bottom w:val="single" w:color="auto" w:sz="4" w:space="0"/>
              <w:right w:val="single" w:color="auto" w:sz="12" w:space="0"/>
            </w:tcBorders>
            <w:vAlign w:val="center"/>
          </w:tcPr>
          <w:p>
            <w:pPr>
              <w:adjustRightInd w:val="0"/>
              <w:snapToGrid w:val="0"/>
              <w:jc w:val="center"/>
              <w:rPr>
                <w:rFonts w:hint="eastAsia" w:eastAsia="宋体"/>
                <w:color w:val="auto"/>
                <w:szCs w:val="21"/>
                <w:lang w:eastAsia="zh-CN"/>
              </w:rPr>
            </w:pPr>
            <w:r>
              <w:rPr>
                <w:color w:val="auto"/>
                <w:szCs w:val="21"/>
              </w:rPr>
              <w:t>+0.00</w:t>
            </w:r>
            <w:r>
              <w:rPr>
                <w:rFonts w:hint="eastAsia"/>
                <w:color w:val="auto"/>
                <w:szCs w:val="21"/>
                <w:lang w:val="en-US" w:eastAsia="zh-CN"/>
              </w:rPr>
              <w:t>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38" w:type="dxa"/>
            <w:vMerge w:val="continue"/>
            <w:tcBorders>
              <w:left w:val="single" w:color="auto" w:sz="12" w:space="0"/>
            </w:tcBorders>
            <w:vAlign w:val="center"/>
          </w:tcPr>
          <w:p>
            <w:pPr>
              <w:jc w:val="center"/>
              <w:rPr>
                <w:snapToGrid w:val="0"/>
                <w:color w:val="auto"/>
                <w:szCs w:val="21"/>
              </w:rPr>
            </w:pPr>
          </w:p>
        </w:tc>
        <w:tc>
          <w:tcPr>
            <w:tcW w:w="450" w:type="dxa"/>
            <w:vMerge w:val="restart"/>
            <w:tcBorders>
              <w:top w:val="single" w:color="auto" w:sz="4" w:space="0"/>
            </w:tcBorders>
            <w:vAlign w:val="center"/>
          </w:tcPr>
          <w:p>
            <w:pPr>
              <w:jc w:val="center"/>
              <w:rPr>
                <w:color w:val="auto"/>
                <w:kern w:val="0"/>
                <w:szCs w:val="21"/>
              </w:rPr>
            </w:pPr>
            <w:r>
              <w:rPr>
                <w:color w:val="auto"/>
                <w:kern w:val="0"/>
                <w:szCs w:val="21"/>
              </w:rPr>
              <w:t>无组织</w:t>
            </w:r>
          </w:p>
        </w:tc>
        <w:tc>
          <w:tcPr>
            <w:tcW w:w="1350" w:type="dxa"/>
            <w:tcBorders>
              <w:top w:val="single" w:color="auto" w:sz="4" w:space="0"/>
              <w:bottom w:val="single" w:color="auto" w:sz="4" w:space="0"/>
            </w:tcBorders>
            <w:vAlign w:val="center"/>
          </w:tcPr>
          <w:p>
            <w:pPr>
              <w:pStyle w:val="30"/>
              <w:widowControl w:val="0"/>
              <w:spacing w:before="0" w:beforeAutospacing="0" w:after="0" w:afterAutospacing="0"/>
              <w:jc w:val="center"/>
              <w:rPr>
                <w:rFonts w:ascii="Times New Roman" w:hAnsi="Times New Roman"/>
                <w:color w:val="auto"/>
                <w:spacing w:val="-4"/>
                <w:sz w:val="21"/>
                <w:szCs w:val="21"/>
              </w:rPr>
            </w:pPr>
            <w:r>
              <w:rPr>
                <w:rFonts w:ascii="Times New Roman" w:hAnsi="Times New Roman"/>
                <w:color w:val="auto"/>
                <w:kern w:val="2"/>
                <w:sz w:val="21"/>
                <w:szCs w:val="21"/>
              </w:rPr>
              <w:t>VOCs（非甲烷总烃计）</w:t>
            </w:r>
          </w:p>
        </w:tc>
        <w:tc>
          <w:tcPr>
            <w:tcW w:w="1943" w:type="dxa"/>
            <w:gridSpan w:val="2"/>
            <w:tcBorders>
              <w:top w:val="single" w:color="auto" w:sz="4" w:space="0"/>
              <w:bottom w:val="single" w:color="auto" w:sz="4" w:space="0"/>
            </w:tcBorders>
            <w:vAlign w:val="center"/>
          </w:tcPr>
          <w:p>
            <w:pPr>
              <w:pStyle w:val="30"/>
              <w:widowControl w:val="0"/>
              <w:spacing w:before="0" w:beforeAutospacing="0" w:after="0" w:afterAutospacing="0"/>
              <w:jc w:val="center"/>
              <w:rPr>
                <w:rFonts w:ascii="Times New Roman" w:hAnsi="Times New Roman"/>
                <w:snapToGrid w:val="0"/>
                <w:color w:val="auto"/>
                <w:sz w:val="21"/>
                <w:szCs w:val="21"/>
              </w:rPr>
            </w:pPr>
            <w:r>
              <w:rPr>
                <w:rFonts w:ascii="Times New Roman" w:hAnsi="Times New Roman"/>
                <w:snapToGrid w:val="0"/>
                <w:color w:val="auto"/>
                <w:sz w:val="21"/>
                <w:szCs w:val="21"/>
              </w:rPr>
              <w:t>--</w:t>
            </w:r>
          </w:p>
        </w:tc>
        <w:tc>
          <w:tcPr>
            <w:tcW w:w="989" w:type="dxa"/>
            <w:tcBorders>
              <w:top w:val="single" w:color="auto" w:sz="4" w:space="0"/>
              <w:bottom w:val="single" w:color="auto" w:sz="4" w:space="0"/>
            </w:tcBorders>
            <w:vAlign w:val="center"/>
          </w:tcPr>
          <w:p>
            <w:pPr>
              <w:pStyle w:val="30"/>
              <w:widowControl w:val="0"/>
              <w:spacing w:before="0" w:beforeAutospacing="0" w:after="0" w:afterAutospacing="0"/>
              <w:jc w:val="center"/>
              <w:rPr>
                <w:rFonts w:ascii="Times New Roman" w:hAnsi="Times New Roman"/>
                <w:snapToGrid w:val="0"/>
                <w:color w:val="auto"/>
                <w:sz w:val="21"/>
                <w:szCs w:val="21"/>
              </w:rPr>
            </w:pPr>
            <w:r>
              <w:rPr>
                <w:rFonts w:ascii="Times New Roman" w:hAnsi="Times New Roman"/>
                <w:snapToGrid w:val="0"/>
                <w:color w:val="auto"/>
                <w:sz w:val="21"/>
                <w:szCs w:val="21"/>
              </w:rPr>
              <w:t>--</w:t>
            </w:r>
          </w:p>
        </w:tc>
        <w:tc>
          <w:tcPr>
            <w:tcW w:w="1696" w:type="dxa"/>
            <w:gridSpan w:val="2"/>
            <w:tcBorders>
              <w:top w:val="single" w:color="auto" w:sz="4" w:space="0"/>
              <w:bottom w:val="single" w:color="auto" w:sz="4" w:space="0"/>
            </w:tcBorders>
            <w:vAlign w:val="center"/>
          </w:tcPr>
          <w:p>
            <w:pPr>
              <w:pStyle w:val="30"/>
              <w:widowControl w:val="0"/>
              <w:spacing w:before="0" w:beforeAutospacing="0" w:after="0" w:afterAutospacing="0"/>
              <w:jc w:val="center"/>
              <w:rPr>
                <w:rFonts w:ascii="Times New Roman" w:hAnsi="Times New Roman"/>
                <w:bCs/>
                <w:color w:val="auto"/>
                <w:sz w:val="21"/>
                <w:szCs w:val="21"/>
              </w:rPr>
            </w:pPr>
            <w:r>
              <w:rPr>
                <w:rFonts w:ascii="Times New Roman" w:hAnsi="Times New Roman"/>
                <w:snapToGrid w:val="0"/>
                <w:color w:val="auto"/>
                <w:sz w:val="21"/>
                <w:szCs w:val="21"/>
              </w:rPr>
              <w:t>--</w:t>
            </w:r>
          </w:p>
        </w:tc>
        <w:tc>
          <w:tcPr>
            <w:tcW w:w="1696" w:type="dxa"/>
            <w:gridSpan w:val="2"/>
            <w:tcBorders>
              <w:top w:val="single" w:color="auto" w:sz="4" w:space="0"/>
              <w:bottom w:val="single" w:color="auto" w:sz="4" w:space="0"/>
            </w:tcBorders>
            <w:vAlign w:val="center"/>
          </w:tcPr>
          <w:p>
            <w:pPr>
              <w:jc w:val="center"/>
              <w:rPr>
                <w:color w:val="auto"/>
                <w:szCs w:val="21"/>
              </w:rPr>
            </w:pPr>
            <w:r>
              <w:rPr>
                <w:color w:val="auto"/>
                <w:szCs w:val="21"/>
              </w:rPr>
              <w:t>0.0</w:t>
            </w:r>
            <w:r>
              <w:rPr>
                <w:rFonts w:hint="eastAsia"/>
                <w:color w:val="auto"/>
                <w:szCs w:val="21"/>
              </w:rPr>
              <w:t>7</w:t>
            </w:r>
          </w:p>
        </w:tc>
        <w:tc>
          <w:tcPr>
            <w:tcW w:w="1023" w:type="dxa"/>
            <w:tcBorders>
              <w:top w:val="single" w:color="auto" w:sz="4" w:space="0"/>
              <w:bottom w:val="single" w:color="auto" w:sz="4" w:space="0"/>
            </w:tcBorders>
            <w:vAlign w:val="center"/>
          </w:tcPr>
          <w:p>
            <w:pPr>
              <w:pStyle w:val="30"/>
              <w:widowControl w:val="0"/>
              <w:spacing w:before="0" w:beforeAutospacing="0" w:after="0" w:afterAutospacing="0"/>
              <w:jc w:val="center"/>
              <w:rPr>
                <w:rFonts w:ascii="Times New Roman" w:hAnsi="Times New Roman"/>
                <w:color w:val="auto"/>
                <w:sz w:val="21"/>
                <w:szCs w:val="21"/>
              </w:rPr>
            </w:pPr>
            <w:r>
              <w:rPr>
                <w:rFonts w:ascii="Times New Roman" w:hAnsi="Times New Roman"/>
                <w:snapToGrid w:val="0"/>
                <w:color w:val="auto"/>
                <w:sz w:val="21"/>
                <w:szCs w:val="21"/>
              </w:rPr>
              <w:t>--</w:t>
            </w:r>
          </w:p>
        </w:tc>
        <w:tc>
          <w:tcPr>
            <w:tcW w:w="1670" w:type="dxa"/>
            <w:gridSpan w:val="2"/>
            <w:tcBorders>
              <w:top w:val="single" w:color="auto" w:sz="4" w:space="0"/>
              <w:bottom w:val="single" w:color="auto" w:sz="4" w:space="0"/>
            </w:tcBorders>
            <w:vAlign w:val="center"/>
          </w:tcPr>
          <w:p>
            <w:pPr>
              <w:jc w:val="center"/>
              <w:rPr>
                <w:color w:val="auto"/>
                <w:szCs w:val="21"/>
              </w:rPr>
            </w:pPr>
            <w:r>
              <w:rPr>
                <w:color w:val="auto"/>
                <w:szCs w:val="21"/>
              </w:rPr>
              <w:t>0.0</w:t>
            </w:r>
            <w:r>
              <w:rPr>
                <w:rFonts w:hint="eastAsia"/>
                <w:color w:val="auto"/>
                <w:szCs w:val="21"/>
              </w:rPr>
              <w:t>7</w:t>
            </w:r>
          </w:p>
        </w:tc>
        <w:tc>
          <w:tcPr>
            <w:tcW w:w="1871" w:type="dxa"/>
            <w:gridSpan w:val="2"/>
            <w:tcBorders>
              <w:top w:val="single" w:color="auto" w:sz="4" w:space="0"/>
              <w:bottom w:val="single" w:color="auto" w:sz="4" w:space="0"/>
              <w:right w:val="single" w:color="auto" w:sz="12" w:space="0"/>
            </w:tcBorders>
            <w:vAlign w:val="center"/>
          </w:tcPr>
          <w:p>
            <w:pPr>
              <w:jc w:val="center"/>
              <w:rPr>
                <w:rFonts w:hint="eastAsia" w:eastAsia="宋体"/>
                <w:color w:val="auto"/>
                <w:szCs w:val="21"/>
                <w:lang w:eastAsia="zh-CN"/>
              </w:rPr>
            </w:pPr>
            <w:r>
              <w:rPr>
                <w:color w:val="auto"/>
                <w:szCs w:val="21"/>
              </w:rPr>
              <w:t>+0.0</w:t>
            </w:r>
            <w:r>
              <w:rPr>
                <w:rFonts w:hint="eastAsia"/>
                <w:color w:val="auto"/>
                <w:szCs w:val="21"/>
                <w:lang w:val="en-US" w:eastAsia="zh-CN"/>
              </w:rPr>
              <w:t>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38" w:type="dxa"/>
            <w:vMerge w:val="continue"/>
            <w:tcBorders>
              <w:left w:val="single" w:color="auto" w:sz="12" w:space="0"/>
            </w:tcBorders>
            <w:vAlign w:val="center"/>
          </w:tcPr>
          <w:p>
            <w:pPr>
              <w:jc w:val="center"/>
              <w:rPr>
                <w:snapToGrid w:val="0"/>
                <w:color w:val="auto"/>
                <w:szCs w:val="21"/>
              </w:rPr>
            </w:pPr>
          </w:p>
        </w:tc>
        <w:tc>
          <w:tcPr>
            <w:tcW w:w="450" w:type="dxa"/>
            <w:vMerge w:val="continue"/>
            <w:vAlign w:val="center"/>
          </w:tcPr>
          <w:p>
            <w:pPr>
              <w:jc w:val="center"/>
              <w:rPr>
                <w:color w:val="auto"/>
                <w:kern w:val="0"/>
                <w:szCs w:val="21"/>
              </w:rPr>
            </w:pPr>
          </w:p>
        </w:tc>
        <w:tc>
          <w:tcPr>
            <w:tcW w:w="1350" w:type="dxa"/>
            <w:tcBorders>
              <w:top w:val="single" w:color="auto" w:sz="4" w:space="0"/>
            </w:tcBorders>
            <w:vAlign w:val="center"/>
          </w:tcPr>
          <w:p>
            <w:pPr>
              <w:pStyle w:val="30"/>
              <w:widowControl w:val="0"/>
              <w:spacing w:before="0" w:beforeAutospacing="0" w:after="0" w:afterAutospacing="0"/>
              <w:jc w:val="center"/>
              <w:rPr>
                <w:rFonts w:ascii="Times New Roman" w:hAnsi="Times New Roman"/>
                <w:color w:val="auto"/>
                <w:spacing w:val="-4"/>
                <w:sz w:val="21"/>
                <w:szCs w:val="21"/>
              </w:rPr>
            </w:pPr>
            <w:r>
              <w:rPr>
                <w:rFonts w:ascii="Times New Roman" w:hAnsi="Times New Roman"/>
                <w:color w:val="auto"/>
                <w:kern w:val="2"/>
                <w:sz w:val="21"/>
                <w:szCs w:val="21"/>
              </w:rPr>
              <w:t>氯化氢</w:t>
            </w:r>
          </w:p>
        </w:tc>
        <w:tc>
          <w:tcPr>
            <w:tcW w:w="1943" w:type="dxa"/>
            <w:gridSpan w:val="2"/>
            <w:tcBorders>
              <w:top w:val="single" w:color="auto" w:sz="4" w:space="0"/>
            </w:tcBorders>
            <w:vAlign w:val="center"/>
          </w:tcPr>
          <w:p>
            <w:pPr>
              <w:pStyle w:val="30"/>
              <w:widowControl w:val="0"/>
              <w:spacing w:before="0" w:beforeAutospacing="0" w:after="0" w:afterAutospacing="0"/>
              <w:jc w:val="center"/>
              <w:rPr>
                <w:rFonts w:ascii="Times New Roman" w:hAnsi="Times New Roman"/>
                <w:color w:val="auto"/>
                <w:sz w:val="21"/>
                <w:szCs w:val="21"/>
              </w:rPr>
            </w:pPr>
            <w:r>
              <w:rPr>
                <w:rFonts w:ascii="Times New Roman" w:hAnsi="Times New Roman"/>
                <w:color w:val="auto"/>
                <w:sz w:val="21"/>
                <w:szCs w:val="21"/>
              </w:rPr>
              <w:t>--</w:t>
            </w:r>
          </w:p>
        </w:tc>
        <w:tc>
          <w:tcPr>
            <w:tcW w:w="989" w:type="dxa"/>
            <w:tcBorders>
              <w:top w:val="single" w:color="auto" w:sz="4" w:space="0"/>
            </w:tcBorders>
            <w:vAlign w:val="center"/>
          </w:tcPr>
          <w:p>
            <w:pPr>
              <w:pStyle w:val="30"/>
              <w:widowControl w:val="0"/>
              <w:spacing w:before="0" w:beforeAutospacing="0" w:after="0" w:afterAutospacing="0"/>
              <w:jc w:val="center"/>
              <w:rPr>
                <w:rFonts w:ascii="Times New Roman" w:hAnsi="Times New Roman"/>
                <w:snapToGrid w:val="0"/>
                <w:color w:val="auto"/>
                <w:sz w:val="21"/>
                <w:szCs w:val="21"/>
              </w:rPr>
            </w:pPr>
            <w:r>
              <w:rPr>
                <w:rFonts w:ascii="Times New Roman" w:hAnsi="Times New Roman"/>
                <w:snapToGrid w:val="0"/>
                <w:color w:val="auto"/>
                <w:sz w:val="21"/>
                <w:szCs w:val="21"/>
              </w:rPr>
              <w:t>--</w:t>
            </w:r>
          </w:p>
        </w:tc>
        <w:tc>
          <w:tcPr>
            <w:tcW w:w="1696" w:type="dxa"/>
            <w:gridSpan w:val="2"/>
            <w:tcBorders>
              <w:top w:val="single" w:color="auto" w:sz="4" w:space="0"/>
            </w:tcBorders>
            <w:vAlign w:val="center"/>
          </w:tcPr>
          <w:p>
            <w:pPr>
              <w:pStyle w:val="30"/>
              <w:widowControl w:val="0"/>
              <w:spacing w:before="0" w:beforeAutospacing="0" w:after="0" w:afterAutospacing="0"/>
              <w:jc w:val="center"/>
              <w:rPr>
                <w:rFonts w:ascii="Times New Roman" w:hAnsi="Times New Roman"/>
                <w:bCs/>
                <w:color w:val="auto"/>
                <w:sz w:val="21"/>
                <w:szCs w:val="21"/>
                <w:shd w:val="clear" w:color="auto" w:fill="FFFFFF"/>
              </w:rPr>
            </w:pPr>
            <w:r>
              <w:rPr>
                <w:rFonts w:ascii="Times New Roman" w:hAnsi="Times New Roman"/>
                <w:snapToGrid w:val="0"/>
                <w:color w:val="auto"/>
                <w:sz w:val="21"/>
                <w:szCs w:val="21"/>
              </w:rPr>
              <w:t>--</w:t>
            </w:r>
          </w:p>
        </w:tc>
        <w:tc>
          <w:tcPr>
            <w:tcW w:w="1696" w:type="dxa"/>
            <w:gridSpan w:val="2"/>
            <w:tcBorders>
              <w:top w:val="single" w:color="auto" w:sz="4" w:space="0"/>
            </w:tcBorders>
            <w:vAlign w:val="center"/>
          </w:tcPr>
          <w:p>
            <w:pPr>
              <w:jc w:val="center"/>
              <w:rPr>
                <w:color w:val="auto"/>
                <w:szCs w:val="21"/>
              </w:rPr>
            </w:pPr>
            <w:r>
              <w:rPr>
                <w:color w:val="auto"/>
                <w:szCs w:val="21"/>
              </w:rPr>
              <w:t>0.00</w:t>
            </w:r>
            <w:r>
              <w:rPr>
                <w:rFonts w:hint="eastAsia"/>
                <w:color w:val="auto"/>
                <w:szCs w:val="21"/>
              </w:rPr>
              <w:t>2</w:t>
            </w:r>
          </w:p>
        </w:tc>
        <w:tc>
          <w:tcPr>
            <w:tcW w:w="1023" w:type="dxa"/>
            <w:tcBorders>
              <w:top w:val="single" w:color="auto" w:sz="4" w:space="0"/>
            </w:tcBorders>
            <w:vAlign w:val="center"/>
          </w:tcPr>
          <w:p>
            <w:pPr>
              <w:pStyle w:val="30"/>
              <w:widowControl w:val="0"/>
              <w:spacing w:before="0" w:beforeAutospacing="0" w:after="0" w:afterAutospacing="0"/>
              <w:jc w:val="center"/>
              <w:rPr>
                <w:rFonts w:ascii="Times New Roman" w:hAnsi="Times New Roman"/>
                <w:color w:val="auto"/>
                <w:sz w:val="21"/>
                <w:szCs w:val="21"/>
              </w:rPr>
            </w:pPr>
            <w:r>
              <w:rPr>
                <w:rFonts w:ascii="Times New Roman" w:hAnsi="Times New Roman"/>
                <w:snapToGrid w:val="0"/>
                <w:color w:val="auto"/>
                <w:sz w:val="21"/>
                <w:szCs w:val="21"/>
              </w:rPr>
              <w:t>--</w:t>
            </w:r>
          </w:p>
        </w:tc>
        <w:tc>
          <w:tcPr>
            <w:tcW w:w="1670" w:type="dxa"/>
            <w:gridSpan w:val="2"/>
            <w:tcBorders>
              <w:top w:val="single" w:color="auto" w:sz="4" w:space="0"/>
            </w:tcBorders>
            <w:vAlign w:val="center"/>
          </w:tcPr>
          <w:p>
            <w:pPr>
              <w:jc w:val="center"/>
              <w:rPr>
                <w:color w:val="auto"/>
                <w:szCs w:val="21"/>
              </w:rPr>
            </w:pPr>
            <w:r>
              <w:rPr>
                <w:color w:val="auto"/>
                <w:szCs w:val="21"/>
              </w:rPr>
              <w:t>0.00</w:t>
            </w:r>
            <w:r>
              <w:rPr>
                <w:rFonts w:hint="eastAsia"/>
                <w:color w:val="auto"/>
                <w:szCs w:val="21"/>
              </w:rPr>
              <w:t>2</w:t>
            </w:r>
          </w:p>
        </w:tc>
        <w:tc>
          <w:tcPr>
            <w:tcW w:w="1871" w:type="dxa"/>
            <w:gridSpan w:val="2"/>
            <w:tcBorders>
              <w:top w:val="single" w:color="auto" w:sz="4" w:space="0"/>
              <w:right w:val="single" w:color="auto" w:sz="12" w:space="0"/>
            </w:tcBorders>
            <w:vAlign w:val="center"/>
          </w:tcPr>
          <w:p>
            <w:pPr>
              <w:jc w:val="center"/>
              <w:rPr>
                <w:color w:val="auto"/>
                <w:szCs w:val="21"/>
              </w:rPr>
            </w:pPr>
            <w:r>
              <w:rPr>
                <w:color w:val="auto"/>
                <w:szCs w:val="21"/>
              </w:rPr>
              <w:t>+0.002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38" w:type="dxa"/>
            <w:vMerge w:val="continue"/>
            <w:tcBorders>
              <w:left w:val="single" w:color="auto" w:sz="12" w:space="0"/>
            </w:tcBorders>
            <w:vAlign w:val="center"/>
          </w:tcPr>
          <w:p>
            <w:pPr>
              <w:jc w:val="center"/>
              <w:rPr>
                <w:snapToGrid w:val="0"/>
                <w:color w:val="auto"/>
                <w:szCs w:val="21"/>
              </w:rPr>
            </w:pPr>
          </w:p>
        </w:tc>
        <w:tc>
          <w:tcPr>
            <w:tcW w:w="450" w:type="dxa"/>
            <w:vMerge w:val="continue"/>
            <w:vAlign w:val="center"/>
          </w:tcPr>
          <w:p>
            <w:pPr>
              <w:jc w:val="center"/>
              <w:rPr>
                <w:color w:val="auto"/>
                <w:kern w:val="0"/>
                <w:szCs w:val="21"/>
              </w:rPr>
            </w:pPr>
          </w:p>
        </w:tc>
        <w:tc>
          <w:tcPr>
            <w:tcW w:w="1350" w:type="dxa"/>
            <w:tcBorders>
              <w:top w:val="single" w:color="auto" w:sz="4" w:space="0"/>
            </w:tcBorders>
            <w:vAlign w:val="center"/>
          </w:tcPr>
          <w:p>
            <w:pPr>
              <w:pStyle w:val="30"/>
              <w:widowControl w:val="0"/>
              <w:spacing w:before="0" w:beforeAutospacing="0" w:after="0" w:afterAutospacing="0"/>
              <w:jc w:val="center"/>
              <w:rPr>
                <w:rFonts w:ascii="Times New Roman" w:hAnsi="Times New Roman"/>
                <w:color w:val="auto"/>
                <w:spacing w:val="-4"/>
                <w:sz w:val="21"/>
                <w:szCs w:val="21"/>
              </w:rPr>
            </w:pPr>
            <w:r>
              <w:rPr>
                <w:rFonts w:ascii="Times New Roman" w:hAnsi="Times New Roman"/>
                <w:color w:val="auto"/>
                <w:sz w:val="21"/>
                <w:szCs w:val="21"/>
              </w:rPr>
              <w:t>烟尘</w:t>
            </w:r>
          </w:p>
        </w:tc>
        <w:tc>
          <w:tcPr>
            <w:tcW w:w="1943" w:type="dxa"/>
            <w:gridSpan w:val="2"/>
            <w:tcBorders>
              <w:top w:val="single" w:color="auto" w:sz="4" w:space="0"/>
            </w:tcBorders>
            <w:vAlign w:val="center"/>
          </w:tcPr>
          <w:p>
            <w:pPr>
              <w:pStyle w:val="30"/>
              <w:widowControl w:val="0"/>
              <w:spacing w:before="0" w:after="0"/>
              <w:jc w:val="center"/>
              <w:rPr>
                <w:rFonts w:ascii="Times New Roman" w:hAnsi="Times New Roman"/>
                <w:color w:val="auto"/>
                <w:sz w:val="21"/>
                <w:szCs w:val="21"/>
              </w:rPr>
            </w:pPr>
          </w:p>
        </w:tc>
        <w:tc>
          <w:tcPr>
            <w:tcW w:w="989" w:type="dxa"/>
            <w:tcBorders>
              <w:top w:val="single" w:color="auto" w:sz="4" w:space="0"/>
            </w:tcBorders>
            <w:vAlign w:val="center"/>
          </w:tcPr>
          <w:p>
            <w:pPr>
              <w:pStyle w:val="30"/>
              <w:widowControl w:val="0"/>
              <w:spacing w:before="0" w:after="0"/>
              <w:jc w:val="center"/>
              <w:rPr>
                <w:rFonts w:ascii="Times New Roman" w:hAnsi="Times New Roman"/>
                <w:color w:val="auto"/>
                <w:sz w:val="21"/>
                <w:szCs w:val="21"/>
              </w:rPr>
            </w:pPr>
          </w:p>
        </w:tc>
        <w:tc>
          <w:tcPr>
            <w:tcW w:w="1696" w:type="dxa"/>
            <w:gridSpan w:val="2"/>
            <w:tcBorders>
              <w:top w:val="single" w:color="auto" w:sz="4" w:space="0"/>
            </w:tcBorders>
            <w:vAlign w:val="center"/>
          </w:tcPr>
          <w:p>
            <w:pPr>
              <w:pStyle w:val="30"/>
              <w:widowControl w:val="0"/>
              <w:spacing w:before="0" w:after="0"/>
              <w:jc w:val="center"/>
              <w:rPr>
                <w:rFonts w:ascii="Times New Roman" w:hAnsi="Times New Roman"/>
                <w:snapToGrid w:val="0"/>
                <w:color w:val="auto"/>
                <w:sz w:val="21"/>
                <w:szCs w:val="21"/>
              </w:rPr>
            </w:pPr>
          </w:p>
        </w:tc>
        <w:tc>
          <w:tcPr>
            <w:tcW w:w="1696" w:type="dxa"/>
            <w:gridSpan w:val="2"/>
            <w:tcBorders>
              <w:top w:val="single" w:color="auto" w:sz="4" w:space="0"/>
            </w:tcBorders>
            <w:vAlign w:val="center"/>
          </w:tcPr>
          <w:p>
            <w:pPr>
              <w:jc w:val="center"/>
              <w:rPr>
                <w:color w:val="auto"/>
                <w:szCs w:val="21"/>
              </w:rPr>
            </w:pPr>
            <w:r>
              <w:rPr>
                <w:color w:val="auto"/>
                <w:szCs w:val="21"/>
              </w:rPr>
              <w:t>0.00</w:t>
            </w:r>
            <w:r>
              <w:rPr>
                <w:rFonts w:hint="eastAsia"/>
                <w:color w:val="auto"/>
                <w:szCs w:val="21"/>
              </w:rPr>
              <w:t>0</w:t>
            </w:r>
          </w:p>
        </w:tc>
        <w:tc>
          <w:tcPr>
            <w:tcW w:w="1023" w:type="dxa"/>
            <w:tcBorders>
              <w:top w:val="single" w:color="auto" w:sz="4" w:space="0"/>
            </w:tcBorders>
            <w:vAlign w:val="center"/>
          </w:tcPr>
          <w:p>
            <w:pPr>
              <w:pStyle w:val="30"/>
              <w:widowControl w:val="0"/>
              <w:spacing w:before="0" w:after="0"/>
              <w:jc w:val="center"/>
              <w:rPr>
                <w:rFonts w:ascii="Times New Roman" w:hAnsi="Times New Roman"/>
                <w:snapToGrid w:val="0"/>
                <w:color w:val="auto"/>
                <w:sz w:val="21"/>
                <w:szCs w:val="21"/>
              </w:rPr>
            </w:pPr>
          </w:p>
        </w:tc>
        <w:tc>
          <w:tcPr>
            <w:tcW w:w="1670" w:type="dxa"/>
            <w:gridSpan w:val="2"/>
            <w:tcBorders>
              <w:top w:val="single" w:color="auto" w:sz="4" w:space="0"/>
            </w:tcBorders>
            <w:vAlign w:val="center"/>
          </w:tcPr>
          <w:p>
            <w:pPr>
              <w:jc w:val="center"/>
              <w:rPr>
                <w:color w:val="auto"/>
                <w:szCs w:val="21"/>
              </w:rPr>
            </w:pPr>
            <w:r>
              <w:rPr>
                <w:color w:val="auto"/>
                <w:szCs w:val="21"/>
              </w:rPr>
              <w:t>0.001</w:t>
            </w:r>
          </w:p>
        </w:tc>
        <w:tc>
          <w:tcPr>
            <w:tcW w:w="1871" w:type="dxa"/>
            <w:gridSpan w:val="2"/>
            <w:tcBorders>
              <w:right w:val="single" w:color="auto" w:sz="12" w:space="0"/>
            </w:tcBorders>
            <w:vAlign w:val="center"/>
          </w:tcPr>
          <w:p>
            <w:pPr>
              <w:jc w:val="center"/>
              <w:rPr>
                <w:color w:val="auto"/>
                <w:szCs w:val="21"/>
              </w:rPr>
            </w:pPr>
            <w:r>
              <w:rPr>
                <w:color w:val="auto"/>
                <w:szCs w:val="21"/>
              </w:rPr>
              <w:t>+0.001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38" w:type="dxa"/>
            <w:vMerge w:val="continue"/>
            <w:tcBorders>
              <w:left w:val="single" w:color="auto" w:sz="12" w:space="0"/>
            </w:tcBorders>
            <w:vAlign w:val="center"/>
          </w:tcPr>
          <w:p>
            <w:pPr>
              <w:jc w:val="center"/>
              <w:rPr>
                <w:snapToGrid w:val="0"/>
                <w:color w:val="auto"/>
                <w:szCs w:val="21"/>
              </w:rPr>
            </w:pPr>
          </w:p>
        </w:tc>
        <w:tc>
          <w:tcPr>
            <w:tcW w:w="450" w:type="dxa"/>
            <w:vMerge w:val="continue"/>
            <w:vAlign w:val="center"/>
          </w:tcPr>
          <w:p>
            <w:pPr>
              <w:jc w:val="center"/>
              <w:rPr>
                <w:color w:val="auto"/>
                <w:kern w:val="0"/>
                <w:szCs w:val="21"/>
              </w:rPr>
            </w:pPr>
          </w:p>
        </w:tc>
        <w:tc>
          <w:tcPr>
            <w:tcW w:w="1350" w:type="dxa"/>
            <w:tcBorders>
              <w:top w:val="single" w:color="auto" w:sz="4" w:space="0"/>
            </w:tcBorders>
            <w:vAlign w:val="center"/>
          </w:tcPr>
          <w:p>
            <w:pPr>
              <w:pStyle w:val="30"/>
              <w:widowControl w:val="0"/>
              <w:spacing w:before="0" w:beforeAutospacing="0" w:after="0" w:afterAutospacing="0"/>
              <w:jc w:val="center"/>
              <w:rPr>
                <w:rFonts w:ascii="Times New Roman" w:hAnsi="Times New Roman"/>
                <w:color w:val="auto"/>
                <w:spacing w:val="-4"/>
                <w:sz w:val="21"/>
                <w:szCs w:val="21"/>
              </w:rPr>
            </w:pPr>
            <w:r>
              <w:rPr>
                <w:rFonts w:ascii="Times New Roman" w:hAnsi="Times New Roman"/>
                <w:color w:val="auto"/>
                <w:kern w:val="2"/>
                <w:sz w:val="21"/>
                <w:szCs w:val="21"/>
              </w:rPr>
              <w:t>二氧化硫</w:t>
            </w:r>
          </w:p>
        </w:tc>
        <w:tc>
          <w:tcPr>
            <w:tcW w:w="1943" w:type="dxa"/>
            <w:gridSpan w:val="2"/>
            <w:tcBorders>
              <w:top w:val="single" w:color="auto" w:sz="4" w:space="0"/>
            </w:tcBorders>
            <w:vAlign w:val="center"/>
          </w:tcPr>
          <w:p>
            <w:pPr>
              <w:pStyle w:val="30"/>
              <w:widowControl w:val="0"/>
              <w:spacing w:before="0" w:after="0"/>
              <w:jc w:val="center"/>
              <w:rPr>
                <w:rFonts w:ascii="Times New Roman" w:hAnsi="Times New Roman"/>
                <w:color w:val="auto"/>
                <w:sz w:val="21"/>
                <w:szCs w:val="21"/>
              </w:rPr>
            </w:pPr>
          </w:p>
        </w:tc>
        <w:tc>
          <w:tcPr>
            <w:tcW w:w="989" w:type="dxa"/>
            <w:tcBorders>
              <w:top w:val="single" w:color="auto" w:sz="4" w:space="0"/>
            </w:tcBorders>
            <w:vAlign w:val="center"/>
          </w:tcPr>
          <w:p>
            <w:pPr>
              <w:pStyle w:val="30"/>
              <w:widowControl w:val="0"/>
              <w:spacing w:before="0" w:after="0"/>
              <w:jc w:val="center"/>
              <w:rPr>
                <w:rFonts w:ascii="Times New Roman" w:hAnsi="Times New Roman"/>
                <w:color w:val="auto"/>
                <w:sz w:val="21"/>
                <w:szCs w:val="21"/>
              </w:rPr>
            </w:pPr>
          </w:p>
        </w:tc>
        <w:tc>
          <w:tcPr>
            <w:tcW w:w="1696" w:type="dxa"/>
            <w:gridSpan w:val="2"/>
            <w:tcBorders>
              <w:top w:val="single" w:color="auto" w:sz="4" w:space="0"/>
            </w:tcBorders>
            <w:vAlign w:val="center"/>
          </w:tcPr>
          <w:p>
            <w:pPr>
              <w:pStyle w:val="30"/>
              <w:widowControl w:val="0"/>
              <w:spacing w:before="0" w:after="0"/>
              <w:jc w:val="center"/>
              <w:rPr>
                <w:rFonts w:ascii="Times New Roman" w:hAnsi="Times New Roman"/>
                <w:snapToGrid w:val="0"/>
                <w:color w:val="auto"/>
                <w:sz w:val="21"/>
                <w:szCs w:val="21"/>
              </w:rPr>
            </w:pPr>
          </w:p>
        </w:tc>
        <w:tc>
          <w:tcPr>
            <w:tcW w:w="1696" w:type="dxa"/>
            <w:gridSpan w:val="2"/>
            <w:tcBorders>
              <w:top w:val="single" w:color="auto" w:sz="4" w:space="0"/>
            </w:tcBorders>
            <w:vAlign w:val="center"/>
          </w:tcPr>
          <w:p>
            <w:pPr>
              <w:jc w:val="center"/>
              <w:rPr>
                <w:color w:val="auto"/>
                <w:szCs w:val="21"/>
              </w:rPr>
            </w:pPr>
            <w:r>
              <w:rPr>
                <w:color w:val="auto"/>
                <w:szCs w:val="21"/>
              </w:rPr>
              <w:t>0.000</w:t>
            </w:r>
          </w:p>
        </w:tc>
        <w:tc>
          <w:tcPr>
            <w:tcW w:w="1023" w:type="dxa"/>
            <w:tcBorders>
              <w:top w:val="single" w:color="auto" w:sz="4" w:space="0"/>
            </w:tcBorders>
            <w:vAlign w:val="center"/>
          </w:tcPr>
          <w:p>
            <w:pPr>
              <w:pStyle w:val="30"/>
              <w:widowControl w:val="0"/>
              <w:spacing w:before="0" w:after="0"/>
              <w:jc w:val="center"/>
              <w:rPr>
                <w:rFonts w:ascii="Times New Roman" w:hAnsi="Times New Roman"/>
                <w:snapToGrid w:val="0"/>
                <w:color w:val="auto"/>
                <w:sz w:val="21"/>
                <w:szCs w:val="21"/>
              </w:rPr>
            </w:pPr>
          </w:p>
        </w:tc>
        <w:tc>
          <w:tcPr>
            <w:tcW w:w="1670" w:type="dxa"/>
            <w:gridSpan w:val="2"/>
            <w:tcBorders>
              <w:top w:val="single" w:color="auto" w:sz="4" w:space="0"/>
            </w:tcBorders>
            <w:vAlign w:val="center"/>
          </w:tcPr>
          <w:p>
            <w:pPr>
              <w:jc w:val="center"/>
              <w:rPr>
                <w:color w:val="auto"/>
                <w:szCs w:val="21"/>
              </w:rPr>
            </w:pPr>
            <w:r>
              <w:rPr>
                <w:color w:val="auto"/>
                <w:szCs w:val="21"/>
              </w:rPr>
              <w:t>0.000</w:t>
            </w:r>
          </w:p>
        </w:tc>
        <w:tc>
          <w:tcPr>
            <w:tcW w:w="1871" w:type="dxa"/>
            <w:gridSpan w:val="2"/>
            <w:tcBorders>
              <w:right w:val="single" w:color="auto" w:sz="12" w:space="0"/>
            </w:tcBorders>
            <w:vAlign w:val="center"/>
          </w:tcPr>
          <w:p>
            <w:pPr>
              <w:jc w:val="center"/>
              <w:rPr>
                <w:color w:val="auto"/>
                <w:szCs w:val="21"/>
              </w:rPr>
            </w:pPr>
            <w:r>
              <w:rPr>
                <w:color w:val="auto"/>
                <w:szCs w:val="21"/>
              </w:rPr>
              <w:t>+0.000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38" w:type="dxa"/>
            <w:vMerge w:val="continue"/>
            <w:tcBorders>
              <w:left w:val="single" w:color="auto" w:sz="12" w:space="0"/>
              <w:bottom w:val="single" w:color="auto" w:sz="4" w:space="0"/>
            </w:tcBorders>
            <w:vAlign w:val="center"/>
          </w:tcPr>
          <w:p>
            <w:pPr>
              <w:jc w:val="center"/>
              <w:rPr>
                <w:snapToGrid w:val="0"/>
                <w:color w:val="auto"/>
                <w:szCs w:val="21"/>
              </w:rPr>
            </w:pPr>
          </w:p>
        </w:tc>
        <w:tc>
          <w:tcPr>
            <w:tcW w:w="450" w:type="dxa"/>
            <w:vMerge w:val="continue"/>
            <w:tcBorders>
              <w:bottom w:val="single" w:color="auto" w:sz="4" w:space="0"/>
            </w:tcBorders>
            <w:vAlign w:val="center"/>
          </w:tcPr>
          <w:p>
            <w:pPr>
              <w:jc w:val="center"/>
              <w:rPr>
                <w:color w:val="auto"/>
                <w:kern w:val="0"/>
                <w:szCs w:val="21"/>
              </w:rPr>
            </w:pPr>
          </w:p>
        </w:tc>
        <w:tc>
          <w:tcPr>
            <w:tcW w:w="1350" w:type="dxa"/>
            <w:tcBorders>
              <w:top w:val="single" w:color="auto" w:sz="4" w:space="0"/>
            </w:tcBorders>
            <w:vAlign w:val="center"/>
          </w:tcPr>
          <w:p>
            <w:pPr>
              <w:pStyle w:val="30"/>
              <w:widowControl w:val="0"/>
              <w:spacing w:before="0" w:beforeAutospacing="0" w:after="0" w:afterAutospacing="0"/>
              <w:jc w:val="center"/>
              <w:rPr>
                <w:rFonts w:ascii="Times New Roman" w:hAnsi="Times New Roman"/>
                <w:color w:val="auto"/>
                <w:spacing w:val="-4"/>
                <w:sz w:val="21"/>
                <w:szCs w:val="21"/>
              </w:rPr>
            </w:pPr>
            <w:r>
              <w:rPr>
                <w:rFonts w:ascii="Times New Roman" w:hAnsi="Times New Roman"/>
                <w:color w:val="auto"/>
                <w:sz w:val="21"/>
                <w:szCs w:val="21"/>
              </w:rPr>
              <w:t>氮氧化物</w:t>
            </w:r>
          </w:p>
        </w:tc>
        <w:tc>
          <w:tcPr>
            <w:tcW w:w="1943" w:type="dxa"/>
            <w:gridSpan w:val="2"/>
            <w:tcBorders>
              <w:top w:val="single" w:color="auto" w:sz="4" w:space="0"/>
            </w:tcBorders>
            <w:vAlign w:val="center"/>
          </w:tcPr>
          <w:p>
            <w:pPr>
              <w:pStyle w:val="30"/>
              <w:widowControl w:val="0"/>
              <w:spacing w:before="0" w:after="0"/>
              <w:jc w:val="center"/>
              <w:rPr>
                <w:rFonts w:ascii="Times New Roman" w:hAnsi="Times New Roman"/>
                <w:color w:val="auto"/>
                <w:sz w:val="21"/>
                <w:szCs w:val="21"/>
              </w:rPr>
            </w:pPr>
          </w:p>
        </w:tc>
        <w:tc>
          <w:tcPr>
            <w:tcW w:w="989" w:type="dxa"/>
            <w:tcBorders>
              <w:top w:val="single" w:color="auto" w:sz="4" w:space="0"/>
            </w:tcBorders>
            <w:vAlign w:val="center"/>
          </w:tcPr>
          <w:p>
            <w:pPr>
              <w:pStyle w:val="30"/>
              <w:widowControl w:val="0"/>
              <w:spacing w:before="0" w:after="0"/>
              <w:jc w:val="center"/>
              <w:rPr>
                <w:rFonts w:ascii="Times New Roman" w:hAnsi="Times New Roman"/>
                <w:color w:val="auto"/>
                <w:sz w:val="21"/>
                <w:szCs w:val="21"/>
              </w:rPr>
            </w:pPr>
          </w:p>
        </w:tc>
        <w:tc>
          <w:tcPr>
            <w:tcW w:w="1696" w:type="dxa"/>
            <w:gridSpan w:val="2"/>
            <w:tcBorders>
              <w:top w:val="single" w:color="auto" w:sz="4" w:space="0"/>
            </w:tcBorders>
            <w:vAlign w:val="center"/>
          </w:tcPr>
          <w:p>
            <w:pPr>
              <w:pStyle w:val="30"/>
              <w:widowControl w:val="0"/>
              <w:spacing w:before="0" w:after="0"/>
              <w:jc w:val="center"/>
              <w:rPr>
                <w:rFonts w:ascii="Times New Roman" w:hAnsi="Times New Roman"/>
                <w:snapToGrid w:val="0"/>
                <w:color w:val="auto"/>
                <w:sz w:val="21"/>
                <w:szCs w:val="21"/>
              </w:rPr>
            </w:pPr>
          </w:p>
        </w:tc>
        <w:tc>
          <w:tcPr>
            <w:tcW w:w="1696" w:type="dxa"/>
            <w:gridSpan w:val="2"/>
            <w:tcBorders>
              <w:top w:val="single" w:color="auto" w:sz="4" w:space="0"/>
            </w:tcBorders>
            <w:vAlign w:val="center"/>
          </w:tcPr>
          <w:p>
            <w:pPr>
              <w:jc w:val="center"/>
              <w:rPr>
                <w:color w:val="auto"/>
                <w:szCs w:val="21"/>
              </w:rPr>
            </w:pPr>
            <w:r>
              <w:rPr>
                <w:color w:val="auto"/>
                <w:szCs w:val="21"/>
              </w:rPr>
              <w:t>0.00</w:t>
            </w:r>
            <w:r>
              <w:rPr>
                <w:rFonts w:hint="eastAsia"/>
                <w:color w:val="auto"/>
                <w:szCs w:val="21"/>
              </w:rPr>
              <w:t>0</w:t>
            </w:r>
          </w:p>
        </w:tc>
        <w:tc>
          <w:tcPr>
            <w:tcW w:w="1023" w:type="dxa"/>
            <w:tcBorders>
              <w:top w:val="single" w:color="auto" w:sz="4" w:space="0"/>
            </w:tcBorders>
            <w:vAlign w:val="center"/>
          </w:tcPr>
          <w:p>
            <w:pPr>
              <w:pStyle w:val="30"/>
              <w:widowControl w:val="0"/>
              <w:spacing w:before="0" w:after="0"/>
              <w:jc w:val="center"/>
              <w:rPr>
                <w:rFonts w:ascii="Times New Roman" w:hAnsi="Times New Roman"/>
                <w:snapToGrid w:val="0"/>
                <w:color w:val="auto"/>
                <w:sz w:val="21"/>
                <w:szCs w:val="21"/>
              </w:rPr>
            </w:pPr>
          </w:p>
        </w:tc>
        <w:tc>
          <w:tcPr>
            <w:tcW w:w="1670" w:type="dxa"/>
            <w:gridSpan w:val="2"/>
            <w:tcBorders>
              <w:top w:val="single" w:color="auto" w:sz="4" w:space="0"/>
            </w:tcBorders>
            <w:vAlign w:val="center"/>
          </w:tcPr>
          <w:p>
            <w:pPr>
              <w:jc w:val="center"/>
              <w:rPr>
                <w:color w:val="auto"/>
                <w:szCs w:val="21"/>
              </w:rPr>
            </w:pPr>
            <w:r>
              <w:rPr>
                <w:color w:val="auto"/>
                <w:szCs w:val="21"/>
              </w:rPr>
              <w:t>0.001</w:t>
            </w:r>
          </w:p>
        </w:tc>
        <w:tc>
          <w:tcPr>
            <w:tcW w:w="1871" w:type="dxa"/>
            <w:gridSpan w:val="2"/>
            <w:tcBorders>
              <w:bottom w:val="single" w:color="auto" w:sz="4" w:space="0"/>
              <w:right w:val="single" w:color="auto" w:sz="12" w:space="0"/>
            </w:tcBorders>
            <w:vAlign w:val="center"/>
          </w:tcPr>
          <w:p>
            <w:pPr>
              <w:jc w:val="center"/>
              <w:rPr>
                <w:color w:val="auto"/>
                <w:szCs w:val="21"/>
              </w:rPr>
            </w:pPr>
            <w:r>
              <w:rPr>
                <w:color w:val="auto"/>
                <w:szCs w:val="21"/>
              </w:rPr>
              <w:t>+0.001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38" w:type="dxa"/>
            <w:vMerge w:val="restart"/>
            <w:tcBorders>
              <w:top w:val="single" w:color="auto" w:sz="4" w:space="0"/>
              <w:left w:val="single" w:color="auto" w:sz="12" w:space="0"/>
              <w:bottom w:val="single" w:color="auto" w:sz="4" w:space="0"/>
            </w:tcBorders>
            <w:vAlign w:val="center"/>
          </w:tcPr>
          <w:p>
            <w:pPr>
              <w:jc w:val="center"/>
              <w:rPr>
                <w:snapToGrid w:val="0"/>
                <w:color w:val="auto"/>
                <w:szCs w:val="21"/>
              </w:rPr>
            </w:pPr>
            <w:r>
              <w:rPr>
                <w:color w:val="auto"/>
                <w:szCs w:val="21"/>
              </w:rPr>
              <w:t>水污染物</w:t>
            </w:r>
          </w:p>
        </w:tc>
        <w:tc>
          <w:tcPr>
            <w:tcW w:w="1800" w:type="dxa"/>
            <w:gridSpan w:val="2"/>
            <w:tcBorders>
              <w:top w:val="single" w:color="auto" w:sz="4" w:space="0"/>
              <w:bottom w:val="single" w:color="auto" w:sz="4" w:space="0"/>
            </w:tcBorders>
            <w:vAlign w:val="center"/>
          </w:tcPr>
          <w:p>
            <w:pPr>
              <w:jc w:val="center"/>
              <w:rPr>
                <w:color w:val="auto"/>
                <w:szCs w:val="21"/>
              </w:rPr>
            </w:pPr>
            <w:r>
              <w:rPr>
                <w:color w:val="auto"/>
                <w:szCs w:val="21"/>
              </w:rPr>
              <w:t>--</w:t>
            </w:r>
          </w:p>
        </w:tc>
        <w:tc>
          <w:tcPr>
            <w:tcW w:w="971" w:type="dxa"/>
            <w:tcBorders>
              <w:top w:val="single" w:color="auto" w:sz="4" w:space="0"/>
              <w:bottom w:val="single" w:color="auto" w:sz="4" w:space="0"/>
            </w:tcBorders>
            <w:vAlign w:val="center"/>
          </w:tcPr>
          <w:p>
            <w:pPr>
              <w:pStyle w:val="30"/>
              <w:widowControl w:val="0"/>
              <w:spacing w:before="0" w:beforeAutospacing="0" w:after="0" w:afterAutospacing="0"/>
              <w:jc w:val="center"/>
              <w:rPr>
                <w:rFonts w:ascii="Times New Roman" w:hAnsi="Times New Roman"/>
                <w:color w:val="auto"/>
                <w:sz w:val="21"/>
                <w:szCs w:val="21"/>
              </w:rPr>
            </w:pPr>
            <w:r>
              <w:rPr>
                <w:rFonts w:ascii="Times New Roman" w:hAnsi="Times New Roman"/>
                <w:color w:val="auto"/>
                <w:kern w:val="2"/>
                <w:sz w:val="21"/>
                <w:szCs w:val="21"/>
              </w:rPr>
              <w:t>接管量</w:t>
            </w:r>
          </w:p>
        </w:tc>
        <w:tc>
          <w:tcPr>
            <w:tcW w:w="972" w:type="dxa"/>
            <w:tcBorders>
              <w:top w:val="single" w:color="auto" w:sz="4" w:space="0"/>
              <w:bottom w:val="single" w:color="auto" w:sz="4" w:space="0"/>
            </w:tcBorders>
            <w:vAlign w:val="center"/>
          </w:tcPr>
          <w:p>
            <w:pPr>
              <w:pStyle w:val="30"/>
              <w:widowControl w:val="0"/>
              <w:spacing w:before="0" w:beforeAutospacing="0" w:after="0" w:afterAutospacing="0"/>
              <w:jc w:val="center"/>
              <w:rPr>
                <w:rFonts w:ascii="Times New Roman" w:hAnsi="Times New Roman"/>
                <w:color w:val="auto"/>
                <w:sz w:val="21"/>
                <w:szCs w:val="21"/>
              </w:rPr>
            </w:pPr>
            <w:r>
              <w:rPr>
                <w:rFonts w:ascii="Times New Roman" w:hAnsi="Times New Roman"/>
                <w:color w:val="auto"/>
                <w:kern w:val="2"/>
                <w:sz w:val="21"/>
                <w:szCs w:val="21"/>
              </w:rPr>
              <w:t>外排量</w:t>
            </w:r>
          </w:p>
        </w:tc>
        <w:tc>
          <w:tcPr>
            <w:tcW w:w="989" w:type="dxa"/>
            <w:tcBorders>
              <w:top w:val="single" w:color="auto" w:sz="4" w:space="0"/>
              <w:bottom w:val="single" w:color="auto" w:sz="4" w:space="0"/>
            </w:tcBorders>
            <w:vAlign w:val="center"/>
          </w:tcPr>
          <w:p>
            <w:pPr>
              <w:jc w:val="center"/>
              <w:rPr>
                <w:snapToGrid w:val="0"/>
                <w:color w:val="auto"/>
                <w:szCs w:val="21"/>
              </w:rPr>
            </w:pPr>
            <w:r>
              <w:rPr>
                <w:color w:val="auto"/>
                <w:szCs w:val="21"/>
              </w:rPr>
              <w:t>外排量</w:t>
            </w:r>
          </w:p>
        </w:tc>
        <w:tc>
          <w:tcPr>
            <w:tcW w:w="848" w:type="dxa"/>
            <w:tcBorders>
              <w:top w:val="single" w:color="auto" w:sz="4" w:space="0"/>
              <w:bottom w:val="single" w:color="auto" w:sz="4" w:space="0"/>
            </w:tcBorders>
            <w:vAlign w:val="center"/>
          </w:tcPr>
          <w:p>
            <w:pPr>
              <w:pStyle w:val="30"/>
              <w:widowControl w:val="0"/>
              <w:spacing w:before="0" w:beforeAutospacing="0" w:after="0" w:afterAutospacing="0"/>
              <w:jc w:val="center"/>
              <w:rPr>
                <w:rFonts w:ascii="Times New Roman" w:hAnsi="Times New Roman"/>
                <w:color w:val="auto"/>
                <w:sz w:val="21"/>
                <w:szCs w:val="21"/>
              </w:rPr>
            </w:pPr>
            <w:r>
              <w:rPr>
                <w:rFonts w:ascii="Times New Roman" w:hAnsi="Times New Roman"/>
                <w:color w:val="auto"/>
                <w:kern w:val="2"/>
                <w:sz w:val="21"/>
                <w:szCs w:val="21"/>
              </w:rPr>
              <w:t>接管量</w:t>
            </w:r>
          </w:p>
        </w:tc>
        <w:tc>
          <w:tcPr>
            <w:tcW w:w="848" w:type="dxa"/>
            <w:tcBorders>
              <w:top w:val="single" w:color="auto" w:sz="4" w:space="0"/>
              <w:bottom w:val="single" w:color="auto" w:sz="4" w:space="0"/>
            </w:tcBorders>
            <w:vAlign w:val="center"/>
          </w:tcPr>
          <w:p>
            <w:pPr>
              <w:pStyle w:val="30"/>
              <w:widowControl w:val="0"/>
              <w:spacing w:before="0" w:beforeAutospacing="0" w:after="0" w:afterAutospacing="0"/>
              <w:jc w:val="center"/>
              <w:rPr>
                <w:rFonts w:ascii="Times New Roman" w:hAnsi="Times New Roman"/>
                <w:color w:val="auto"/>
                <w:sz w:val="21"/>
                <w:szCs w:val="21"/>
              </w:rPr>
            </w:pPr>
            <w:r>
              <w:rPr>
                <w:rFonts w:ascii="Times New Roman" w:hAnsi="Times New Roman"/>
                <w:color w:val="auto"/>
                <w:kern w:val="2"/>
                <w:sz w:val="21"/>
                <w:szCs w:val="21"/>
              </w:rPr>
              <w:t>外排量</w:t>
            </w:r>
          </w:p>
        </w:tc>
        <w:tc>
          <w:tcPr>
            <w:tcW w:w="848" w:type="dxa"/>
            <w:tcBorders>
              <w:top w:val="single" w:color="auto" w:sz="4" w:space="0"/>
              <w:bottom w:val="single" w:color="auto" w:sz="4" w:space="0"/>
            </w:tcBorders>
            <w:vAlign w:val="center"/>
          </w:tcPr>
          <w:p>
            <w:pPr>
              <w:pStyle w:val="30"/>
              <w:widowControl w:val="0"/>
              <w:spacing w:before="0" w:beforeAutospacing="0" w:after="0" w:afterAutospacing="0"/>
              <w:jc w:val="center"/>
              <w:rPr>
                <w:rFonts w:ascii="Times New Roman" w:hAnsi="Times New Roman"/>
                <w:color w:val="auto"/>
                <w:sz w:val="21"/>
                <w:szCs w:val="21"/>
              </w:rPr>
            </w:pPr>
            <w:r>
              <w:rPr>
                <w:rFonts w:ascii="Times New Roman" w:hAnsi="Times New Roman"/>
                <w:color w:val="auto"/>
                <w:kern w:val="2"/>
                <w:sz w:val="21"/>
                <w:szCs w:val="21"/>
              </w:rPr>
              <w:t>接管量</w:t>
            </w:r>
          </w:p>
        </w:tc>
        <w:tc>
          <w:tcPr>
            <w:tcW w:w="848" w:type="dxa"/>
            <w:tcBorders>
              <w:top w:val="single" w:color="auto" w:sz="4" w:space="0"/>
              <w:bottom w:val="single" w:color="auto" w:sz="4" w:space="0"/>
            </w:tcBorders>
            <w:vAlign w:val="center"/>
          </w:tcPr>
          <w:p>
            <w:pPr>
              <w:pStyle w:val="30"/>
              <w:widowControl w:val="0"/>
              <w:spacing w:before="0" w:beforeAutospacing="0" w:after="0" w:afterAutospacing="0"/>
              <w:jc w:val="center"/>
              <w:rPr>
                <w:rFonts w:ascii="Times New Roman" w:hAnsi="Times New Roman"/>
                <w:color w:val="auto"/>
                <w:sz w:val="21"/>
                <w:szCs w:val="21"/>
              </w:rPr>
            </w:pPr>
            <w:r>
              <w:rPr>
                <w:rFonts w:ascii="Times New Roman" w:hAnsi="Times New Roman"/>
                <w:color w:val="auto"/>
                <w:kern w:val="2"/>
                <w:sz w:val="21"/>
                <w:szCs w:val="21"/>
              </w:rPr>
              <w:t>外排量</w:t>
            </w:r>
          </w:p>
        </w:tc>
        <w:tc>
          <w:tcPr>
            <w:tcW w:w="1023" w:type="dxa"/>
            <w:tcBorders>
              <w:top w:val="single" w:color="auto" w:sz="4" w:space="0"/>
              <w:bottom w:val="single" w:color="auto" w:sz="4" w:space="0"/>
            </w:tcBorders>
            <w:vAlign w:val="center"/>
          </w:tcPr>
          <w:p>
            <w:pPr>
              <w:jc w:val="center"/>
              <w:rPr>
                <w:snapToGrid w:val="0"/>
                <w:color w:val="auto"/>
                <w:szCs w:val="21"/>
              </w:rPr>
            </w:pPr>
            <w:r>
              <w:rPr>
                <w:snapToGrid w:val="0"/>
                <w:color w:val="auto"/>
                <w:szCs w:val="21"/>
              </w:rPr>
              <w:t>--</w:t>
            </w:r>
          </w:p>
        </w:tc>
        <w:tc>
          <w:tcPr>
            <w:tcW w:w="852" w:type="dxa"/>
            <w:tcBorders>
              <w:top w:val="single" w:color="auto" w:sz="4" w:space="0"/>
              <w:bottom w:val="single" w:color="auto" w:sz="4" w:space="0"/>
            </w:tcBorders>
            <w:vAlign w:val="center"/>
          </w:tcPr>
          <w:p>
            <w:pPr>
              <w:pStyle w:val="30"/>
              <w:widowControl w:val="0"/>
              <w:spacing w:before="0" w:beforeAutospacing="0" w:after="0" w:afterAutospacing="0"/>
              <w:jc w:val="center"/>
              <w:rPr>
                <w:rFonts w:ascii="Times New Roman" w:hAnsi="Times New Roman"/>
                <w:color w:val="auto"/>
                <w:sz w:val="21"/>
                <w:szCs w:val="21"/>
              </w:rPr>
            </w:pPr>
            <w:r>
              <w:rPr>
                <w:rFonts w:ascii="Times New Roman" w:hAnsi="Times New Roman"/>
                <w:color w:val="auto"/>
                <w:kern w:val="2"/>
                <w:sz w:val="21"/>
                <w:szCs w:val="21"/>
              </w:rPr>
              <w:t>接管量</w:t>
            </w:r>
          </w:p>
        </w:tc>
        <w:tc>
          <w:tcPr>
            <w:tcW w:w="818" w:type="dxa"/>
            <w:tcBorders>
              <w:top w:val="single" w:color="auto" w:sz="4" w:space="0"/>
              <w:bottom w:val="single" w:color="auto" w:sz="4" w:space="0"/>
            </w:tcBorders>
            <w:vAlign w:val="center"/>
          </w:tcPr>
          <w:p>
            <w:pPr>
              <w:pStyle w:val="30"/>
              <w:widowControl w:val="0"/>
              <w:spacing w:before="0" w:beforeAutospacing="0" w:after="0" w:afterAutospacing="0"/>
              <w:jc w:val="center"/>
              <w:rPr>
                <w:rFonts w:ascii="Times New Roman" w:hAnsi="Times New Roman"/>
                <w:color w:val="auto"/>
                <w:sz w:val="21"/>
                <w:szCs w:val="21"/>
              </w:rPr>
            </w:pPr>
            <w:r>
              <w:rPr>
                <w:rFonts w:ascii="Times New Roman" w:hAnsi="Times New Roman"/>
                <w:color w:val="auto"/>
                <w:kern w:val="2"/>
                <w:sz w:val="21"/>
                <w:szCs w:val="21"/>
              </w:rPr>
              <w:t>外排量</w:t>
            </w:r>
          </w:p>
        </w:tc>
        <w:tc>
          <w:tcPr>
            <w:tcW w:w="955" w:type="dxa"/>
            <w:tcBorders>
              <w:top w:val="single" w:color="auto" w:sz="4" w:space="0"/>
              <w:bottom w:val="single" w:color="auto" w:sz="4" w:space="0"/>
            </w:tcBorders>
            <w:vAlign w:val="center"/>
          </w:tcPr>
          <w:p>
            <w:pPr>
              <w:pStyle w:val="30"/>
              <w:widowControl w:val="0"/>
              <w:spacing w:before="0" w:beforeAutospacing="0" w:after="0" w:afterAutospacing="0"/>
              <w:jc w:val="center"/>
              <w:rPr>
                <w:rFonts w:ascii="Times New Roman" w:hAnsi="Times New Roman"/>
                <w:color w:val="auto"/>
                <w:sz w:val="21"/>
                <w:szCs w:val="21"/>
              </w:rPr>
            </w:pPr>
            <w:r>
              <w:rPr>
                <w:rFonts w:ascii="Times New Roman" w:hAnsi="Times New Roman"/>
                <w:color w:val="auto"/>
                <w:kern w:val="2"/>
                <w:sz w:val="21"/>
                <w:szCs w:val="21"/>
              </w:rPr>
              <w:t>接管量</w:t>
            </w:r>
          </w:p>
        </w:tc>
        <w:tc>
          <w:tcPr>
            <w:tcW w:w="916" w:type="dxa"/>
            <w:tcBorders>
              <w:top w:val="single" w:color="auto" w:sz="4" w:space="0"/>
              <w:bottom w:val="single" w:color="auto" w:sz="4" w:space="0"/>
              <w:right w:val="single" w:color="auto" w:sz="12" w:space="0"/>
            </w:tcBorders>
            <w:vAlign w:val="center"/>
          </w:tcPr>
          <w:p>
            <w:pPr>
              <w:pStyle w:val="30"/>
              <w:widowControl w:val="0"/>
              <w:spacing w:before="0" w:beforeAutospacing="0" w:after="0" w:afterAutospacing="0"/>
              <w:jc w:val="center"/>
              <w:rPr>
                <w:rFonts w:ascii="Times New Roman" w:hAnsi="Times New Roman"/>
                <w:color w:val="auto"/>
                <w:sz w:val="21"/>
                <w:szCs w:val="21"/>
              </w:rPr>
            </w:pPr>
            <w:r>
              <w:rPr>
                <w:rFonts w:ascii="Times New Roman" w:hAnsi="Times New Roman"/>
                <w:color w:val="auto"/>
                <w:kern w:val="2"/>
                <w:sz w:val="21"/>
                <w:szCs w:val="21"/>
              </w:rPr>
              <w:t>外排量</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38" w:type="dxa"/>
            <w:vMerge w:val="continue"/>
            <w:tcBorders>
              <w:top w:val="single" w:color="auto" w:sz="4" w:space="0"/>
              <w:left w:val="single" w:color="auto" w:sz="12" w:space="0"/>
              <w:bottom w:val="single" w:color="auto" w:sz="4" w:space="0"/>
            </w:tcBorders>
            <w:vAlign w:val="center"/>
          </w:tcPr>
          <w:p>
            <w:pPr>
              <w:jc w:val="center"/>
              <w:rPr>
                <w:snapToGrid w:val="0"/>
                <w:color w:val="auto"/>
                <w:szCs w:val="21"/>
              </w:rPr>
            </w:pPr>
          </w:p>
        </w:tc>
        <w:tc>
          <w:tcPr>
            <w:tcW w:w="1800" w:type="dxa"/>
            <w:gridSpan w:val="2"/>
            <w:tcBorders>
              <w:top w:val="single" w:color="auto" w:sz="4" w:space="0"/>
              <w:bottom w:val="single" w:color="auto" w:sz="4" w:space="0"/>
            </w:tcBorders>
            <w:vAlign w:val="center"/>
          </w:tcPr>
          <w:p>
            <w:pPr>
              <w:pStyle w:val="30"/>
              <w:widowControl w:val="0"/>
              <w:spacing w:before="0" w:beforeAutospacing="0" w:after="0" w:afterAutospacing="0"/>
              <w:jc w:val="center"/>
              <w:rPr>
                <w:rFonts w:ascii="Times New Roman" w:hAnsi="Times New Roman"/>
                <w:color w:val="auto"/>
                <w:sz w:val="21"/>
                <w:szCs w:val="21"/>
              </w:rPr>
            </w:pPr>
            <w:r>
              <w:rPr>
                <w:rFonts w:ascii="Times New Roman" w:hAnsi="Times New Roman"/>
                <w:color w:val="auto"/>
                <w:kern w:val="2"/>
                <w:sz w:val="21"/>
                <w:szCs w:val="21"/>
              </w:rPr>
              <w:t>废水量m</w:t>
            </w:r>
            <w:r>
              <w:rPr>
                <w:rFonts w:ascii="Times New Roman" w:hAnsi="Times New Roman"/>
                <w:color w:val="auto"/>
                <w:kern w:val="2"/>
                <w:sz w:val="21"/>
                <w:szCs w:val="21"/>
                <w:vertAlign w:val="superscript"/>
              </w:rPr>
              <w:t>3</w:t>
            </w:r>
            <w:r>
              <w:rPr>
                <w:rFonts w:ascii="Times New Roman" w:hAnsi="Times New Roman"/>
                <w:color w:val="auto"/>
                <w:kern w:val="2"/>
                <w:sz w:val="21"/>
                <w:szCs w:val="21"/>
              </w:rPr>
              <w:t>/a</w:t>
            </w:r>
          </w:p>
        </w:tc>
        <w:tc>
          <w:tcPr>
            <w:tcW w:w="971" w:type="dxa"/>
            <w:tcBorders>
              <w:top w:val="single" w:color="auto" w:sz="4" w:space="0"/>
              <w:bottom w:val="single" w:color="auto" w:sz="4" w:space="0"/>
            </w:tcBorders>
            <w:vAlign w:val="center"/>
          </w:tcPr>
          <w:p>
            <w:pPr>
              <w:spacing w:line="288" w:lineRule="auto"/>
              <w:jc w:val="center"/>
              <w:rPr>
                <w:color w:val="auto"/>
                <w:szCs w:val="21"/>
              </w:rPr>
            </w:pPr>
            <w:r>
              <w:rPr>
                <w:color w:val="auto"/>
                <w:kern w:val="0"/>
                <w:szCs w:val="21"/>
              </w:rPr>
              <w:t>99547</w:t>
            </w:r>
          </w:p>
        </w:tc>
        <w:tc>
          <w:tcPr>
            <w:tcW w:w="972" w:type="dxa"/>
            <w:tcBorders>
              <w:top w:val="single" w:color="auto" w:sz="4" w:space="0"/>
              <w:bottom w:val="single" w:color="auto" w:sz="4" w:space="0"/>
            </w:tcBorders>
            <w:vAlign w:val="center"/>
          </w:tcPr>
          <w:p>
            <w:pPr>
              <w:wordWrap w:val="0"/>
              <w:overflowPunct w:val="0"/>
              <w:autoSpaceDE w:val="0"/>
              <w:spacing w:line="240" w:lineRule="atLeast"/>
              <w:jc w:val="center"/>
              <w:rPr>
                <w:color w:val="auto"/>
                <w:szCs w:val="21"/>
              </w:rPr>
            </w:pPr>
            <w:r>
              <w:rPr>
                <w:color w:val="auto"/>
                <w:kern w:val="0"/>
                <w:szCs w:val="21"/>
              </w:rPr>
              <w:t>99547</w:t>
            </w:r>
          </w:p>
        </w:tc>
        <w:tc>
          <w:tcPr>
            <w:tcW w:w="989" w:type="dxa"/>
            <w:tcBorders>
              <w:top w:val="single" w:color="auto" w:sz="4" w:space="0"/>
              <w:bottom w:val="single" w:color="auto" w:sz="4" w:space="0"/>
            </w:tcBorders>
            <w:vAlign w:val="center"/>
          </w:tcPr>
          <w:p>
            <w:pPr>
              <w:autoSpaceDE w:val="0"/>
              <w:spacing w:line="240" w:lineRule="atLeast"/>
              <w:jc w:val="center"/>
              <w:rPr>
                <w:snapToGrid w:val="0"/>
                <w:color w:val="auto"/>
                <w:szCs w:val="21"/>
              </w:rPr>
            </w:pPr>
            <w:r>
              <w:rPr>
                <w:color w:val="auto"/>
                <w:szCs w:val="21"/>
              </w:rPr>
              <w:t>1356.26</w:t>
            </w:r>
          </w:p>
        </w:tc>
        <w:tc>
          <w:tcPr>
            <w:tcW w:w="848" w:type="dxa"/>
            <w:tcBorders>
              <w:top w:val="single" w:color="auto" w:sz="4" w:space="0"/>
              <w:bottom w:val="single" w:color="auto" w:sz="4" w:space="0"/>
            </w:tcBorders>
            <w:vAlign w:val="center"/>
          </w:tcPr>
          <w:p>
            <w:pPr>
              <w:pStyle w:val="30"/>
              <w:widowControl w:val="0"/>
              <w:spacing w:before="0" w:beforeAutospacing="0" w:after="0" w:afterAutospacing="0"/>
              <w:jc w:val="center"/>
              <w:rPr>
                <w:rFonts w:ascii="Times New Roman" w:hAnsi="Times New Roman"/>
                <w:color w:val="auto"/>
                <w:sz w:val="21"/>
                <w:szCs w:val="21"/>
              </w:rPr>
            </w:pPr>
            <w:r>
              <w:rPr>
                <w:rFonts w:ascii="Times New Roman" w:hAnsi="Times New Roman"/>
                <w:snapToGrid w:val="0"/>
                <w:color w:val="auto"/>
                <w:sz w:val="21"/>
                <w:szCs w:val="21"/>
              </w:rPr>
              <w:t>--</w:t>
            </w:r>
          </w:p>
        </w:tc>
        <w:tc>
          <w:tcPr>
            <w:tcW w:w="848" w:type="dxa"/>
            <w:tcBorders>
              <w:top w:val="single" w:color="auto" w:sz="4" w:space="0"/>
              <w:bottom w:val="single" w:color="auto" w:sz="4" w:space="0"/>
            </w:tcBorders>
            <w:vAlign w:val="center"/>
          </w:tcPr>
          <w:p>
            <w:pPr>
              <w:pStyle w:val="30"/>
              <w:widowControl w:val="0"/>
              <w:spacing w:before="0" w:beforeAutospacing="0" w:after="0" w:afterAutospacing="0"/>
              <w:jc w:val="center"/>
              <w:rPr>
                <w:rFonts w:ascii="Times New Roman" w:hAnsi="Times New Roman"/>
                <w:color w:val="auto"/>
                <w:sz w:val="21"/>
                <w:szCs w:val="21"/>
              </w:rPr>
            </w:pPr>
            <w:r>
              <w:rPr>
                <w:rFonts w:ascii="Times New Roman" w:hAnsi="Times New Roman"/>
                <w:snapToGrid w:val="0"/>
                <w:color w:val="auto"/>
                <w:sz w:val="21"/>
                <w:szCs w:val="21"/>
              </w:rPr>
              <w:t>--</w:t>
            </w:r>
          </w:p>
        </w:tc>
        <w:tc>
          <w:tcPr>
            <w:tcW w:w="848" w:type="dxa"/>
            <w:tcBorders>
              <w:top w:val="single" w:color="auto" w:sz="4" w:space="0"/>
              <w:bottom w:val="single" w:color="auto" w:sz="4" w:space="0"/>
            </w:tcBorders>
            <w:vAlign w:val="center"/>
          </w:tcPr>
          <w:p>
            <w:pPr>
              <w:pStyle w:val="30"/>
              <w:widowControl w:val="0"/>
              <w:spacing w:before="0" w:beforeAutospacing="0" w:after="0" w:afterAutospacing="0"/>
              <w:ind w:left="-105" w:leftChars="-50" w:right="-105" w:rightChars="-50"/>
              <w:jc w:val="center"/>
              <w:rPr>
                <w:rFonts w:ascii="Times New Roman" w:hAnsi="Times New Roman"/>
                <w:color w:val="auto"/>
                <w:sz w:val="21"/>
                <w:szCs w:val="21"/>
              </w:rPr>
            </w:pPr>
            <w:r>
              <w:rPr>
                <w:rFonts w:ascii="Times New Roman" w:hAnsi="Times New Roman"/>
                <w:color w:val="auto"/>
                <w:sz w:val="21"/>
                <w:szCs w:val="21"/>
              </w:rPr>
              <w:t>3309.2</w:t>
            </w:r>
          </w:p>
        </w:tc>
        <w:tc>
          <w:tcPr>
            <w:tcW w:w="848" w:type="dxa"/>
            <w:tcBorders>
              <w:top w:val="single" w:color="auto" w:sz="4" w:space="0"/>
              <w:bottom w:val="single" w:color="auto" w:sz="4" w:space="0"/>
            </w:tcBorders>
            <w:vAlign w:val="center"/>
          </w:tcPr>
          <w:p>
            <w:pPr>
              <w:pStyle w:val="30"/>
              <w:widowControl w:val="0"/>
              <w:spacing w:before="0" w:beforeAutospacing="0" w:after="0" w:afterAutospacing="0"/>
              <w:ind w:left="-105" w:leftChars="-50" w:right="-105" w:rightChars="-50"/>
              <w:jc w:val="center"/>
              <w:rPr>
                <w:rFonts w:ascii="Times New Roman" w:hAnsi="Times New Roman"/>
                <w:color w:val="auto"/>
                <w:sz w:val="21"/>
                <w:szCs w:val="21"/>
              </w:rPr>
            </w:pPr>
            <w:r>
              <w:rPr>
                <w:rFonts w:ascii="Times New Roman" w:hAnsi="Times New Roman"/>
                <w:color w:val="auto"/>
                <w:sz w:val="21"/>
                <w:szCs w:val="21"/>
              </w:rPr>
              <w:t>3309.2</w:t>
            </w:r>
          </w:p>
        </w:tc>
        <w:tc>
          <w:tcPr>
            <w:tcW w:w="1023" w:type="dxa"/>
            <w:tcBorders>
              <w:top w:val="single" w:color="auto" w:sz="4" w:space="0"/>
              <w:bottom w:val="single" w:color="auto" w:sz="4" w:space="0"/>
            </w:tcBorders>
            <w:vAlign w:val="center"/>
          </w:tcPr>
          <w:p>
            <w:pPr>
              <w:pStyle w:val="30"/>
              <w:widowControl w:val="0"/>
              <w:spacing w:before="0" w:beforeAutospacing="0" w:after="0" w:afterAutospacing="0"/>
              <w:jc w:val="center"/>
              <w:rPr>
                <w:rFonts w:ascii="Times New Roman" w:hAnsi="Times New Roman"/>
                <w:snapToGrid w:val="0"/>
                <w:color w:val="auto"/>
                <w:sz w:val="21"/>
                <w:szCs w:val="21"/>
              </w:rPr>
            </w:pPr>
            <w:r>
              <w:rPr>
                <w:rFonts w:ascii="Times New Roman" w:hAnsi="Times New Roman"/>
                <w:snapToGrid w:val="0"/>
                <w:color w:val="auto"/>
                <w:sz w:val="21"/>
                <w:szCs w:val="21"/>
              </w:rPr>
              <w:t>--</w:t>
            </w:r>
          </w:p>
        </w:tc>
        <w:tc>
          <w:tcPr>
            <w:tcW w:w="852" w:type="dxa"/>
            <w:tcBorders>
              <w:top w:val="single" w:color="auto" w:sz="4" w:space="0"/>
              <w:bottom w:val="single" w:color="auto" w:sz="4" w:space="0"/>
            </w:tcBorders>
            <w:vAlign w:val="center"/>
          </w:tcPr>
          <w:p>
            <w:pPr>
              <w:ind w:left="-105" w:leftChars="-50" w:right="-105" w:rightChars="-50"/>
              <w:jc w:val="center"/>
              <w:rPr>
                <w:color w:val="auto"/>
                <w:szCs w:val="21"/>
              </w:rPr>
            </w:pPr>
            <w:r>
              <w:rPr>
                <w:color w:val="auto"/>
                <w:szCs w:val="21"/>
              </w:rPr>
              <w:t>102856.2</w:t>
            </w:r>
          </w:p>
        </w:tc>
        <w:tc>
          <w:tcPr>
            <w:tcW w:w="818" w:type="dxa"/>
            <w:tcBorders>
              <w:top w:val="single" w:color="auto" w:sz="4" w:space="0"/>
              <w:bottom w:val="single" w:color="auto" w:sz="4" w:space="0"/>
            </w:tcBorders>
            <w:vAlign w:val="center"/>
          </w:tcPr>
          <w:p>
            <w:pPr>
              <w:ind w:left="-105" w:leftChars="-50" w:right="-105" w:rightChars="-50"/>
              <w:jc w:val="center"/>
              <w:rPr>
                <w:color w:val="auto"/>
                <w:szCs w:val="21"/>
              </w:rPr>
            </w:pPr>
            <w:r>
              <w:rPr>
                <w:color w:val="auto"/>
                <w:szCs w:val="21"/>
              </w:rPr>
              <w:t>102856.2</w:t>
            </w:r>
          </w:p>
        </w:tc>
        <w:tc>
          <w:tcPr>
            <w:tcW w:w="955" w:type="dxa"/>
            <w:tcBorders>
              <w:top w:val="single" w:color="auto" w:sz="4" w:space="0"/>
              <w:bottom w:val="single" w:color="auto" w:sz="4" w:space="0"/>
            </w:tcBorders>
            <w:vAlign w:val="center"/>
          </w:tcPr>
          <w:p>
            <w:pPr>
              <w:pStyle w:val="30"/>
              <w:widowControl w:val="0"/>
              <w:spacing w:before="0" w:beforeAutospacing="0" w:after="0" w:afterAutospacing="0"/>
              <w:ind w:left="-105" w:leftChars="-50" w:right="-105" w:rightChars="-50"/>
              <w:jc w:val="center"/>
              <w:rPr>
                <w:rFonts w:ascii="Times New Roman" w:hAnsi="Times New Roman"/>
                <w:color w:val="auto"/>
                <w:sz w:val="21"/>
                <w:szCs w:val="21"/>
              </w:rPr>
            </w:pPr>
            <w:r>
              <w:rPr>
                <w:rFonts w:ascii="Times New Roman" w:hAnsi="Times New Roman"/>
                <w:color w:val="auto"/>
                <w:sz w:val="21"/>
                <w:szCs w:val="21"/>
              </w:rPr>
              <w:t>+3309.2</w:t>
            </w:r>
          </w:p>
        </w:tc>
        <w:tc>
          <w:tcPr>
            <w:tcW w:w="916" w:type="dxa"/>
            <w:tcBorders>
              <w:top w:val="single" w:color="auto" w:sz="4" w:space="0"/>
              <w:bottom w:val="single" w:color="auto" w:sz="4" w:space="0"/>
              <w:right w:val="single" w:color="auto" w:sz="12" w:space="0"/>
            </w:tcBorders>
            <w:vAlign w:val="center"/>
          </w:tcPr>
          <w:p>
            <w:pPr>
              <w:pStyle w:val="30"/>
              <w:widowControl w:val="0"/>
              <w:spacing w:before="0" w:beforeAutospacing="0" w:after="0" w:afterAutospacing="0"/>
              <w:ind w:left="-105" w:leftChars="-50" w:right="-105" w:rightChars="-50"/>
              <w:jc w:val="center"/>
              <w:rPr>
                <w:rFonts w:ascii="Times New Roman" w:hAnsi="Times New Roman"/>
                <w:color w:val="auto"/>
                <w:sz w:val="21"/>
                <w:szCs w:val="21"/>
              </w:rPr>
            </w:pPr>
            <w:r>
              <w:rPr>
                <w:rFonts w:ascii="Times New Roman" w:hAnsi="Times New Roman"/>
                <w:color w:val="auto"/>
                <w:sz w:val="21"/>
                <w:szCs w:val="21"/>
              </w:rPr>
              <w:t>+3309.2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38" w:type="dxa"/>
            <w:vMerge w:val="continue"/>
            <w:tcBorders>
              <w:top w:val="single" w:color="auto" w:sz="4" w:space="0"/>
              <w:left w:val="single" w:color="auto" w:sz="12" w:space="0"/>
              <w:bottom w:val="single" w:color="auto" w:sz="4" w:space="0"/>
            </w:tcBorders>
            <w:vAlign w:val="center"/>
          </w:tcPr>
          <w:p>
            <w:pPr>
              <w:jc w:val="center"/>
              <w:rPr>
                <w:snapToGrid w:val="0"/>
                <w:color w:val="auto"/>
                <w:szCs w:val="21"/>
              </w:rPr>
            </w:pPr>
          </w:p>
        </w:tc>
        <w:tc>
          <w:tcPr>
            <w:tcW w:w="1800" w:type="dxa"/>
            <w:gridSpan w:val="2"/>
            <w:tcBorders>
              <w:top w:val="single" w:color="auto" w:sz="4" w:space="0"/>
              <w:bottom w:val="single" w:color="auto" w:sz="4" w:space="0"/>
            </w:tcBorders>
            <w:vAlign w:val="center"/>
          </w:tcPr>
          <w:p>
            <w:pPr>
              <w:autoSpaceDE w:val="0"/>
              <w:spacing w:line="240" w:lineRule="atLeast"/>
              <w:jc w:val="center"/>
              <w:rPr>
                <w:color w:val="auto"/>
                <w:szCs w:val="21"/>
              </w:rPr>
            </w:pPr>
            <w:r>
              <w:rPr>
                <w:color w:val="auto"/>
                <w:szCs w:val="21"/>
              </w:rPr>
              <w:t>COD</w:t>
            </w:r>
          </w:p>
        </w:tc>
        <w:tc>
          <w:tcPr>
            <w:tcW w:w="971" w:type="dxa"/>
            <w:tcBorders>
              <w:top w:val="single" w:color="auto" w:sz="4" w:space="0"/>
              <w:bottom w:val="single" w:color="auto" w:sz="4" w:space="0"/>
            </w:tcBorders>
            <w:vAlign w:val="center"/>
          </w:tcPr>
          <w:p>
            <w:pPr>
              <w:wordWrap w:val="0"/>
              <w:overflowPunct w:val="0"/>
              <w:autoSpaceDE w:val="0"/>
              <w:spacing w:line="240" w:lineRule="atLeast"/>
              <w:jc w:val="center"/>
              <w:rPr>
                <w:color w:val="auto"/>
                <w:szCs w:val="21"/>
              </w:rPr>
            </w:pPr>
            <w:r>
              <w:rPr>
                <w:color w:val="auto"/>
                <w:kern w:val="0"/>
                <w:szCs w:val="21"/>
              </w:rPr>
              <w:t>25.982</w:t>
            </w:r>
          </w:p>
        </w:tc>
        <w:tc>
          <w:tcPr>
            <w:tcW w:w="972" w:type="dxa"/>
            <w:tcBorders>
              <w:top w:val="single" w:color="auto" w:sz="4" w:space="0"/>
              <w:bottom w:val="single" w:color="auto" w:sz="4" w:space="0"/>
            </w:tcBorders>
            <w:vAlign w:val="center"/>
          </w:tcPr>
          <w:p>
            <w:pPr>
              <w:wordWrap w:val="0"/>
              <w:overflowPunct w:val="0"/>
              <w:autoSpaceDE w:val="0"/>
              <w:spacing w:line="240" w:lineRule="atLeast"/>
              <w:jc w:val="center"/>
              <w:rPr>
                <w:color w:val="auto"/>
                <w:szCs w:val="21"/>
              </w:rPr>
            </w:pPr>
            <w:r>
              <w:rPr>
                <w:color w:val="auto"/>
                <w:kern w:val="0"/>
                <w:szCs w:val="21"/>
              </w:rPr>
              <w:t>4.9774</w:t>
            </w:r>
          </w:p>
        </w:tc>
        <w:tc>
          <w:tcPr>
            <w:tcW w:w="989" w:type="dxa"/>
            <w:tcBorders>
              <w:top w:val="single" w:color="auto" w:sz="4" w:space="0"/>
              <w:bottom w:val="single" w:color="auto" w:sz="4" w:space="0"/>
            </w:tcBorders>
            <w:vAlign w:val="center"/>
          </w:tcPr>
          <w:p>
            <w:pPr>
              <w:autoSpaceDE w:val="0"/>
              <w:spacing w:line="240" w:lineRule="atLeast"/>
              <w:jc w:val="center"/>
              <w:rPr>
                <w:snapToGrid w:val="0"/>
                <w:color w:val="auto"/>
                <w:szCs w:val="21"/>
              </w:rPr>
            </w:pPr>
            <w:r>
              <w:rPr>
                <w:color w:val="auto"/>
                <w:szCs w:val="21"/>
              </w:rPr>
              <w:t>0.06</w:t>
            </w:r>
          </w:p>
        </w:tc>
        <w:tc>
          <w:tcPr>
            <w:tcW w:w="848" w:type="dxa"/>
            <w:tcBorders>
              <w:top w:val="single" w:color="auto" w:sz="4" w:space="0"/>
              <w:bottom w:val="single" w:color="auto" w:sz="4" w:space="0"/>
            </w:tcBorders>
            <w:vAlign w:val="center"/>
          </w:tcPr>
          <w:p>
            <w:pPr>
              <w:pStyle w:val="30"/>
              <w:widowControl w:val="0"/>
              <w:spacing w:before="0" w:beforeAutospacing="0" w:after="0" w:afterAutospacing="0"/>
              <w:jc w:val="center"/>
              <w:rPr>
                <w:rFonts w:ascii="Times New Roman" w:hAnsi="Times New Roman"/>
                <w:color w:val="auto"/>
                <w:sz w:val="21"/>
                <w:szCs w:val="21"/>
              </w:rPr>
            </w:pPr>
            <w:r>
              <w:rPr>
                <w:rFonts w:ascii="Times New Roman" w:hAnsi="Times New Roman"/>
                <w:snapToGrid w:val="0"/>
                <w:color w:val="auto"/>
                <w:sz w:val="21"/>
                <w:szCs w:val="21"/>
              </w:rPr>
              <w:t>--</w:t>
            </w:r>
          </w:p>
        </w:tc>
        <w:tc>
          <w:tcPr>
            <w:tcW w:w="848" w:type="dxa"/>
            <w:tcBorders>
              <w:top w:val="single" w:color="auto" w:sz="4" w:space="0"/>
              <w:bottom w:val="single" w:color="auto" w:sz="4" w:space="0"/>
            </w:tcBorders>
            <w:vAlign w:val="center"/>
          </w:tcPr>
          <w:p>
            <w:pPr>
              <w:pStyle w:val="30"/>
              <w:widowControl w:val="0"/>
              <w:spacing w:before="0" w:beforeAutospacing="0" w:after="0" w:afterAutospacing="0"/>
              <w:jc w:val="center"/>
              <w:rPr>
                <w:rFonts w:ascii="Times New Roman" w:hAnsi="Times New Roman"/>
                <w:color w:val="auto"/>
                <w:sz w:val="21"/>
                <w:szCs w:val="21"/>
              </w:rPr>
            </w:pPr>
            <w:r>
              <w:rPr>
                <w:rFonts w:ascii="Times New Roman" w:hAnsi="Times New Roman"/>
                <w:snapToGrid w:val="0"/>
                <w:color w:val="auto"/>
                <w:sz w:val="21"/>
                <w:szCs w:val="21"/>
              </w:rPr>
              <w:t>--</w:t>
            </w:r>
          </w:p>
        </w:tc>
        <w:tc>
          <w:tcPr>
            <w:tcW w:w="848" w:type="dxa"/>
            <w:tcBorders>
              <w:top w:val="single" w:color="auto" w:sz="4" w:space="0"/>
              <w:bottom w:val="single" w:color="auto" w:sz="4" w:space="0"/>
            </w:tcBorders>
            <w:vAlign w:val="center"/>
          </w:tcPr>
          <w:p>
            <w:pPr>
              <w:jc w:val="right"/>
              <w:rPr>
                <w:rFonts w:hint="default" w:eastAsia="宋体"/>
                <w:color w:val="auto"/>
                <w:sz w:val="22"/>
                <w:szCs w:val="22"/>
                <w:lang w:val="en-US" w:eastAsia="zh-CN"/>
              </w:rPr>
            </w:pPr>
            <w:r>
              <w:rPr>
                <w:color w:val="auto"/>
                <w:sz w:val="22"/>
                <w:szCs w:val="22"/>
              </w:rPr>
              <w:t>0.3</w:t>
            </w:r>
            <w:r>
              <w:rPr>
                <w:rFonts w:hint="eastAsia"/>
                <w:color w:val="auto"/>
                <w:sz w:val="22"/>
                <w:szCs w:val="22"/>
                <w:lang w:val="en-US" w:eastAsia="zh-CN"/>
              </w:rPr>
              <w:t>51</w:t>
            </w:r>
          </w:p>
        </w:tc>
        <w:tc>
          <w:tcPr>
            <w:tcW w:w="848" w:type="dxa"/>
            <w:tcBorders>
              <w:top w:val="single" w:color="auto" w:sz="4" w:space="0"/>
              <w:bottom w:val="single" w:color="auto" w:sz="4" w:space="0"/>
            </w:tcBorders>
            <w:vAlign w:val="center"/>
          </w:tcPr>
          <w:p>
            <w:pPr>
              <w:jc w:val="right"/>
              <w:rPr>
                <w:color w:val="auto"/>
                <w:sz w:val="22"/>
                <w:szCs w:val="22"/>
              </w:rPr>
            </w:pPr>
            <w:r>
              <w:rPr>
                <w:color w:val="auto"/>
                <w:sz w:val="22"/>
                <w:szCs w:val="22"/>
              </w:rPr>
              <w:t>0.165</w:t>
            </w:r>
          </w:p>
        </w:tc>
        <w:tc>
          <w:tcPr>
            <w:tcW w:w="1023" w:type="dxa"/>
            <w:tcBorders>
              <w:top w:val="single" w:color="auto" w:sz="4" w:space="0"/>
              <w:bottom w:val="single" w:color="auto" w:sz="4" w:space="0"/>
            </w:tcBorders>
            <w:vAlign w:val="center"/>
          </w:tcPr>
          <w:p>
            <w:pPr>
              <w:pStyle w:val="30"/>
              <w:widowControl w:val="0"/>
              <w:spacing w:before="0" w:beforeAutospacing="0" w:after="0" w:afterAutospacing="0"/>
              <w:jc w:val="center"/>
              <w:rPr>
                <w:rFonts w:ascii="Times New Roman" w:hAnsi="Times New Roman"/>
                <w:color w:val="auto"/>
                <w:sz w:val="21"/>
                <w:szCs w:val="21"/>
              </w:rPr>
            </w:pPr>
            <w:r>
              <w:rPr>
                <w:rFonts w:ascii="Times New Roman" w:hAnsi="Times New Roman"/>
                <w:snapToGrid w:val="0"/>
                <w:color w:val="auto"/>
                <w:sz w:val="21"/>
                <w:szCs w:val="21"/>
              </w:rPr>
              <w:t>--</w:t>
            </w:r>
          </w:p>
        </w:tc>
        <w:tc>
          <w:tcPr>
            <w:tcW w:w="852" w:type="dxa"/>
            <w:tcBorders>
              <w:top w:val="single" w:color="auto" w:sz="4" w:space="0"/>
              <w:bottom w:val="single" w:color="auto" w:sz="4" w:space="0"/>
            </w:tcBorders>
            <w:vAlign w:val="center"/>
          </w:tcPr>
          <w:p>
            <w:pPr>
              <w:ind w:left="-105" w:leftChars="-50" w:right="-105" w:rightChars="-50"/>
              <w:jc w:val="center"/>
              <w:rPr>
                <w:color w:val="auto"/>
                <w:szCs w:val="21"/>
              </w:rPr>
            </w:pPr>
            <w:r>
              <w:rPr>
                <w:color w:val="auto"/>
                <w:szCs w:val="21"/>
              </w:rPr>
              <w:t>26.294</w:t>
            </w:r>
          </w:p>
        </w:tc>
        <w:tc>
          <w:tcPr>
            <w:tcW w:w="818" w:type="dxa"/>
            <w:tcBorders>
              <w:top w:val="single" w:color="auto" w:sz="4" w:space="0"/>
              <w:bottom w:val="single" w:color="auto" w:sz="4" w:space="0"/>
            </w:tcBorders>
            <w:vAlign w:val="center"/>
          </w:tcPr>
          <w:p>
            <w:pPr>
              <w:ind w:left="-105" w:leftChars="-50" w:right="-105" w:rightChars="-50"/>
              <w:jc w:val="center"/>
              <w:rPr>
                <w:color w:val="auto"/>
                <w:szCs w:val="21"/>
              </w:rPr>
            </w:pPr>
            <w:r>
              <w:rPr>
                <w:color w:val="auto"/>
                <w:szCs w:val="21"/>
              </w:rPr>
              <w:t>5.1424</w:t>
            </w:r>
          </w:p>
        </w:tc>
        <w:tc>
          <w:tcPr>
            <w:tcW w:w="955" w:type="dxa"/>
            <w:tcBorders>
              <w:top w:val="single" w:color="auto" w:sz="4" w:space="0"/>
              <w:bottom w:val="single" w:color="auto" w:sz="4" w:space="0"/>
            </w:tcBorders>
            <w:vAlign w:val="center"/>
          </w:tcPr>
          <w:p>
            <w:pPr>
              <w:jc w:val="right"/>
              <w:rPr>
                <w:rFonts w:hint="default" w:eastAsia="宋体"/>
                <w:color w:val="auto"/>
                <w:sz w:val="22"/>
                <w:szCs w:val="22"/>
                <w:lang w:val="en-US" w:eastAsia="zh-CN"/>
              </w:rPr>
            </w:pPr>
            <w:r>
              <w:rPr>
                <w:color w:val="auto"/>
                <w:szCs w:val="21"/>
              </w:rPr>
              <w:t>+</w:t>
            </w:r>
            <w:r>
              <w:rPr>
                <w:color w:val="auto"/>
                <w:sz w:val="22"/>
                <w:szCs w:val="22"/>
              </w:rPr>
              <w:t>0.3</w:t>
            </w:r>
            <w:r>
              <w:rPr>
                <w:rFonts w:hint="eastAsia"/>
                <w:color w:val="auto"/>
                <w:sz w:val="22"/>
                <w:szCs w:val="22"/>
                <w:lang w:val="en-US" w:eastAsia="zh-CN"/>
              </w:rPr>
              <w:t>51</w:t>
            </w:r>
          </w:p>
        </w:tc>
        <w:tc>
          <w:tcPr>
            <w:tcW w:w="916" w:type="dxa"/>
            <w:tcBorders>
              <w:top w:val="single" w:color="auto" w:sz="4" w:space="0"/>
              <w:bottom w:val="single" w:color="auto" w:sz="4" w:space="0"/>
              <w:right w:val="single" w:color="auto" w:sz="12" w:space="0"/>
            </w:tcBorders>
            <w:vAlign w:val="center"/>
          </w:tcPr>
          <w:p>
            <w:pPr>
              <w:jc w:val="right"/>
              <w:rPr>
                <w:color w:val="auto"/>
                <w:sz w:val="22"/>
                <w:szCs w:val="22"/>
              </w:rPr>
            </w:pPr>
            <w:r>
              <w:rPr>
                <w:color w:val="auto"/>
                <w:szCs w:val="21"/>
              </w:rPr>
              <w:t>+</w:t>
            </w:r>
            <w:r>
              <w:rPr>
                <w:color w:val="auto"/>
                <w:sz w:val="22"/>
                <w:szCs w:val="22"/>
              </w:rPr>
              <w:t>0.165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38" w:type="dxa"/>
            <w:vMerge w:val="continue"/>
            <w:tcBorders>
              <w:top w:val="single" w:color="auto" w:sz="4" w:space="0"/>
              <w:left w:val="single" w:color="auto" w:sz="12" w:space="0"/>
              <w:bottom w:val="single" w:color="auto" w:sz="4" w:space="0"/>
            </w:tcBorders>
            <w:vAlign w:val="center"/>
          </w:tcPr>
          <w:p>
            <w:pPr>
              <w:jc w:val="center"/>
              <w:rPr>
                <w:snapToGrid w:val="0"/>
                <w:color w:val="auto"/>
                <w:szCs w:val="21"/>
              </w:rPr>
            </w:pPr>
          </w:p>
        </w:tc>
        <w:tc>
          <w:tcPr>
            <w:tcW w:w="1800" w:type="dxa"/>
            <w:gridSpan w:val="2"/>
            <w:tcBorders>
              <w:top w:val="single" w:color="auto" w:sz="4" w:space="0"/>
              <w:bottom w:val="single" w:color="auto" w:sz="4" w:space="0"/>
            </w:tcBorders>
            <w:vAlign w:val="center"/>
          </w:tcPr>
          <w:p>
            <w:pPr>
              <w:autoSpaceDE w:val="0"/>
              <w:spacing w:line="240" w:lineRule="atLeast"/>
              <w:jc w:val="center"/>
              <w:rPr>
                <w:color w:val="auto"/>
                <w:szCs w:val="21"/>
              </w:rPr>
            </w:pPr>
            <w:r>
              <w:rPr>
                <w:color w:val="auto"/>
                <w:szCs w:val="21"/>
              </w:rPr>
              <w:t>SS</w:t>
            </w:r>
          </w:p>
        </w:tc>
        <w:tc>
          <w:tcPr>
            <w:tcW w:w="971" w:type="dxa"/>
            <w:tcBorders>
              <w:top w:val="single" w:color="auto" w:sz="4" w:space="0"/>
              <w:bottom w:val="single" w:color="auto" w:sz="4" w:space="0"/>
            </w:tcBorders>
            <w:vAlign w:val="center"/>
          </w:tcPr>
          <w:p>
            <w:pPr>
              <w:widowControl/>
              <w:jc w:val="center"/>
              <w:textAlignment w:val="center"/>
              <w:rPr>
                <w:color w:val="auto"/>
                <w:szCs w:val="21"/>
              </w:rPr>
            </w:pPr>
            <w:r>
              <w:rPr>
                <w:color w:val="auto"/>
                <w:kern w:val="0"/>
                <w:szCs w:val="21"/>
              </w:rPr>
              <w:t>1.294</w:t>
            </w:r>
          </w:p>
        </w:tc>
        <w:tc>
          <w:tcPr>
            <w:tcW w:w="972" w:type="dxa"/>
            <w:tcBorders>
              <w:top w:val="single" w:color="auto" w:sz="4" w:space="0"/>
              <w:bottom w:val="single" w:color="auto" w:sz="4" w:space="0"/>
            </w:tcBorders>
            <w:vAlign w:val="center"/>
          </w:tcPr>
          <w:p>
            <w:pPr>
              <w:wordWrap w:val="0"/>
              <w:overflowPunct w:val="0"/>
              <w:autoSpaceDE w:val="0"/>
              <w:spacing w:line="240" w:lineRule="atLeast"/>
              <w:jc w:val="center"/>
              <w:rPr>
                <w:color w:val="auto"/>
                <w:szCs w:val="21"/>
              </w:rPr>
            </w:pPr>
            <w:r>
              <w:rPr>
                <w:color w:val="auto"/>
                <w:kern w:val="0"/>
                <w:szCs w:val="21"/>
              </w:rPr>
              <w:t>0.9955</w:t>
            </w:r>
          </w:p>
        </w:tc>
        <w:tc>
          <w:tcPr>
            <w:tcW w:w="989" w:type="dxa"/>
            <w:tcBorders>
              <w:top w:val="single" w:color="auto" w:sz="4" w:space="0"/>
              <w:bottom w:val="single" w:color="auto" w:sz="4" w:space="0"/>
            </w:tcBorders>
            <w:vAlign w:val="center"/>
          </w:tcPr>
          <w:p>
            <w:pPr>
              <w:autoSpaceDE w:val="0"/>
              <w:spacing w:line="240" w:lineRule="atLeast"/>
              <w:jc w:val="center"/>
              <w:rPr>
                <w:snapToGrid w:val="0"/>
                <w:color w:val="auto"/>
                <w:szCs w:val="21"/>
              </w:rPr>
            </w:pPr>
            <w:r>
              <w:rPr>
                <w:color w:val="auto"/>
                <w:szCs w:val="21"/>
              </w:rPr>
              <w:t>0.013</w:t>
            </w:r>
          </w:p>
        </w:tc>
        <w:tc>
          <w:tcPr>
            <w:tcW w:w="848" w:type="dxa"/>
            <w:tcBorders>
              <w:top w:val="single" w:color="auto" w:sz="4" w:space="0"/>
              <w:bottom w:val="single" w:color="auto" w:sz="4" w:space="0"/>
            </w:tcBorders>
            <w:vAlign w:val="center"/>
          </w:tcPr>
          <w:p>
            <w:pPr>
              <w:pStyle w:val="30"/>
              <w:widowControl w:val="0"/>
              <w:spacing w:before="0" w:beforeAutospacing="0" w:after="0" w:afterAutospacing="0"/>
              <w:jc w:val="center"/>
              <w:rPr>
                <w:rFonts w:ascii="Times New Roman" w:hAnsi="Times New Roman"/>
                <w:color w:val="auto"/>
                <w:sz w:val="21"/>
                <w:szCs w:val="21"/>
              </w:rPr>
            </w:pPr>
            <w:r>
              <w:rPr>
                <w:rFonts w:ascii="Times New Roman" w:hAnsi="Times New Roman"/>
                <w:snapToGrid w:val="0"/>
                <w:color w:val="auto"/>
                <w:sz w:val="21"/>
                <w:szCs w:val="21"/>
              </w:rPr>
              <w:t>--</w:t>
            </w:r>
          </w:p>
        </w:tc>
        <w:tc>
          <w:tcPr>
            <w:tcW w:w="848" w:type="dxa"/>
            <w:tcBorders>
              <w:top w:val="single" w:color="auto" w:sz="4" w:space="0"/>
              <w:bottom w:val="single" w:color="auto" w:sz="4" w:space="0"/>
            </w:tcBorders>
            <w:vAlign w:val="center"/>
          </w:tcPr>
          <w:p>
            <w:pPr>
              <w:pStyle w:val="30"/>
              <w:widowControl w:val="0"/>
              <w:spacing w:before="0" w:beforeAutospacing="0" w:after="0" w:afterAutospacing="0"/>
              <w:jc w:val="center"/>
              <w:rPr>
                <w:rFonts w:ascii="Times New Roman" w:hAnsi="Times New Roman"/>
                <w:color w:val="auto"/>
                <w:sz w:val="21"/>
                <w:szCs w:val="21"/>
              </w:rPr>
            </w:pPr>
            <w:r>
              <w:rPr>
                <w:rFonts w:ascii="Times New Roman" w:hAnsi="Times New Roman"/>
                <w:snapToGrid w:val="0"/>
                <w:color w:val="auto"/>
                <w:sz w:val="21"/>
                <w:szCs w:val="21"/>
              </w:rPr>
              <w:t>--</w:t>
            </w:r>
          </w:p>
        </w:tc>
        <w:tc>
          <w:tcPr>
            <w:tcW w:w="848" w:type="dxa"/>
            <w:tcBorders>
              <w:top w:val="single" w:color="auto" w:sz="4" w:space="0"/>
              <w:bottom w:val="single" w:color="auto" w:sz="4" w:space="0"/>
            </w:tcBorders>
            <w:vAlign w:val="center"/>
          </w:tcPr>
          <w:p>
            <w:pPr>
              <w:jc w:val="right"/>
              <w:rPr>
                <w:color w:val="auto"/>
                <w:sz w:val="22"/>
                <w:szCs w:val="22"/>
              </w:rPr>
            </w:pPr>
            <w:r>
              <w:rPr>
                <w:color w:val="auto"/>
                <w:sz w:val="22"/>
                <w:szCs w:val="22"/>
              </w:rPr>
              <w:t>0.</w:t>
            </w:r>
            <w:r>
              <w:rPr>
                <w:rFonts w:hint="eastAsia"/>
                <w:color w:val="auto"/>
                <w:sz w:val="22"/>
                <w:szCs w:val="22"/>
              </w:rPr>
              <w:t>477</w:t>
            </w:r>
          </w:p>
        </w:tc>
        <w:tc>
          <w:tcPr>
            <w:tcW w:w="848" w:type="dxa"/>
            <w:tcBorders>
              <w:top w:val="single" w:color="auto" w:sz="4" w:space="0"/>
              <w:bottom w:val="single" w:color="auto" w:sz="4" w:space="0"/>
            </w:tcBorders>
            <w:vAlign w:val="center"/>
          </w:tcPr>
          <w:p>
            <w:pPr>
              <w:jc w:val="right"/>
              <w:rPr>
                <w:color w:val="auto"/>
                <w:sz w:val="22"/>
                <w:szCs w:val="22"/>
              </w:rPr>
            </w:pPr>
            <w:r>
              <w:rPr>
                <w:color w:val="auto"/>
                <w:sz w:val="22"/>
                <w:szCs w:val="22"/>
              </w:rPr>
              <w:t>0.033</w:t>
            </w:r>
          </w:p>
        </w:tc>
        <w:tc>
          <w:tcPr>
            <w:tcW w:w="1023" w:type="dxa"/>
            <w:tcBorders>
              <w:top w:val="single" w:color="auto" w:sz="4" w:space="0"/>
              <w:bottom w:val="single" w:color="auto" w:sz="4" w:space="0"/>
            </w:tcBorders>
            <w:vAlign w:val="center"/>
          </w:tcPr>
          <w:p>
            <w:pPr>
              <w:pStyle w:val="30"/>
              <w:widowControl w:val="0"/>
              <w:spacing w:before="0" w:beforeAutospacing="0" w:after="0" w:afterAutospacing="0"/>
              <w:jc w:val="center"/>
              <w:rPr>
                <w:rFonts w:ascii="Times New Roman" w:hAnsi="Times New Roman"/>
                <w:color w:val="auto"/>
                <w:sz w:val="21"/>
                <w:szCs w:val="21"/>
              </w:rPr>
            </w:pPr>
            <w:r>
              <w:rPr>
                <w:rFonts w:ascii="Times New Roman" w:hAnsi="Times New Roman"/>
                <w:snapToGrid w:val="0"/>
                <w:color w:val="auto"/>
                <w:sz w:val="21"/>
                <w:szCs w:val="21"/>
              </w:rPr>
              <w:t>--</w:t>
            </w:r>
          </w:p>
        </w:tc>
        <w:tc>
          <w:tcPr>
            <w:tcW w:w="852" w:type="dxa"/>
            <w:tcBorders>
              <w:top w:val="single" w:color="auto" w:sz="4" w:space="0"/>
              <w:bottom w:val="single" w:color="auto" w:sz="4" w:space="0"/>
            </w:tcBorders>
            <w:vAlign w:val="center"/>
          </w:tcPr>
          <w:p>
            <w:pPr>
              <w:ind w:left="-50" w:right="-50"/>
              <w:jc w:val="center"/>
              <w:rPr>
                <w:color w:val="auto"/>
                <w:szCs w:val="21"/>
              </w:rPr>
            </w:pPr>
            <w:r>
              <w:rPr>
                <w:color w:val="auto"/>
                <w:szCs w:val="21"/>
              </w:rPr>
              <w:t>1.</w:t>
            </w:r>
            <w:r>
              <w:rPr>
                <w:rFonts w:hint="eastAsia"/>
                <w:color w:val="auto"/>
                <w:szCs w:val="21"/>
              </w:rPr>
              <w:t>771</w:t>
            </w:r>
          </w:p>
        </w:tc>
        <w:tc>
          <w:tcPr>
            <w:tcW w:w="818" w:type="dxa"/>
            <w:tcBorders>
              <w:top w:val="single" w:color="auto" w:sz="4" w:space="0"/>
              <w:bottom w:val="single" w:color="auto" w:sz="4" w:space="0"/>
            </w:tcBorders>
            <w:vAlign w:val="center"/>
          </w:tcPr>
          <w:p>
            <w:pPr>
              <w:ind w:left="-50" w:right="-50"/>
              <w:jc w:val="center"/>
              <w:rPr>
                <w:color w:val="auto"/>
                <w:szCs w:val="21"/>
              </w:rPr>
            </w:pPr>
            <w:r>
              <w:rPr>
                <w:color w:val="auto"/>
                <w:szCs w:val="21"/>
              </w:rPr>
              <w:t>1.0285</w:t>
            </w:r>
          </w:p>
        </w:tc>
        <w:tc>
          <w:tcPr>
            <w:tcW w:w="955" w:type="dxa"/>
            <w:tcBorders>
              <w:top w:val="single" w:color="auto" w:sz="4" w:space="0"/>
              <w:bottom w:val="single" w:color="auto" w:sz="4" w:space="0"/>
            </w:tcBorders>
            <w:vAlign w:val="center"/>
          </w:tcPr>
          <w:p>
            <w:pPr>
              <w:jc w:val="right"/>
              <w:rPr>
                <w:color w:val="auto"/>
                <w:sz w:val="22"/>
                <w:szCs w:val="22"/>
              </w:rPr>
            </w:pPr>
            <w:r>
              <w:rPr>
                <w:color w:val="auto"/>
                <w:szCs w:val="21"/>
              </w:rPr>
              <w:t>+</w:t>
            </w:r>
            <w:r>
              <w:rPr>
                <w:color w:val="auto"/>
                <w:sz w:val="22"/>
                <w:szCs w:val="22"/>
              </w:rPr>
              <w:t>0.</w:t>
            </w:r>
            <w:r>
              <w:rPr>
                <w:rFonts w:hint="eastAsia"/>
                <w:color w:val="auto"/>
                <w:sz w:val="22"/>
                <w:szCs w:val="22"/>
              </w:rPr>
              <w:t>47</w:t>
            </w:r>
            <w:r>
              <w:rPr>
                <w:color w:val="auto"/>
                <w:sz w:val="22"/>
                <w:szCs w:val="22"/>
              </w:rPr>
              <w:t>7</w:t>
            </w:r>
          </w:p>
        </w:tc>
        <w:tc>
          <w:tcPr>
            <w:tcW w:w="916" w:type="dxa"/>
            <w:tcBorders>
              <w:top w:val="single" w:color="auto" w:sz="4" w:space="0"/>
              <w:bottom w:val="single" w:color="auto" w:sz="4" w:space="0"/>
              <w:right w:val="single" w:color="auto" w:sz="12" w:space="0"/>
            </w:tcBorders>
            <w:vAlign w:val="center"/>
          </w:tcPr>
          <w:p>
            <w:pPr>
              <w:jc w:val="right"/>
              <w:rPr>
                <w:color w:val="auto"/>
                <w:sz w:val="22"/>
                <w:szCs w:val="22"/>
              </w:rPr>
            </w:pPr>
            <w:r>
              <w:rPr>
                <w:color w:val="auto"/>
                <w:szCs w:val="21"/>
              </w:rPr>
              <w:t>+</w:t>
            </w:r>
            <w:r>
              <w:rPr>
                <w:color w:val="auto"/>
                <w:sz w:val="22"/>
                <w:szCs w:val="22"/>
              </w:rPr>
              <w:t>0.033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38" w:type="dxa"/>
            <w:vMerge w:val="continue"/>
            <w:tcBorders>
              <w:top w:val="single" w:color="auto" w:sz="4" w:space="0"/>
              <w:left w:val="single" w:color="auto" w:sz="12" w:space="0"/>
              <w:bottom w:val="single" w:color="auto" w:sz="4" w:space="0"/>
            </w:tcBorders>
            <w:vAlign w:val="center"/>
          </w:tcPr>
          <w:p>
            <w:pPr>
              <w:jc w:val="center"/>
              <w:rPr>
                <w:snapToGrid w:val="0"/>
                <w:color w:val="auto"/>
                <w:szCs w:val="21"/>
              </w:rPr>
            </w:pPr>
          </w:p>
        </w:tc>
        <w:tc>
          <w:tcPr>
            <w:tcW w:w="1800" w:type="dxa"/>
            <w:gridSpan w:val="2"/>
            <w:tcBorders>
              <w:top w:val="single" w:color="auto" w:sz="4" w:space="0"/>
              <w:bottom w:val="single" w:color="auto" w:sz="4" w:space="0"/>
            </w:tcBorders>
            <w:vAlign w:val="center"/>
          </w:tcPr>
          <w:p>
            <w:pPr>
              <w:autoSpaceDE w:val="0"/>
              <w:spacing w:line="240" w:lineRule="atLeast"/>
              <w:jc w:val="center"/>
              <w:rPr>
                <w:color w:val="auto"/>
                <w:szCs w:val="21"/>
              </w:rPr>
            </w:pPr>
            <w:r>
              <w:rPr>
                <w:color w:val="auto"/>
                <w:szCs w:val="21"/>
              </w:rPr>
              <w:t>氨氮</w:t>
            </w:r>
          </w:p>
        </w:tc>
        <w:tc>
          <w:tcPr>
            <w:tcW w:w="971" w:type="dxa"/>
            <w:tcBorders>
              <w:top w:val="single" w:color="auto" w:sz="4" w:space="0"/>
              <w:bottom w:val="single" w:color="auto" w:sz="4" w:space="0"/>
            </w:tcBorders>
            <w:vAlign w:val="center"/>
          </w:tcPr>
          <w:p>
            <w:pPr>
              <w:wordWrap w:val="0"/>
              <w:overflowPunct w:val="0"/>
              <w:autoSpaceDE w:val="0"/>
              <w:spacing w:line="240" w:lineRule="atLeast"/>
              <w:jc w:val="center"/>
              <w:rPr>
                <w:color w:val="auto"/>
                <w:szCs w:val="21"/>
              </w:rPr>
            </w:pPr>
            <w:r>
              <w:rPr>
                <w:color w:val="auto"/>
                <w:kern w:val="0"/>
                <w:szCs w:val="21"/>
              </w:rPr>
              <w:t>0.454</w:t>
            </w:r>
          </w:p>
        </w:tc>
        <w:tc>
          <w:tcPr>
            <w:tcW w:w="972" w:type="dxa"/>
            <w:tcBorders>
              <w:top w:val="single" w:color="auto" w:sz="4" w:space="0"/>
              <w:bottom w:val="single" w:color="auto" w:sz="4" w:space="0"/>
            </w:tcBorders>
            <w:vAlign w:val="center"/>
          </w:tcPr>
          <w:p>
            <w:pPr>
              <w:wordWrap w:val="0"/>
              <w:overflowPunct w:val="0"/>
              <w:autoSpaceDE w:val="0"/>
              <w:spacing w:line="240" w:lineRule="atLeast"/>
              <w:jc w:val="center"/>
              <w:rPr>
                <w:color w:val="auto"/>
                <w:szCs w:val="21"/>
              </w:rPr>
            </w:pPr>
            <w:r>
              <w:rPr>
                <w:color w:val="auto"/>
                <w:kern w:val="0"/>
                <w:szCs w:val="21"/>
              </w:rPr>
              <w:t>0.7964</w:t>
            </w:r>
          </w:p>
        </w:tc>
        <w:tc>
          <w:tcPr>
            <w:tcW w:w="989" w:type="dxa"/>
            <w:tcBorders>
              <w:top w:val="single" w:color="auto" w:sz="4" w:space="0"/>
              <w:bottom w:val="single" w:color="auto" w:sz="4" w:space="0"/>
            </w:tcBorders>
            <w:vAlign w:val="center"/>
          </w:tcPr>
          <w:p>
            <w:pPr>
              <w:pStyle w:val="30"/>
              <w:widowControl w:val="0"/>
              <w:spacing w:before="0" w:beforeAutospacing="0" w:after="0" w:afterAutospacing="0"/>
              <w:jc w:val="center"/>
              <w:rPr>
                <w:rFonts w:ascii="Times New Roman" w:hAnsi="Times New Roman"/>
                <w:snapToGrid w:val="0"/>
                <w:color w:val="auto"/>
                <w:sz w:val="21"/>
                <w:szCs w:val="21"/>
              </w:rPr>
            </w:pPr>
            <w:r>
              <w:rPr>
                <w:rFonts w:ascii="Times New Roman" w:hAnsi="Times New Roman"/>
                <w:color w:val="auto"/>
                <w:sz w:val="21"/>
                <w:szCs w:val="21"/>
              </w:rPr>
              <w:t>--</w:t>
            </w:r>
          </w:p>
        </w:tc>
        <w:tc>
          <w:tcPr>
            <w:tcW w:w="848" w:type="dxa"/>
            <w:tcBorders>
              <w:top w:val="single" w:color="auto" w:sz="4" w:space="0"/>
              <w:bottom w:val="single" w:color="auto" w:sz="4" w:space="0"/>
            </w:tcBorders>
            <w:vAlign w:val="center"/>
          </w:tcPr>
          <w:p>
            <w:pPr>
              <w:pStyle w:val="30"/>
              <w:widowControl w:val="0"/>
              <w:spacing w:before="0" w:beforeAutospacing="0" w:after="0" w:afterAutospacing="0"/>
              <w:jc w:val="center"/>
              <w:rPr>
                <w:rFonts w:ascii="Times New Roman" w:hAnsi="Times New Roman"/>
                <w:color w:val="auto"/>
                <w:sz w:val="21"/>
                <w:szCs w:val="21"/>
              </w:rPr>
            </w:pPr>
            <w:r>
              <w:rPr>
                <w:rFonts w:ascii="Times New Roman" w:hAnsi="Times New Roman"/>
                <w:snapToGrid w:val="0"/>
                <w:color w:val="auto"/>
                <w:sz w:val="21"/>
                <w:szCs w:val="21"/>
              </w:rPr>
              <w:t>--</w:t>
            </w:r>
          </w:p>
        </w:tc>
        <w:tc>
          <w:tcPr>
            <w:tcW w:w="848" w:type="dxa"/>
            <w:tcBorders>
              <w:top w:val="single" w:color="auto" w:sz="4" w:space="0"/>
              <w:bottom w:val="single" w:color="auto" w:sz="4" w:space="0"/>
            </w:tcBorders>
            <w:vAlign w:val="center"/>
          </w:tcPr>
          <w:p>
            <w:pPr>
              <w:pStyle w:val="30"/>
              <w:widowControl w:val="0"/>
              <w:spacing w:before="0" w:beforeAutospacing="0" w:after="0" w:afterAutospacing="0"/>
              <w:jc w:val="center"/>
              <w:rPr>
                <w:rFonts w:ascii="Times New Roman" w:hAnsi="Times New Roman"/>
                <w:color w:val="auto"/>
                <w:sz w:val="21"/>
                <w:szCs w:val="21"/>
              </w:rPr>
            </w:pPr>
            <w:r>
              <w:rPr>
                <w:rFonts w:ascii="Times New Roman" w:hAnsi="Times New Roman"/>
                <w:snapToGrid w:val="0"/>
                <w:color w:val="auto"/>
                <w:sz w:val="21"/>
                <w:szCs w:val="21"/>
              </w:rPr>
              <w:t>--</w:t>
            </w:r>
          </w:p>
        </w:tc>
        <w:tc>
          <w:tcPr>
            <w:tcW w:w="848" w:type="dxa"/>
            <w:tcBorders>
              <w:top w:val="single" w:color="auto" w:sz="4" w:space="0"/>
              <w:bottom w:val="single" w:color="auto" w:sz="4" w:space="0"/>
            </w:tcBorders>
            <w:vAlign w:val="center"/>
          </w:tcPr>
          <w:p>
            <w:pPr>
              <w:jc w:val="right"/>
              <w:rPr>
                <w:color w:val="auto"/>
                <w:sz w:val="22"/>
                <w:szCs w:val="22"/>
              </w:rPr>
            </w:pPr>
            <w:r>
              <w:rPr>
                <w:color w:val="auto"/>
                <w:sz w:val="22"/>
                <w:szCs w:val="22"/>
              </w:rPr>
              <w:t>0.003</w:t>
            </w:r>
          </w:p>
        </w:tc>
        <w:tc>
          <w:tcPr>
            <w:tcW w:w="848" w:type="dxa"/>
            <w:tcBorders>
              <w:top w:val="single" w:color="auto" w:sz="4" w:space="0"/>
              <w:bottom w:val="single" w:color="auto" w:sz="4" w:space="0"/>
            </w:tcBorders>
            <w:vAlign w:val="center"/>
          </w:tcPr>
          <w:p>
            <w:pPr>
              <w:jc w:val="right"/>
              <w:rPr>
                <w:color w:val="auto"/>
                <w:sz w:val="22"/>
                <w:szCs w:val="22"/>
              </w:rPr>
            </w:pPr>
            <w:r>
              <w:rPr>
                <w:color w:val="auto"/>
                <w:sz w:val="22"/>
                <w:szCs w:val="22"/>
              </w:rPr>
              <w:t>0.017</w:t>
            </w:r>
          </w:p>
        </w:tc>
        <w:tc>
          <w:tcPr>
            <w:tcW w:w="1023" w:type="dxa"/>
            <w:tcBorders>
              <w:top w:val="single" w:color="auto" w:sz="4" w:space="0"/>
              <w:bottom w:val="single" w:color="auto" w:sz="4" w:space="0"/>
            </w:tcBorders>
            <w:vAlign w:val="center"/>
          </w:tcPr>
          <w:p>
            <w:pPr>
              <w:pStyle w:val="30"/>
              <w:widowControl w:val="0"/>
              <w:spacing w:before="0" w:beforeAutospacing="0" w:after="0" w:afterAutospacing="0"/>
              <w:jc w:val="center"/>
              <w:rPr>
                <w:rFonts w:ascii="Times New Roman" w:hAnsi="Times New Roman"/>
                <w:snapToGrid w:val="0"/>
                <w:color w:val="auto"/>
                <w:sz w:val="21"/>
                <w:szCs w:val="21"/>
              </w:rPr>
            </w:pPr>
            <w:r>
              <w:rPr>
                <w:rFonts w:ascii="Times New Roman" w:hAnsi="Times New Roman"/>
                <w:snapToGrid w:val="0"/>
                <w:color w:val="auto"/>
                <w:sz w:val="21"/>
                <w:szCs w:val="21"/>
              </w:rPr>
              <w:t>--</w:t>
            </w:r>
          </w:p>
        </w:tc>
        <w:tc>
          <w:tcPr>
            <w:tcW w:w="852" w:type="dxa"/>
            <w:tcBorders>
              <w:top w:val="single" w:color="auto" w:sz="4" w:space="0"/>
              <w:bottom w:val="single" w:color="auto" w:sz="4" w:space="0"/>
            </w:tcBorders>
            <w:vAlign w:val="center"/>
          </w:tcPr>
          <w:p>
            <w:pPr>
              <w:ind w:left="-50" w:right="-50"/>
              <w:jc w:val="center"/>
              <w:rPr>
                <w:color w:val="auto"/>
                <w:szCs w:val="21"/>
              </w:rPr>
            </w:pPr>
            <w:r>
              <w:rPr>
                <w:color w:val="auto"/>
                <w:szCs w:val="21"/>
              </w:rPr>
              <w:t>0.457</w:t>
            </w:r>
          </w:p>
        </w:tc>
        <w:tc>
          <w:tcPr>
            <w:tcW w:w="818" w:type="dxa"/>
            <w:tcBorders>
              <w:top w:val="single" w:color="auto" w:sz="4" w:space="0"/>
              <w:bottom w:val="single" w:color="auto" w:sz="4" w:space="0"/>
            </w:tcBorders>
            <w:vAlign w:val="center"/>
          </w:tcPr>
          <w:p>
            <w:pPr>
              <w:ind w:left="-50" w:right="-50"/>
              <w:jc w:val="center"/>
              <w:rPr>
                <w:color w:val="auto"/>
                <w:szCs w:val="21"/>
              </w:rPr>
            </w:pPr>
            <w:r>
              <w:rPr>
                <w:color w:val="auto"/>
                <w:szCs w:val="21"/>
              </w:rPr>
              <w:t>0.8134</w:t>
            </w:r>
          </w:p>
        </w:tc>
        <w:tc>
          <w:tcPr>
            <w:tcW w:w="955" w:type="dxa"/>
            <w:tcBorders>
              <w:top w:val="single" w:color="auto" w:sz="4" w:space="0"/>
              <w:bottom w:val="single" w:color="auto" w:sz="4" w:space="0"/>
            </w:tcBorders>
            <w:vAlign w:val="center"/>
          </w:tcPr>
          <w:p>
            <w:pPr>
              <w:jc w:val="right"/>
              <w:rPr>
                <w:color w:val="auto"/>
                <w:sz w:val="22"/>
                <w:szCs w:val="22"/>
              </w:rPr>
            </w:pPr>
            <w:r>
              <w:rPr>
                <w:color w:val="auto"/>
                <w:szCs w:val="21"/>
              </w:rPr>
              <w:t>+</w:t>
            </w:r>
            <w:r>
              <w:rPr>
                <w:color w:val="auto"/>
                <w:sz w:val="22"/>
                <w:szCs w:val="22"/>
              </w:rPr>
              <w:t>0.003</w:t>
            </w:r>
          </w:p>
        </w:tc>
        <w:tc>
          <w:tcPr>
            <w:tcW w:w="916" w:type="dxa"/>
            <w:tcBorders>
              <w:top w:val="single" w:color="auto" w:sz="4" w:space="0"/>
              <w:bottom w:val="single" w:color="auto" w:sz="4" w:space="0"/>
              <w:right w:val="single" w:color="auto" w:sz="12" w:space="0"/>
            </w:tcBorders>
            <w:vAlign w:val="center"/>
          </w:tcPr>
          <w:p>
            <w:pPr>
              <w:jc w:val="right"/>
              <w:rPr>
                <w:color w:val="auto"/>
                <w:sz w:val="22"/>
                <w:szCs w:val="22"/>
              </w:rPr>
            </w:pPr>
            <w:r>
              <w:rPr>
                <w:color w:val="auto"/>
                <w:szCs w:val="21"/>
              </w:rPr>
              <w:t>+</w:t>
            </w:r>
            <w:r>
              <w:rPr>
                <w:color w:val="auto"/>
                <w:sz w:val="22"/>
                <w:szCs w:val="22"/>
              </w:rPr>
              <w:t>0.017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81" w:hRule="atLeast"/>
        </w:trPr>
        <w:tc>
          <w:tcPr>
            <w:tcW w:w="1338" w:type="dxa"/>
            <w:vMerge w:val="continue"/>
            <w:tcBorders>
              <w:top w:val="single" w:color="auto" w:sz="4" w:space="0"/>
              <w:left w:val="single" w:color="auto" w:sz="12" w:space="0"/>
              <w:bottom w:val="single" w:color="auto" w:sz="4" w:space="0"/>
            </w:tcBorders>
            <w:vAlign w:val="center"/>
          </w:tcPr>
          <w:p>
            <w:pPr>
              <w:jc w:val="center"/>
              <w:rPr>
                <w:snapToGrid w:val="0"/>
                <w:color w:val="auto"/>
                <w:szCs w:val="21"/>
              </w:rPr>
            </w:pPr>
          </w:p>
        </w:tc>
        <w:tc>
          <w:tcPr>
            <w:tcW w:w="1800" w:type="dxa"/>
            <w:gridSpan w:val="2"/>
            <w:tcBorders>
              <w:top w:val="single" w:color="auto" w:sz="4" w:space="0"/>
            </w:tcBorders>
            <w:vAlign w:val="center"/>
          </w:tcPr>
          <w:p>
            <w:pPr>
              <w:autoSpaceDE w:val="0"/>
              <w:spacing w:line="240" w:lineRule="atLeast"/>
              <w:jc w:val="center"/>
              <w:rPr>
                <w:color w:val="auto"/>
                <w:szCs w:val="21"/>
              </w:rPr>
            </w:pPr>
            <w:r>
              <w:rPr>
                <w:color w:val="auto"/>
                <w:szCs w:val="21"/>
              </w:rPr>
              <w:t>总磷</w:t>
            </w:r>
          </w:p>
        </w:tc>
        <w:tc>
          <w:tcPr>
            <w:tcW w:w="971" w:type="dxa"/>
            <w:tcBorders>
              <w:top w:val="single" w:color="auto" w:sz="4" w:space="0"/>
            </w:tcBorders>
            <w:vAlign w:val="center"/>
          </w:tcPr>
          <w:p>
            <w:pPr>
              <w:wordWrap w:val="0"/>
              <w:overflowPunct w:val="0"/>
              <w:autoSpaceDE w:val="0"/>
              <w:spacing w:line="240" w:lineRule="atLeast"/>
              <w:jc w:val="center"/>
              <w:rPr>
                <w:color w:val="auto"/>
                <w:szCs w:val="21"/>
              </w:rPr>
            </w:pPr>
            <w:r>
              <w:rPr>
                <w:color w:val="auto"/>
                <w:kern w:val="0"/>
                <w:szCs w:val="21"/>
              </w:rPr>
              <w:t>0.113</w:t>
            </w:r>
          </w:p>
        </w:tc>
        <w:tc>
          <w:tcPr>
            <w:tcW w:w="972" w:type="dxa"/>
            <w:tcBorders>
              <w:top w:val="single" w:color="auto" w:sz="4" w:space="0"/>
            </w:tcBorders>
            <w:vAlign w:val="center"/>
          </w:tcPr>
          <w:p>
            <w:pPr>
              <w:wordWrap w:val="0"/>
              <w:overflowPunct w:val="0"/>
              <w:autoSpaceDE w:val="0"/>
              <w:spacing w:line="240" w:lineRule="atLeast"/>
              <w:jc w:val="center"/>
              <w:rPr>
                <w:color w:val="auto"/>
                <w:szCs w:val="21"/>
              </w:rPr>
            </w:pPr>
            <w:r>
              <w:rPr>
                <w:color w:val="auto"/>
                <w:kern w:val="0"/>
                <w:szCs w:val="21"/>
              </w:rPr>
              <w:t>0.0498</w:t>
            </w:r>
          </w:p>
        </w:tc>
        <w:tc>
          <w:tcPr>
            <w:tcW w:w="989" w:type="dxa"/>
            <w:tcBorders>
              <w:top w:val="single" w:color="auto" w:sz="4" w:space="0"/>
            </w:tcBorders>
            <w:vAlign w:val="center"/>
          </w:tcPr>
          <w:p>
            <w:pPr>
              <w:pStyle w:val="30"/>
              <w:widowControl w:val="0"/>
              <w:spacing w:before="0" w:beforeAutospacing="0" w:after="0" w:afterAutospacing="0"/>
              <w:jc w:val="center"/>
              <w:rPr>
                <w:rFonts w:ascii="Times New Roman" w:hAnsi="Times New Roman"/>
                <w:snapToGrid w:val="0"/>
                <w:color w:val="auto"/>
                <w:sz w:val="21"/>
                <w:szCs w:val="21"/>
              </w:rPr>
            </w:pPr>
            <w:r>
              <w:rPr>
                <w:rFonts w:ascii="Times New Roman" w:hAnsi="Times New Roman"/>
                <w:color w:val="auto"/>
                <w:sz w:val="21"/>
                <w:szCs w:val="21"/>
              </w:rPr>
              <w:t>--</w:t>
            </w:r>
          </w:p>
        </w:tc>
        <w:tc>
          <w:tcPr>
            <w:tcW w:w="848" w:type="dxa"/>
            <w:tcBorders>
              <w:top w:val="single" w:color="auto" w:sz="4" w:space="0"/>
            </w:tcBorders>
            <w:vAlign w:val="center"/>
          </w:tcPr>
          <w:p>
            <w:pPr>
              <w:pStyle w:val="30"/>
              <w:widowControl w:val="0"/>
              <w:spacing w:before="0" w:beforeAutospacing="0" w:after="0" w:afterAutospacing="0"/>
              <w:jc w:val="center"/>
              <w:rPr>
                <w:rFonts w:ascii="Times New Roman" w:hAnsi="Times New Roman"/>
                <w:color w:val="auto"/>
                <w:sz w:val="21"/>
                <w:szCs w:val="21"/>
              </w:rPr>
            </w:pPr>
            <w:r>
              <w:rPr>
                <w:rFonts w:ascii="Times New Roman" w:hAnsi="Times New Roman"/>
                <w:snapToGrid w:val="0"/>
                <w:color w:val="auto"/>
                <w:sz w:val="21"/>
                <w:szCs w:val="21"/>
              </w:rPr>
              <w:t>--</w:t>
            </w:r>
          </w:p>
        </w:tc>
        <w:tc>
          <w:tcPr>
            <w:tcW w:w="848" w:type="dxa"/>
            <w:tcBorders>
              <w:top w:val="single" w:color="auto" w:sz="4" w:space="0"/>
            </w:tcBorders>
            <w:vAlign w:val="center"/>
          </w:tcPr>
          <w:p>
            <w:pPr>
              <w:pStyle w:val="30"/>
              <w:widowControl w:val="0"/>
              <w:spacing w:before="0" w:beforeAutospacing="0" w:after="0" w:afterAutospacing="0"/>
              <w:jc w:val="center"/>
              <w:rPr>
                <w:rFonts w:ascii="Times New Roman" w:hAnsi="Times New Roman"/>
                <w:color w:val="auto"/>
                <w:sz w:val="21"/>
                <w:szCs w:val="21"/>
              </w:rPr>
            </w:pPr>
            <w:r>
              <w:rPr>
                <w:rFonts w:ascii="Times New Roman" w:hAnsi="Times New Roman"/>
                <w:snapToGrid w:val="0"/>
                <w:color w:val="auto"/>
                <w:sz w:val="21"/>
                <w:szCs w:val="21"/>
              </w:rPr>
              <w:t>--</w:t>
            </w:r>
          </w:p>
        </w:tc>
        <w:tc>
          <w:tcPr>
            <w:tcW w:w="848" w:type="dxa"/>
            <w:tcBorders>
              <w:top w:val="single" w:color="auto" w:sz="4" w:space="0"/>
            </w:tcBorders>
            <w:vAlign w:val="center"/>
          </w:tcPr>
          <w:p>
            <w:pPr>
              <w:jc w:val="right"/>
              <w:rPr>
                <w:rFonts w:hint="eastAsia" w:eastAsia="宋体"/>
                <w:color w:val="auto"/>
                <w:sz w:val="22"/>
                <w:szCs w:val="22"/>
                <w:lang w:eastAsia="zh-CN"/>
              </w:rPr>
            </w:pPr>
            <w:r>
              <w:rPr>
                <w:color w:val="auto"/>
                <w:sz w:val="22"/>
                <w:szCs w:val="22"/>
              </w:rPr>
              <w:t>0.00</w:t>
            </w:r>
            <w:r>
              <w:rPr>
                <w:rFonts w:hint="eastAsia"/>
                <w:color w:val="auto"/>
                <w:sz w:val="22"/>
                <w:szCs w:val="22"/>
                <w:lang w:val="en-US" w:eastAsia="zh-CN"/>
              </w:rPr>
              <w:t>2</w:t>
            </w:r>
          </w:p>
        </w:tc>
        <w:tc>
          <w:tcPr>
            <w:tcW w:w="848" w:type="dxa"/>
            <w:tcBorders>
              <w:top w:val="single" w:color="auto" w:sz="4" w:space="0"/>
            </w:tcBorders>
            <w:vAlign w:val="center"/>
          </w:tcPr>
          <w:p>
            <w:pPr>
              <w:jc w:val="right"/>
              <w:rPr>
                <w:color w:val="auto"/>
                <w:sz w:val="22"/>
                <w:szCs w:val="22"/>
              </w:rPr>
            </w:pPr>
            <w:r>
              <w:rPr>
                <w:color w:val="auto"/>
                <w:sz w:val="22"/>
                <w:szCs w:val="22"/>
              </w:rPr>
              <w:t>0.002</w:t>
            </w:r>
          </w:p>
        </w:tc>
        <w:tc>
          <w:tcPr>
            <w:tcW w:w="1023" w:type="dxa"/>
            <w:tcBorders>
              <w:top w:val="single" w:color="auto" w:sz="4" w:space="0"/>
            </w:tcBorders>
            <w:vAlign w:val="center"/>
          </w:tcPr>
          <w:p>
            <w:pPr>
              <w:pStyle w:val="30"/>
              <w:widowControl w:val="0"/>
              <w:spacing w:before="0" w:beforeAutospacing="0" w:after="0" w:afterAutospacing="0"/>
              <w:jc w:val="center"/>
              <w:rPr>
                <w:rFonts w:ascii="Times New Roman" w:hAnsi="Times New Roman"/>
                <w:snapToGrid w:val="0"/>
                <w:color w:val="auto"/>
                <w:sz w:val="21"/>
                <w:szCs w:val="21"/>
              </w:rPr>
            </w:pPr>
            <w:r>
              <w:rPr>
                <w:rFonts w:ascii="Times New Roman" w:hAnsi="Times New Roman"/>
                <w:snapToGrid w:val="0"/>
                <w:color w:val="auto"/>
                <w:sz w:val="21"/>
                <w:szCs w:val="21"/>
              </w:rPr>
              <w:t>--</w:t>
            </w:r>
          </w:p>
        </w:tc>
        <w:tc>
          <w:tcPr>
            <w:tcW w:w="852" w:type="dxa"/>
            <w:tcBorders>
              <w:top w:val="single" w:color="auto" w:sz="4" w:space="0"/>
            </w:tcBorders>
            <w:vAlign w:val="center"/>
          </w:tcPr>
          <w:p>
            <w:pPr>
              <w:ind w:left="-50" w:right="-50"/>
              <w:jc w:val="center"/>
              <w:rPr>
                <w:color w:val="auto"/>
                <w:sz w:val="22"/>
                <w:szCs w:val="22"/>
              </w:rPr>
            </w:pPr>
            <w:r>
              <w:rPr>
                <w:color w:val="auto"/>
                <w:sz w:val="22"/>
                <w:szCs w:val="22"/>
              </w:rPr>
              <w:t>0.114</w:t>
            </w:r>
          </w:p>
        </w:tc>
        <w:tc>
          <w:tcPr>
            <w:tcW w:w="818" w:type="dxa"/>
            <w:tcBorders>
              <w:top w:val="single" w:color="auto" w:sz="4" w:space="0"/>
            </w:tcBorders>
            <w:vAlign w:val="center"/>
          </w:tcPr>
          <w:p>
            <w:pPr>
              <w:ind w:left="-50" w:right="-50"/>
              <w:jc w:val="center"/>
              <w:rPr>
                <w:color w:val="auto"/>
                <w:sz w:val="22"/>
                <w:szCs w:val="22"/>
              </w:rPr>
            </w:pPr>
            <w:r>
              <w:rPr>
                <w:color w:val="auto"/>
                <w:sz w:val="22"/>
                <w:szCs w:val="22"/>
              </w:rPr>
              <w:t>0.0518</w:t>
            </w:r>
          </w:p>
        </w:tc>
        <w:tc>
          <w:tcPr>
            <w:tcW w:w="955" w:type="dxa"/>
            <w:tcBorders>
              <w:top w:val="single" w:color="auto" w:sz="4" w:space="0"/>
              <w:bottom w:val="single" w:color="auto" w:sz="4" w:space="0"/>
            </w:tcBorders>
            <w:vAlign w:val="center"/>
          </w:tcPr>
          <w:p>
            <w:pPr>
              <w:jc w:val="right"/>
              <w:rPr>
                <w:rFonts w:hint="eastAsia" w:eastAsia="宋体"/>
                <w:color w:val="auto"/>
                <w:sz w:val="22"/>
                <w:szCs w:val="22"/>
                <w:lang w:eastAsia="zh-CN"/>
              </w:rPr>
            </w:pPr>
            <w:r>
              <w:rPr>
                <w:color w:val="auto"/>
                <w:szCs w:val="21"/>
              </w:rPr>
              <w:t>+</w:t>
            </w:r>
            <w:r>
              <w:rPr>
                <w:color w:val="auto"/>
                <w:sz w:val="22"/>
                <w:szCs w:val="22"/>
              </w:rPr>
              <w:t>0.00</w:t>
            </w:r>
            <w:r>
              <w:rPr>
                <w:rFonts w:hint="eastAsia"/>
                <w:color w:val="auto"/>
                <w:sz w:val="22"/>
                <w:szCs w:val="22"/>
                <w:lang w:val="en-US" w:eastAsia="zh-CN"/>
              </w:rPr>
              <w:t>2</w:t>
            </w:r>
          </w:p>
        </w:tc>
        <w:tc>
          <w:tcPr>
            <w:tcW w:w="916" w:type="dxa"/>
            <w:tcBorders>
              <w:top w:val="single" w:color="auto" w:sz="4" w:space="0"/>
              <w:right w:val="single" w:color="auto" w:sz="12" w:space="0"/>
            </w:tcBorders>
            <w:vAlign w:val="center"/>
          </w:tcPr>
          <w:p>
            <w:pPr>
              <w:jc w:val="right"/>
              <w:rPr>
                <w:color w:val="auto"/>
                <w:sz w:val="22"/>
                <w:szCs w:val="22"/>
              </w:rPr>
            </w:pPr>
            <w:r>
              <w:rPr>
                <w:color w:val="auto"/>
                <w:szCs w:val="21"/>
              </w:rPr>
              <w:t>+</w:t>
            </w:r>
            <w:r>
              <w:rPr>
                <w:color w:val="auto"/>
                <w:sz w:val="22"/>
                <w:szCs w:val="22"/>
              </w:rPr>
              <w:t>0.002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1" w:hRule="atLeast"/>
        </w:trPr>
        <w:tc>
          <w:tcPr>
            <w:tcW w:w="1338" w:type="dxa"/>
            <w:vMerge w:val="continue"/>
            <w:tcBorders>
              <w:left w:val="single" w:color="auto" w:sz="12" w:space="0"/>
              <w:bottom w:val="single" w:color="auto" w:sz="4" w:space="0"/>
            </w:tcBorders>
            <w:vAlign w:val="center"/>
          </w:tcPr>
          <w:p>
            <w:pPr>
              <w:jc w:val="center"/>
              <w:rPr>
                <w:snapToGrid w:val="0"/>
                <w:color w:val="auto"/>
                <w:szCs w:val="21"/>
              </w:rPr>
            </w:pPr>
          </w:p>
        </w:tc>
        <w:tc>
          <w:tcPr>
            <w:tcW w:w="1800" w:type="dxa"/>
            <w:gridSpan w:val="2"/>
            <w:tcBorders>
              <w:top w:val="single" w:color="auto" w:sz="4" w:space="0"/>
            </w:tcBorders>
            <w:vAlign w:val="center"/>
          </w:tcPr>
          <w:p>
            <w:pPr>
              <w:autoSpaceDE w:val="0"/>
              <w:spacing w:line="240" w:lineRule="atLeast"/>
              <w:jc w:val="center"/>
              <w:rPr>
                <w:color w:val="auto"/>
                <w:szCs w:val="21"/>
              </w:rPr>
            </w:pPr>
            <w:r>
              <w:rPr>
                <w:rFonts w:hint="eastAsia"/>
                <w:color w:val="auto"/>
                <w:szCs w:val="21"/>
              </w:rPr>
              <w:t>全盐量</w:t>
            </w:r>
          </w:p>
        </w:tc>
        <w:tc>
          <w:tcPr>
            <w:tcW w:w="971" w:type="dxa"/>
            <w:tcBorders>
              <w:top w:val="single" w:color="auto" w:sz="4" w:space="0"/>
            </w:tcBorders>
            <w:vAlign w:val="center"/>
          </w:tcPr>
          <w:p>
            <w:pPr>
              <w:wordWrap w:val="0"/>
              <w:overflowPunct w:val="0"/>
              <w:autoSpaceDE w:val="0"/>
              <w:spacing w:line="240" w:lineRule="atLeast"/>
              <w:jc w:val="center"/>
              <w:rPr>
                <w:color w:val="auto"/>
                <w:kern w:val="0"/>
                <w:szCs w:val="21"/>
              </w:rPr>
            </w:pPr>
            <w:r>
              <w:rPr>
                <w:rFonts w:hint="eastAsia"/>
                <w:color w:val="auto"/>
                <w:kern w:val="0"/>
                <w:szCs w:val="21"/>
              </w:rPr>
              <w:t>--</w:t>
            </w:r>
          </w:p>
        </w:tc>
        <w:tc>
          <w:tcPr>
            <w:tcW w:w="972" w:type="dxa"/>
            <w:tcBorders>
              <w:top w:val="single" w:color="auto" w:sz="4" w:space="0"/>
            </w:tcBorders>
            <w:vAlign w:val="center"/>
          </w:tcPr>
          <w:p>
            <w:pPr>
              <w:wordWrap w:val="0"/>
              <w:overflowPunct w:val="0"/>
              <w:autoSpaceDE w:val="0"/>
              <w:spacing w:line="240" w:lineRule="atLeast"/>
              <w:jc w:val="center"/>
              <w:rPr>
                <w:color w:val="auto"/>
                <w:kern w:val="0"/>
                <w:szCs w:val="21"/>
              </w:rPr>
            </w:pPr>
            <w:r>
              <w:rPr>
                <w:rFonts w:hint="eastAsia"/>
                <w:color w:val="auto"/>
                <w:kern w:val="0"/>
                <w:szCs w:val="21"/>
              </w:rPr>
              <w:t>--</w:t>
            </w:r>
          </w:p>
        </w:tc>
        <w:tc>
          <w:tcPr>
            <w:tcW w:w="989" w:type="dxa"/>
            <w:tcBorders>
              <w:top w:val="single" w:color="auto" w:sz="4" w:space="0"/>
            </w:tcBorders>
            <w:vAlign w:val="center"/>
          </w:tcPr>
          <w:p>
            <w:pPr>
              <w:pStyle w:val="30"/>
              <w:widowControl w:val="0"/>
              <w:spacing w:before="0" w:beforeAutospacing="0" w:after="0" w:afterAutospacing="0"/>
              <w:jc w:val="center"/>
              <w:rPr>
                <w:rFonts w:ascii="Times New Roman" w:hAnsi="Times New Roman"/>
                <w:color w:val="auto"/>
                <w:sz w:val="21"/>
                <w:szCs w:val="21"/>
              </w:rPr>
            </w:pPr>
            <w:r>
              <w:rPr>
                <w:rFonts w:hint="eastAsia" w:ascii="Times New Roman" w:hAnsi="Times New Roman"/>
                <w:color w:val="auto"/>
                <w:sz w:val="21"/>
                <w:szCs w:val="21"/>
              </w:rPr>
              <w:t>--</w:t>
            </w:r>
          </w:p>
        </w:tc>
        <w:tc>
          <w:tcPr>
            <w:tcW w:w="848" w:type="dxa"/>
            <w:tcBorders>
              <w:top w:val="single" w:color="auto" w:sz="4" w:space="0"/>
            </w:tcBorders>
            <w:vAlign w:val="center"/>
          </w:tcPr>
          <w:p>
            <w:pPr>
              <w:pStyle w:val="30"/>
              <w:widowControl w:val="0"/>
              <w:spacing w:before="0" w:beforeAutospacing="0" w:after="0" w:afterAutospacing="0"/>
              <w:jc w:val="center"/>
              <w:rPr>
                <w:rFonts w:ascii="Times New Roman" w:hAnsi="Times New Roman"/>
                <w:snapToGrid w:val="0"/>
                <w:color w:val="auto"/>
                <w:sz w:val="21"/>
                <w:szCs w:val="21"/>
              </w:rPr>
            </w:pPr>
            <w:r>
              <w:rPr>
                <w:rFonts w:hint="eastAsia" w:ascii="Times New Roman" w:hAnsi="Times New Roman"/>
                <w:snapToGrid w:val="0"/>
                <w:color w:val="auto"/>
                <w:sz w:val="21"/>
                <w:szCs w:val="21"/>
              </w:rPr>
              <w:t>--</w:t>
            </w:r>
          </w:p>
        </w:tc>
        <w:tc>
          <w:tcPr>
            <w:tcW w:w="848" w:type="dxa"/>
            <w:tcBorders>
              <w:top w:val="single" w:color="auto" w:sz="4" w:space="0"/>
            </w:tcBorders>
            <w:vAlign w:val="center"/>
          </w:tcPr>
          <w:p>
            <w:pPr>
              <w:pStyle w:val="30"/>
              <w:widowControl w:val="0"/>
              <w:spacing w:before="0" w:beforeAutospacing="0" w:after="0" w:afterAutospacing="0"/>
              <w:jc w:val="center"/>
              <w:rPr>
                <w:rFonts w:ascii="Times New Roman" w:hAnsi="Times New Roman"/>
                <w:snapToGrid w:val="0"/>
                <w:color w:val="auto"/>
                <w:sz w:val="21"/>
                <w:szCs w:val="21"/>
              </w:rPr>
            </w:pPr>
            <w:r>
              <w:rPr>
                <w:rFonts w:hint="eastAsia" w:ascii="Times New Roman" w:hAnsi="Times New Roman"/>
                <w:snapToGrid w:val="0"/>
                <w:color w:val="auto"/>
                <w:sz w:val="21"/>
                <w:szCs w:val="21"/>
              </w:rPr>
              <w:t>--</w:t>
            </w:r>
          </w:p>
        </w:tc>
        <w:tc>
          <w:tcPr>
            <w:tcW w:w="848" w:type="dxa"/>
            <w:tcBorders>
              <w:top w:val="single" w:color="auto" w:sz="4" w:space="0"/>
            </w:tcBorders>
            <w:vAlign w:val="center"/>
          </w:tcPr>
          <w:p>
            <w:pPr>
              <w:jc w:val="right"/>
              <w:rPr>
                <w:color w:val="auto"/>
                <w:sz w:val="22"/>
                <w:szCs w:val="22"/>
              </w:rPr>
            </w:pPr>
            <w:r>
              <w:rPr>
                <w:rFonts w:hint="eastAsia"/>
                <w:color w:val="auto"/>
                <w:sz w:val="22"/>
                <w:szCs w:val="22"/>
              </w:rPr>
              <w:t>0.600</w:t>
            </w:r>
          </w:p>
        </w:tc>
        <w:tc>
          <w:tcPr>
            <w:tcW w:w="848" w:type="dxa"/>
            <w:tcBorders>
              <w:top w:val="single" w:color="auto" w:sz="4" w:space="0"/>
            </w:tcBorders>
            <w:vAlign w:val="center"/>
          </w:tcPr>
          <w:p>
            <w:pPr>
              <w:jc w:val="right"/>
              <w:rPr>
                <w:color w:val="auto"/>
                <w:sz w:val="22"/>
                <w:szCs w:val="22"/>
              </w:rPr>
            </w:pPr>
            <w:r>
              <w:rPr>
                <w:rFonts w:hint="eastAsia"/>
                <w:color w:val="auto"/>
                <w:sz w:val="22"/>
                <w:szCs w:val="22"/>
              </w:rPr>
              <w:t>--</w:t>
            </w:r>
          </w:p>
        </w:tc>
        <w:tc>
          <w:tcPr>
            <w:tcW w:w="1023" w:type="dxa"/>
            <w:tcBorders>
              <w:top w:val="single" w:color="auto" w:sz="4" w:space="0"/>
            </w:tcBorders>
            <w:vAlign w:val="center"/>
          </w:tcPr>
          <w:p>
            <w:pPr>
              <w:pStyle w:val="30"/>
              <w:widowControl w:val="0"/>
              <w:spacing w:before="0" w:beforeAutospacing="0" w:after="0" w:afterAutospacing="0"/>
              <w:jc w:val="center"/>
              <w:rPr>
                <w:rFonts w:ascii="Times New Roman" w:hAnsi="Times New Roman"/>
                <w:snapToGrid w:val="0"/>
                <w:color w:val="auto"/>
                <w:sz w:val="21"/>
                <w:szCs w:val="21"/>
              </w:rPr>
            </w:pPr>
          </w:p>
        </w:tc>
        <w:tc>
          <w:tcPr>
            <w:tcW w:w="852" w:type="dxa"/>
            <w:tcBorders>
              <w:top w:val="single" w:color="auto" w:sz="4" w:space="0"/>
            </w:tcBorders>
            <w:vAlign w:val="center"/>
          </w:tcPr>
          <w:p>
            <w:pPr>
              <w:ind w:left="-50" w:right="-50"/>
              <w:jc w:val="center"/>
              <w:rPr>
                <w:color w:val="auto"/>
                <w:sz w:val="22"/>
                <w:szCs w:val="22"/>
              </w:rPr>
            </w:pPr>
            <w:r>
              <w:rPr>
                <w:rFonts w:hint="eastAsia"/>
                <w:color w:val="auto"/>
                <w:sz w:val="22"/>
                <w:szCs w:val="22"/>
              </w:rPr>
              <w:t>0.600</w:t>
            </w:r>
          </w:p>
        </w:tc>
        <w:tc>
          <w:tcPr>
            <w:tcW w:w="818" w:type="dxa"/>
            <w:tcBorders>
              <w:top w:val="single" w:color="auto" w:sz="4" w:space="0"/>
            </w:tcBorders>
            <w:vAlign w:val="center"/>
          </w:tcPr>
          <w:p>
            <w:pPr>
              <w:ind w:left="-50" w:right="-50"/>
              <w:jc w:val="center"/>
              <w:rPr>
                <w:color w:val="auto"/>
                <w:sz w:val="22"/>
                <w:szCs w:val="22"/>
              </w:rPr>
            </w:pPr>
            <w:r>
              <w:rPr>
                <w:rFonts w:hint="eastAsia"/>
                <w:color w:val="auto"/>
                <w:sz w:val="22"/>
                <w:szCs w:val="22"/>
              </w:rPr>
              <w:t>--</w:t>
            </w:r>
          </w:p>
        </w:tc>
        <w:tc>
          <w:tcPr>
            <w:tcW w:w="955" w:type="dxa"/>
            <w:tcBorders>
              <w:top w:val="single" w:color="auto" w:sz="4" w:space="0"/>
              <w:bottom w:val="single" w:color="auto" w:sz="4" w:space="0"/>
            </w:tcBorders>
            <w:vAlign w:val="center"/>
          </w:tcPr>
          <w:p>
            <w:pPr>
              <w:jc w:val="right"/>
              <w:rPr>
                <w:color w:val="auto"/>
                <w:szCs w:val="21"/>
              </w:rPr>
            </w:pPr>
            <w:r>
              <w:rPr>
                <w:rFonts w:hint="eastAsia"/>
                <w:color w:val="auto"/>
                <w:sz w:val="22"/>
                <w:szCs w:val="22"/>
              </w:rPr>
              <w:t>+0.600</w:t>
            </w:r>
          </w:p>
        </w:tc>
        <w:tc>
          <w:tcPr>
            <w:tcW w:w="916" w:type="dxa"/>
            <w:tcBorders>
              <w:top w:val="single" w:color="auto" w:sz="4" w:space="0"/>
              <w:right w:val="single" w:color="auto" w:sz="12" w:space="0"/>
            </w:tcBorders>
            <w:vAlign w:val="center"/>
          </w:tcPr>
          <w:p>
            <w:pPr>
              <w:jc w:val="right"/>
              <w:rPr>
                <w:color w:val="auto"/>
                <w:szCs w:val="21"/>
              </w:rPr>
            </w:pPr>
            <w:r>
              <w:rPr>
                <w:rFonts w:hint="eastAsia"/>
                <w:color w:val="auto"/>
                <w:szCs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38" w:type="dxa"/>
            <w:vMerge w:val="restart"/>
            <w:tcBorders>
              <w:top w:val="single" w:color="auto" w:sz="4" w:space="0"/>
              <w:left w:val="single" w:color="auto" w:sz="12" w:space="0"/>
              <w:bottom w:val="single" w:color="auto" w:sz="4" w:space="0"/>
            </w:tcBorders>
            <w:vAlign w:val="center"/>
          </w:tcPr>
          <w:p>
            <w:pPr>
              <w:jc w:val="center"/>
              <w:rPr>
                <w:snapToGrid w:val="0"/>
                <w:color w:val="auto"/>
                <w:szCs w:val="21"/>
              </w:rPr>
            </w:pPr>
            <w:r>
              <w:rPr>
                <w:color w:val="auto"/>
                <w:szCs w:val="21"/>
              </w:rPr>
              <w:t>固体废物</w:t>
            </w:r>
          </w:p>
        </w:tc>
        <w:tc>
          <w:tcPr>
            <w:tcW w:w="1800" w:type="dxa"/>
            <w:gridSpan w:val="2"/>
            <w:tcBorders>
              <w:top w:val="single" w:color="auto" w:sz="4" w:space="0"/>
              <w:bottom w:val="single" w:color="auto" w:sz="4" w:space="0"/>
            </w:tcBorders>
            <w:vAlign w:val="center"/>
          </w:tcPr>
          <w:p>
            <w:pPr>
              <w:pStyle w:val="30"/>
              <w:widowControl w:val="0"/>
              <w:spacing w:before="0" w:beforeAutospacing="0" w:after="0" w:afterAutospacing="0"/>
              <w:jc w:val="center"/>
              <w:rPr>
                <w:rFonts w:ascii="Times New Roman" w:hAnsi="Times New Roman"/>
                <w:bCs/>
                <w:color w:val="auto"/>
                <w:sz w:val="21"/>
                <w:szCs w:val="21"/>
              </w:rPr>
            </w:pPr>
            <w:r>
              <w:rPr>
                <w:rFonts w:ascii="Times New Roman" w:hAnsi="Times New Roman"/>
                <w:color w:val="auto"/>
                <w:kern w:val="2"/>
                <w:sz w:val="21"/>
                <w:szCs w:val="21"/>
              </w:rPr>
              <w:t>危险废物</w:t>
            </w:r>
          </w:p>
        </w:tc>
        <w:tc>
          <w:tcPr>
            <w:tcW w:w="1943" w:type="dxa"/>
            <w:gridSpan w:val="2"/>
            <w:tcBorders>
              <w:top w:val="single" w:color="auto" w:sz="4" w:space="0"/>
              <w:bottom w:val="single" w:color="auto" w:sz="4" w:space="0"/>
            </w:tcBorders>
            <w:vAlign w:val="center"/>
          </w:tcPr>
          <w:p>
            <w:pPr>
              <w:spacing w:line="20" w:lineRule="atLeast"/>
              <w:jc w:val="center"/>
              <w:rPr>
                <w:color w:val="auto"/>
                <w:szCs w:val="21"/>
              </w:rPr>
            </w:pPr>
            <w:r>
              <w:rPr>
                <w:snapToGrid w:val="0"/>
                <w:color w:val="auto"/>
                <w:kern w:val="0"/>
                <w:szCs w:val="21"/>
              </w:rPr>
              <w:t>75</w:t>
            </w:r>
          </w:p>
        </w:tc>
        <w:tc>
          <w:tcPr>
            <w:tcW w:w="989" w:type="dxa"/>
            <w:tcBorders>
              <w:top w:val="single" w:color="auto" w:sz="4" w:space="0"/>
              <w:bottom w:val="single" w:color="auto" w:sz="4" w:space="0"/>
            </w:tcBorders>
            <w:vAlign w:val="center"/>
          </w:tcPr>
          <w:p>
            <w:pPr>
              <w:pStyle w:val="30"/>
              <w:widowControl w:val="0"/>
              <w:spacing w:before="0" w:beforeAutospacing="0" w:after="0" w:afterAutospacing="0"/>
              <w:jc w:val="center"/>
              <w:rPr>
                <w:rFonts w:ascii="Times New Roman" w:hAnsi="Times New Roman"/>
                <w:snapToGrid w:val="0"/>
                <w:color w:val="auto"/>
                <w:sz w:val="21"/>
                <w:szCs w:val="21"/>
              </w:rPr>
            </w:pPr>
            <w:r>
              <w:rPr>
                <w:rFonts w:ascii="Times New Roman" w:hAnsi="Times New Roman"/>
                <w:snapToGrid w:val="0"/>
                <w:color w:val="auto"/>
                <w:sz w:val="21"/>
                <w:szCs w:val="21"/>
              </w:rPr>
              <w:t>--</w:t>
            </w:r>
          </w:p>
        </w:tc>
        <w:tc>
          <w:tcPr>
            <w:tcW w:w="1696" w:type="dxa"/>
            <w:gridSpan w:val="2"/>
            <w:tcBorders>
              <w:top w:val="single" w:color="auto" w:sz="4" w:space="0"/>
              <w:bottom w:val="single" w:color="auto" w:sz="4" w:space="0"/>
            </w:tcBorders>
            <w:vAlign w:val="center"/>
          </w:tcPr>
          <w:p>
            <w:pPr>
              <w:pStyle w:val="30"/>
              <w:widowControl w:val="0"/>
              <w:spacing w:before="0" w:beforeAutospacing="0" w:after="0" w:afterAutospacing="0"/>
              <w:jc w:val="center"/>
              <w:rPr>
                <w:rFonts w:ascii="Times New Roman" w:hAnsi="Times New Roman"/>
                <w:color w:val="auto"/>
                <w:sz w:val="21"/>
                <w:szCs w:val="21"/>
              </w:rPr>
            </w:pPr>
            <w:r>
              <w:rPr>
                <w:rFonts w:ascii="Times New Roman" w:hAnsi="Times New Roman"/>
                <w:snapToGrid w:val="0"/>
                <w:color w:val="auto"/>
                <w:sz w:val="21"/>
                <w:szCs w:val="21"/>
              </w:rPr>
              <w:t>--</w:t>
            </w:r>
          </w:p>
        </w:tc>
        <w:tc>
          <w:tcPr>
            <w:tcW w:w="1696" w:type="dxa"/>
            <w:gridSpan w:val="2"/>
            <w:tcBorders>
              <w:top w:val="single" w:color="auto" w:sz="4" w:space="0"/>
              <w:bottom w:val="single" w:color="auto" w:sz="4" w:space="0"/>
            </w:tcBorders>
            <w:vAlign w:val="center"/>
          </w:tcPr>
          <w:p>
            <w:pPr>
              <w:pStyle w:val="30"/>
              <w:widowControl w:val="0"/>
              <w:spacing w:before="0" w:beforeAutospacing="0" w:after="0" w:afterAutospacing="0"/>
              <w:jc w:val="center"/>
              <w:rPr>
                <w:rFonts w:ascii="Times New Roman" w:hAnsi="Times New Roman"/>
                <w:color w:val="auto"/>
                <w:sz w:val="21"/>
                <w:szCs w:val="21"/>
              </w:rPr>
            </w:pPr>
            <w:r>
              <w:rPr>
                <w:rFonts w:ascii="Times New Roman" w:hAnsi="Times New Roman"/>
                <w:color w:val="auto"/>
                <w:sz w:val="21"/>
                <w:szCs w:val="21"/>
              </w:rPr>
              <w:t>10</w:t>
            </w:r>
          </w:p>
        </w:tc>
        <w:tc>
          <w:tcPr>
            <w:tcW w:w="1023" w:type="dxa"/>
            <w:tcBorders>
              <w:top w:val="single" w:color="auto" w:sz="4" w:space="0"/>
              <w:bottom w:val="single" w:color="auto" w:sz="4" w:space="0"/>
            </w:tcBorders>
            <w:vAlign w:val="center"/>
          </w:tcPr>
          <w:p>
            <w:pPr>
              <w:pStyle w:val="30"/>
              <w:widowControl w:val="0"/>
              <w:spacing w:before="0" w:beforeAutospacing="0" w:after="0" w:afterAutospacing="0"/>
              <w:jc w:val="center"/>
              <w:rPr>
                <w:rFonts w:ascii="Times New Roman" w:hAnsi="Times New Roman"/>
                <w:color w:val="auto"/>
                <w:sz w:val="21"/>
                <w:szCs w:val="21"/>
              </w:rPr>
            </w:pPr>
            <w:r>
              <w:rPr>
                <w:rFonts w:ascii="Times New Roman" w:hAnsi="Times New Roman"/>
                <w:snapToGrid w:val="0"/>
                <w:color w:val="auto"/>
                <w:sz w:val="21"/>
                <w:szCs w:val="21"/>
              </w:rPr>
              <w:t>--</w:t>
            </w:r>
          </w:p>
        </w:tc>
        <w:tc>
          <w:tcPr>
            <w:tcW w:w="1670" w:type="dxa"/>
            <w:gridSpan w:val="2"/>
            <w:tcBorders>
              <w:top w:val="single" w:color="auto" w:sz="4" w:space="0"/>
              <w:bottom w:val="single" w:color="auto" w:sz="4" w:space="0"/>
            </w:tcBorders>
            <w:vAlign w:val="center"/>
          </w:tcPr>
          <w:p>
            <w:pPr>
              <w:widowControl/>
              <w:jc w:val="center"/>
              <w:textAlignment w:val="center"/>
              <w:rPr>
                <w:color w:val="auto"/>
                <w:szCs w:val="21"/>
              </w:rPr>
            </w:pPr>
            <w:r>
              <w:rPr>
                <w:color w:val="auto"/>
                <w:kern w:val="0"/>
                <w:szCs w:val="21"/>
              </w:rPr>
              <w:t>85</w:t>
            </w:r>
          </w:p>
        </w:tc>
        <w:tc>
          <w:tcPr>
            <w:tcW w:w="1871" w:type="dxa"/>
            <w:gridSpan w:val="2"/>
            <w:tcBorders>
              <w:top w:val="single" w:color="auto" w:sz="4" w:space="0"/>
              <w:bottom w:val="single" w:color="auto" w:sz="4" w:space="0"/>
              <w:right w:val="single" w:color="auto" w:sz="12" w:space="0"/>
            </w:tcBorders>
            <w:vAlign w:val="center"/>
          </w:tcPr>
          <w:p>
            <w:pPr>
              <w:pStyle w:val="30"/>
              <w:widowControl w:val="0"/>
              <w:spacing w:before="0" w:beforeAutospacing="0" w:after="0" w:afterAutospacing="0"/>
              <w:jc w:val="center"/>
              <w:rPr>
                <w:rFonts w:ascii="Times New Roman" w:hAnsi="Times New Roman"/>
                <w:color w:val="auto"/>
                <w:sz w:val="21"/>
                <w:szCs w:val="21"/>
              </w:rPr>
            </w:pPr>
            <w:r>
              <w:rPr>
                <w:rFonts w:ascii="Times New Roman" w:hAnsi="Times New Roman"/>
                <w:color w:val="auto"/>
                <w:sz w:val="21"/>
                <w:szCs w:val="21"/>
              </w:rPr>
              <w:t>+10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38" w:type="dxa"/>
            <w:vMerge w:val="continue"/>
            <w:tcBorders>
              <w:top w:val="single" w:color="auto" w:sz="4" w:space="0"/>
              <w:left w:val="single" w:color="auto" w:sz="12" w:space="0"/>
              <w:bottom w:val="single" w:color="auto" w:sz="4" w:space="0"/>
            </w:tcBorders>
            <w:vAlign w:val="center"/>
          </w:tcPr>
          <w:p>
            <w:pPr>
              <w:jc w:val="center"/>
              <w:rPr>
                <w:snapToGrid w:val="0"/>
                <w:color w:val="auto"/>
                <w:szCs w:val="21"/>
              </w:rPr>
            </w:pPr>
          </w:p>
        </w:tc>
        <w:tc>
          <w:tcPr>
            <w:tcW w:w="1800" w:type="dxa"/>
            <w:gridSpan w:val="2"/>
            <w:tcBorders>
              <w:top w:val="single" w:color="auto" w:sz="4" w:space="0"/>
              <w:bottom w:val="single" w:color="auto" w:sz="4" w:space="0"/>
            </w:tcBorders>
            <w:vAlign w:val="center"/>
          </w:tcPr>
          <w:p>
            <w:pPr>
              <w:pStyle w:val="30"/>
              <w:widowControl w:val="0"/>
              <w:spacing w:before="0" w:beforeAutospacing="0" w:after="0" w:afterAutospacing="0"/>
              <w:jc w:val="center"/>
              <w:rPr>
                <w:rFonts w:ascii="Times New Roman" w:hAnsi="Times New Roman"/>
                <w:bCs/>
                <w:color w:val="auto"/>
                <w:sz w:val="21"/>
                <w:szCs w:val="21"/>
              </w:rPr>
            </w:pPr>
            <w:r>
              <w:rPr>
                <w:rFonts w:ascii="Times New Roman" w:hAnsi="Times New Roman"/>
                <w:color w:val="auto"/>
                <w:kern w:val="2"/>
                <w:sz w:val="21"/>
                <w:szCs w:val="21"/>
              </w:rPr>
              <w:t>一般固废</w:t>
            </w:r>
          </w:p>
        </w:tc>
        <w:tc>
          <w:tcPr>
            <w:tcW w:w="1943" w:type="dxa"/>
            <w:gridSpan w:val="2"/>
            <w:tcBorders>
              <w:top w:val="single" w:color="auto" w:sz="4" w:space="0"/>
              <w:bottom w:val="single" w:color="auto" w:sz="4" w:space="0"/>
            </w:tcBorders>
            <w:vAlign w:val="center"/>
          </w:tcPr>
          <w:p>
            <w:pPr>
              <w:spacing w:line="20" w:lineRule="atLeast"/>
              <w:jc w:val="center"/>
              <w:rPr>
                <w:color w:val="auto"/>
                <w:szCs w:val="21"/>
              </w:rPr>
            </w:pPr>
            <w:r>
              <w:rPr>
                <w:snapToGrid w:val="0"/>
                <w:color w:val="auto"/>
                <w:kern w:val="0"/>
                <w:szCs w:val="21"/>
              </w:rPr>
              <w:t>152</w:t>
            </w:r>
          </w:p>
        </w:tc>
        <w:tc>
          <w:tcPr>
            <w:tcW w:w="989" w:type="dxa"/>
            <w:tcBorders>
              <w:top w:val="single" w:color="auto" w:sz="4" w:space="0"/>
              <w:bottom w:val="single" w:color="auto" w:sz="4" w:space="0"/>
            </w:tcBorders>
            <w:vAlign w:val="center"/>
          </w:tcPr>
          <w:p>
            <w:pPr>
              <w:pStyle w:val="30"/>
              <w:widowControl w:val="0"/>
              <w:spacing w:before="0" w:beforeAutospacing="0" w:after="0" w:afterAutospacing="0"/>
              <w:jc w:val="center"/>
              <w:rPr>
                <w:rFonts w:ascii="Times New Roman" w:hAnsi="Times New Roman"/>
                <w:snapToGrid w:val="0"/>
                <w:color w:val="auto"/>
                <w:sz w:val="21"/>
                <w:szCs w:val="21"/>
              </w:rPr>
            </w:pPr>
            <w:r>
              <w:rPr>
                <w:rFonts w:ascii="Times New Roman" w:hAnsi="Times New Roman"/>
                <w:snapToGrid w:val="0"/>
                <w:color w:val="auto"/>
                <w:sz w:val="21"/>
                <w:szCs w:val="21"/>
              </w:rPr>
              <w:t>--</w:t>
            </w:r>
          </w:p>
        </w:tc>
        <w:tc>
          <w:tcPr>
            <w:tcW w:w="1696" w:type="dxa"/>
            <w:gridSpan w:val="2"/>
            <w:tcBorders>
              <w:top w:val="single" w:color="auto" w:sz="4" w:space="0"/>
              <w:bottom w:val="single" w:color="auto" w:sz="4" w:space="0"/>
            </w:tcBorders>
            <w:vAlign w:val="center"/>
          </w:tcPr>
          <w:p>
            <w:pPr>
              <w:pStyle w:val="30"/>
              <w:widowControl w:val="0"/>
              <w:spacing w:before="0" w:beforeAutospacing="0" w:after="0" w:afterAutospacing="0"/>
              <w:jc w:val="center"/>
              <w:rPr>
                <w:rFonts w:ascii="Times New Roman" w:hAnsi="Times New Roman"/>
                <w:color w:val="auto"/>
                <w:sz w:val="21"/>
                <w:szCs w:val="21"/>
              </w:rPr>
            </w:pPr>
            <w:r>
              <w:rPr>
                <w:rFonts w:ascii="Times New Roman" w:hAnsi="Times New Roman"/>
                <w:snapToGrid w:val="0"/>
                <w:color w:val="auto"/>
                <w:sz w:val="21"/>
                <w:szCs w:val="21"/>
              </w:rPr>
              <w:t>--</w:t>
            </w:r>
          </w:p>
        </w:tc>
        <w:tc>
          <w:tcPr>
            <w:tcW w:w="1696" w:type="dxa"/>
            <w:gridSpan w:val="2"/>
            <w:tcBorders>
              <w:top w:val="single" w:color="auto" w:sz="4" w:space="0"/>
              <w:bottom w:val="single" w:color="auto" w:sz="4" w:space="0"/>
            </w:tcBorders>
            <w:vAlign w:val="center"/>
          </w:tcPr>
          <w:p>
            <w:pPr>
              <w:pStyle w:val="30"/>
              <w:widowControl w:val="0"/>
              <w:spacing w:before="0" w:beforeAutospacing="0" w:after="0" w:afterAutospacing="0"/>
              <w:jc w:val="center"/>
              <w:rPr>
                <w:rFonts w:ascii="Times New Roman" w:hAnsi="Times New Roman"/>
                <w:color w:val="auto"/>
                <w:sz w:val="21"/>
                <w:szCs w:val="21"/>
              </w:rPr>
            </w:pPr>
            <w:r>
              <w:rPr>
                <w:rFonts w:hint="eastAsia" w:ascii="Times New Roman" w:hAnsi="Times New Roman"/>
                <w:color w:val="auto"/>
                <w:sz w:val="21"/>
                <w:szCs w:val="21"/>
              </w:rPr>
              <w:t>4</w:t>
            </w:r>
            <w:r>
              <w:rPr>
                <w:rFonts w:ascii="Times New Roman" w:hAnsi="Times New Roman"/>
                <w:color w:val="auto"/>
                <w:sz w:val="21"/>
                <w:szCs w:val="21"/>
              </w:rPr>
              <w:t>.4</w:t>
            </w:r>
          </w:p>
        </w:tc>
        <w:tc>
          <w:tcPr>
            <w:tcW w:w="1023" w:type="dxa"/>
            <w:tcBorders>
              <w:top w:val="single" w:color="auto" w:sz="4" w:space="0"/>
              <w:bottom w:val="single" w:color="auto" w:sz="4" w:space="0"/>
            </w:tcBorders>
            <w:vAlign w:val="center"/>
          </w:tcPr>
          <w:p>
            <w:pPr>
              <w:pStyle w:val="30"/>
              <w:widowControl w:val="0"/>
              <w:spacing w:before="0" w:beforeAutospacing="0" w:after="0" w:afterAutospacing="0"/>
              <w:jc w:val="center"/>
              <w:rPr>
                <w:rFonts w:ascii="Times New Roman" w:hAnsi="Times New Roman"/>
                <w:color w:val="auto"/>
                <w:sz w:val="21"/>
                <w:szCs w:val="21"/>
              </w:rPr>
            </w:pPr>
            <w:r>
              <w:rPr>
                <w:rFonts w:ascii="Times New Roman" w:hAnsi="Times New Roman"/>
                <w:snapToGrid w:val="0"/>
                <w:color w:val="auto"/>
                <w:sz w:val="21"/>
                <w:szCs w:val="21"/>
              </w:rPr>
              <w:t>--</w:t>
            </w:r>
          </w:p>
        </w:tc>
        <w:tc>
          <w:tcPr>
            <w:tcW w:w="1670" w:type="dxa"/>
            <w:gridSpan w:val="2"/>
            <w:tcBorders>
              <w:top w:val="single" w:color="auto" w:sz="4" w:space="0"/>
              <w:bottom w:val="single" w:color="auto" w:sz="4" w:space="0"/>
            </w:tcBorders>
            <w:vAlign w:val="center"/>
          </w:tcPr>
          <w:p>
            <w:pPr>
              <w:widowControl/>
              <w:jc w:val="center"/>
              <w:textAlignment w:val="center"/>
              <w:rPr>
                <w:color w:val="auto"/>
                <w:szCs w:val="21"/>
              </w:rPr>
            </w:pPr>
            <w:r>
              <w:rPr>
                <w:color w:val="auto"/>
                <w:kern w:val="0"/>
                <w:szCs w:val="21"/>
              </w:rPr>
              <w:t>15</w:t>
            </w:r>
            <w:r>
              <w:rPr>
                <w:rFonts w:hint="eastAsia"/>
                <w:color w:val="auto"/>
                <w:kern w:val="0"/>
                <w:szCs w:val="21"/>
              </w:rPr>
              <w:t>6</w:t>
            </w:r>
            <w:r>
              <w:rPr>
                <w:color w:val="auto"/>
                <w:kern w:val="0"/>
                <w:szCs w:val="21"/>
              </w:rPr>
              <w:t>.4</w:t>
            </w:r>
          </w:p>
        </w:tc>
        <w:tc>
          <w:tcPr>
            <w:tcW w:w="1871" w:type="dxa"/>
            <w:gridSpan w:val="2"/>
            <w:tcBorders>
              <w:top w:val="single" w:color="auto" w:sz="4" w:space="0"/>
              <w:bottom w:val="single" w:color="auto" w:sz="4" w:space="0"/>
              <w:right w:val="single" w:color="auto" w:sz="12" w:space="0"/>
            </w:tcBorders>
            <w:vAlign w:val="center"/>
          </w:tcPr>
          <w:p>
            <w:pPr>
              <w:pStyle w:val="30"/>
              <w:widowControl w:val="0"/>
              <w:spacing w:before="0" w:beforeAutospacing="0" w:after="0" w:afterAutospacing="0"/>
              <w:jc w:val="center"/>
              <w:rPr>
                <w:rFonts w:ascii="Times New Roman" w:hAnsi="Times New Roman"/>
                <w:color w:val="auto"/>
                <w:sz w:val="21"/>
                <w:szCs w:val="21"/>
              </w:rPr>
            </w:pPr>
            <w:r>
              <w:rPr>
                <w:rFonts w:ascii="Times New Roman" w:hAnsi="Times New Roman"/>
                <w:color w:val="auto"/>
                <w:sz w:val="21"/>
                <w:szCs w:val="21"/>
              </w:rPr>
              <w:t>+</w:t>
            </w:r>
            <w:r>
              <w:rPr>
                <w:rFonts w:hint="eastAsia" w:ascii="Times New Roman" w:hAnsi="Times New Roman"/>
                <w:color w:val="auto"/>
                <w:sz w:val="21"/>
                <w:szCs w:val="21"/>
              </w:rPr>
              <w:t>4</w:t>
            </w:r>
            <w:r>
              <w:rPr>
                <w:rFonts w:ascii="Times New Roman" w:hAnsi="Times New Roman"/>
                <w:color w:val="auto"/>
                <w:sz w:val="21"/>
                <w:szCs w:val="21"/>
              </w:rPr>
              <w:t>.4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38" w:type="dxa"/>
            <w:vMerge w:val="continue"/>
            <w:tcBorders>
              <w:top w:val="single" w:color="auto" w:sz="4" w:space="0"/>
              <w:left w:val="single" w:color="auto" w:sz="12" w:space="0"/>
              <w:bottom w:val="single" w:color="auto" w:sz="12" w:space="0"/>
            </w:tcBorders>
            <w:vAlign w:val="center"/>
          </w:tcPr>
          <w:p>
            <w:pPr>
              <w:jc w:val="center"/>
              <w:rPr>
                <w:snapToGrid w:val="0"/>
                <w:color w:val="auto"/>
                <w:szCs w:val="21"/>
              </w:rPr>
            </w:pPr>
          </w:p>
        </w:tc>
        <w:tc>
          <w:tcPr>
            <w:tcW w:w="1800" w:type="dxa"/>
            <w:gridSpan w:val="2"/>
            <w:tcBorders>
              <w:top w:val="single" w:color="auto" w:sz="4" w:space="0"/>
              <w:bottom w:val="single" w:color="auto" w:sz="12" w:space="0"/>
            </w:tcBorders>
            <w:vAlign w:val="center"/>
          </w:tcPr>
          <w:p>
            <w:pPr>
              <w:pStyle w:val="30"/>
              <w:widowControl w:val="0"/>
              <w:spacing w:before="0" w:beforeAutospacing="0" w:after="0" w:afterAutospacing="0"/>
              <w:jc w:val="center"/>
              <w:rPr>
                <w:rFonts w:ascii="Times New Roman" w:hAnsi="Times New Roman"/>
                <w:color w:val="auto"/>
                <w:sz w:val="21"/>
                <w:szCs w:val="21"/>
              </w:rPr>
            </w:pPr>
            <w:r>
              <w:rPr>
                <w:rFonts w:ascii="Times New Roman" w:hAnsi="Times New Roman"/>
                <w:color w:val="auto"/>
                <w:kern w:val="2"/>
                <w:sz w:val="21"/>
                <w:szCs w:val="21"/>
              </w:rPr>
              <w:t>生活垃圾</w:t>
            </w:r>
          </w:p>
        </w:tc>
        <w:tc>
          <w:tcPr>
            <w:tcW w:w="1943" w:type="dxa"/>
            <w:gridSpan w:val="2"/>
            <w:tcBorders>
              <w:top w:val="single" w:color="auto" w:sz="4" w:space="0"/>
              <w:bottom w:val="single" w:color="auto" w:sz="12" w:space="0"/>
            </w:tcBorders>
            <w:vAlign w:val="center"/>
          </w:tcPr>
          <w:p>
            <w:pPr>
              <w:spacing w:line="20" w:lineRule="atLeast"/>
              <w:jc w:val="center"/>
              <w:rPr>
                <w:color w:val="auto"/>
                <w:szCs w:val="21"/>
              </w:rPr>
            </w:pPr>
            <w:r>
              <w:rPr>
                <w:snapToGrid w:val="0"/>
                <w:color w:val="auto"/>
                <w:kern w:val="0"/>
                <w:szCs w:val="21"/>
              </w:rPr>
              <w:t>120</w:t>
            </w:r>
          </w:p>
        </w:tc>
        <w:tc>
          <w:tcPr>
            <w:tcW w:w="989" w:type="dxa"/>
            <w:tcBorders>
              <w:top w:val="single" w:color="auto" w:sz="4" w:space="0"/>
              <w:bottom w:val="single" w:color="auto" w:sz="12" w:space="0"/>
            </w:tcBorders>
            <w:vAlign w:val="center"/>
          </w:tcPr>
          <w:p>
            <w:pPr>
              <w:pStyle w:val="30"/>
              <w:widowControl w:val="0"/>
              <w:spacing w:before="0" w:beforeAutospacing="0" w:after="0" w:afterAutospacing="0"/>
              <w:jc w:val="center"/>
              <w:rPr>
                <w:rFonts w:ascii="Times New Roman" w:hAnsi="Times New Roman"/>
                <w:snapToGrid w:val="0"/>
                <w:color w:val="auto"/>
                <w:sz w:val="21"/>
                <w:szCs w:val="21"/>
              </w:rPr>
            </w:pPr>
            <w:r>
              <w:rPr>
                <w:rFonts w:ascii="Times New Roman" w:hAnsi="Times New Roman"/>
                <w:snapToGrid w:val="0"/>
                <w:color w:val="auto"/>
                <w:sz w:val="21"/>
                <w:szCs w:val="21"/>
              </w:rPr>
              <w:t>--</w:t>
            </w:r>
          </w:p>
        </w:tc>
        <w:tc>
          <w:tcPr>
            <w:tcW w:w="1696" w:type="dxa"/>
            <w:gridSpan w:val="2"/>
            <w:tcBorders>
              <w:top w:val="single" w:color="auto" w:sz="4" w:space="0"/>
              <w:bottom w:val="single" w:color="auto" w:sz="12" w:space="0"/>
            </w:tcBorders>
            <w:vAlign w:val="center"/>
          </w:tcPr>
          <w:p>
            <w:pPr>
              <w:pStyle w:val="30"/>
              <w:widowControl w:val="0"/>
              <w:spacing w:before="0" w:beforeAutospacing="0" w:after="0" w:afterAutospacing="0"/>
              <w:jc w:val="center"/>
              <w:rPr>
                <w:rFonts w:ascii="Times New Roman" w:hAnsi="Times New Roman"/>
                <w:color w:val="auto"/>
                <w:sz w:val="21"/>
                <w:szCs w:val="21"/>
              </w:rPr>
            </w:pPr>
            <w:r>
              <w:rPr>
                <w:rFonts w:ascii="Times New Roman" w:hAnsi="Times New Roman"/>
                <w:snapToGrid w:val="0"/>
                <w:color w:val="auto"/>
                <w:sz w:val="21"/>
                <w:szCs w:val="21"/>
              </w:rPr>
              <w:t>--</w:t>
            </w:r>
          </w:p>
        </w:tc>
        <w:tc>
          <w:tcPr>
            <w:tcW w:w="1696" w:type="dxa"/>
            <w:gridSpan w:val="2"/>
            <w:tcBorders>
              <w:top w:val="single" w:color="auto" w:sz="4" w:space="0"/>
              <w:bottom w:val="single" w:color="auto" w:sz="12" w:space="0"/>
            </w:tcBorders>
            <w:vAlign w:val="center"/>
          </w:tcPr>
          <w:p>
            <w:pPr>
              <w:pStyle w:val="30"/>
              <w:widowControl w:val="0"/>
              <w:spacing w:before="0" w:beforeAutospacing="0" w:after="0" w:afterAutospacing="0"/>
              <w:jc w:val="center"/>
              <w:rPr>
                <w:rFonts w:ascii="Times New Roman" w:hAnsi="Times New Roman"/>
                <w:color w:val="auto"/>
                <w:sz w:val="21"/>
                <w:szCs w:val="21"/>
              </w:rPr>
            </w:pPr>
          </w:p>
        </w:tc>
        <w:tc>
          <w:tcPr>
            <w:tcW w:w="1023" w:type="dxa"/>
            <w:tcBorders>
              <w:top w:val="single" w:color="auto" w:sz="4" w:space="0"/>
              <w:bottom w:val="single" w:color="auto" w:sz="12" w:space="0"/>
            </w:tcBorders>
            <w:vAlign w:val="center"/>
          </w:tcPr>
          <w:p>
            <w:pPr>
              <w:pStyle w:val="30"/>
              <w:widowControl w:val="0"/>
              <w:spacing w:before="0" w:beforeAutospacing="0" w:after="0" w:afterAutospacing="0"/>
              <w:jc w:val="center"/>
              <w:rPr>
                <w:rFonts w:ascii="Times New Roman" w:hAnsi="Times New Roman"/>
                <w:snapToGrid w:val="0"/>
                <w:color w:val="auto"/>
                <w:sz w:val="21"/>
                <w:szCs w:val="21"/>
              </w:rPr>
            </w:pPr>
            <w:r>
              <w:rPr>
                <w:rFonts w:ascii="Times New Roman" w:hAnsi="Times New Roman"/>
                <w:snapToGrid w:val="0"/>
                <w:color w:val="auto"/>
                <w:sz w:val="21"/>
                <w:szCs w:val="21"/>
              </w:rPr>
              <w:t>--</w:t>
            </w:r>
          </w:p>
        </w:tc>
        <w:tc>
          <w:tcPr>
            <w:tcW w:w="1670" w:type="dxa"/>
            <w:gridSpan w:val="2"/>
            <w:tcBorders>
              <w:top w:val="single" w:color="auto" w:sz="4" w:space="0"/>
              <w:bottom w:val="single" w:color="auto" w:sz="12" w:space="0"/>
            </w:tcBorders>
            <w:vAlign w:val="center"/>
          </w:tcPr>
          <w:p>
            <w:pPr>
              <w:widowControl/>
              <w:jc w:val="center"/>
              <w:textAlignment w:val="center"/>
              <w:rPr>
                <w:color w:val="auto"/>
                <w:szCs w:val="21"/>
              </w:rPr>
            </w:pPr>
            <w:r>
              <w:rPr>
                <w:color w:val="auto"/>
                <w:kern w:val="0"/>
                <w:szCs w:val="21"/>
              </w:rPr>
              <w:t>120</w:t>
            </w:r>
          </w:p>
        </w:tc>
        <w:tc>
          <w:tcPr>
            <w:tcW w:w="1871" w:type="dxa"/>
            <w:gridSpan w:val="2"/>
            <w:tcBorders>
              <w:top w:val="single" w:color="auto" w:sz="4" w:space="0"/>
              <w:bottom w:val="single" w:color="auto" w:sz="12" w:space="0"/>
              <w:right w:val="single" w:color="auto" w:sz="12" w:space="0"/>
            </w:tcBorders>
            <w:vAlign w:val="center"/>
          </w:tcPr>
          <w:p>
            <w:pPr>
              <w:pStyle w:val="30"/>
              <w:widowControl w:val="0"/>
              <w:spacing w:before="0" w:beforeAutospacing="0" w:after="0" w:afterAutospacing="0"/>
              <w:jc w:val="center"/>
              <w:rPr>
                <w:rFonts w:ascii="Times New Roman" w:hAnsi="Times New Roman"/>
                <w:color w:val="auto"/>
                <w:sz w:val="21"/>
                <w:szCs w:val="21"/>
              </w:rPr>
            </w:pPr>
            <w:r>
              <w:rPr>
                <w:rFonts w:ascii="Times New Roman" w:hAnsi="Times New Roman"/>
                <w:color w:val="auto"/>
                <w:sz w:val="21"/>
                <w:szCs w:val="21"/>
              </w:rPr>
              <w:t>--</w:t>
            </w:r>
          </w:p>
        </w:tc>
      </w:tr>
    </w:tbl>
    <w:p>
      <w:pPr>
        <w:pStyle w:val="3"/>
      </w:pPr>
    </w:p>
    <w:p>
      <w:pPr>
        <w:pStyle w:val="55"/>
        <w:spacing w:beforeLines="0" w:afterLines="0" w:line="240" w:lineRule="auto"/>
        <w:jc w:val="left"/>
      </w:pPr>
      <w:r>
        <w:rPr>
          <w:rFonts w:ascii="Times New Roman"/>
          <w:snapToGrid w:val="0"/>
          <w:kern w:val="21"/>
          <w:szCs w:val="21"/>
        </w:rPr>
        <w:t>注：</w:t>
      </w:r>
      <w:r>
        <w:rPr>
          <w:rFonts w:ascii="Times New Roman"/>
          <w:snapToGrid w:val="0"/>
          <w:spacing w:val="-16"/>
          <w:kern w:val="21"/>
          <w:szCs w:val="21"/>
        </w:rPr>
        <w:fldChar w:fldCharType="begin"/>
      </w:r>
      <w:r>
        <w:rPr>
          <w:rFonts w:ascii="Times New Roman"/>
          <w:snapToGrid w:val="0"/>
          <w:spacing w:val="-16"/>
          <w:kern w:val="21"/>
          <w:szCs w:val="21"/>
        </w:rPr>
        <w:instrText xml:space="preserve"> = 6 \* GB3 \* MERGEFORMAT </w:instrText>
      </w:r>
      <w:r>
        <w:rPr>
          <w:rFonts w:ascii="Times New Roman"/>
          <w:snapToGrid w:val="0"/>
          <w:spacing w:val="-16"/>
          <w:kern w:val="21"/>
          <w:szCs w:val="21"/>
        </w:rPr>
        <w:fldChar w:fldCharType="separate"/>
      </w:r>
      <w:r>
        <w:rPr>
          <w:rFonts w:hint="eastAsia" w:hAnsi="宋体" w:cs="宋体"/>
          <w:szCs w:val="21"/>
        </w:rPr>
        <w:t>⑥</w:t>
      </w:r>
      <w:r>
        <w:rPr>
          <w:rFonts w:ascii="Times New Roman"/>
          <w:snapToGrid w:val="0"/>
          <w:spacing w:val="-16"/>
          <w:kern w:val="21"/>
          <w:szCs w:val="21"/>
        </w:rPr>
        <w:fldChar w:fldCharType="end"/>
      </w:r>
      <w:r>
        <w:rPr>
          <w:rFonts w:ascii="Times New Roman"/>
          <w:snapToGrid w:val="0"/>
          <w:spacing w:val="-16"/>
          <w:kern w:val="21"/>
          <w:szCs w:val="21"/>
        </w:rPr>
        <w:t>=</w:t>
      </w:r>
      <w:r>
        <w:rPr>
          <w:rFonts w:ascii="Times New Roman"/>
          <w:snapToGrid w:val="0"/>
          <w:spacing w:val="-6"/>
          <w:kern w:val="21"/>
          <w:szCs w:val="21"/>
        </w:rPr>
        <w:fldChar w:fldCharType="begin"/>
      </w:r>
      <w:r>
        <w:rPr>
          <w:rFonts w:ascii="Times New Roman"/>
          <w:snapToGrid w:val="0"/>
          <w:spacing w:val="-6"/>
          <w:kern w:val="21"/>
          <w:szCs w:val="21"/>
        </w:rPr>
        <w:instrText xml:space="preserve"> = 1 \* GB3 \* MERGEFORMAT </w:instrText>
      </w:r>
      <w:r>
        <w:rPr>
          <w:rFonts w:ascii="Times New Roman"/>
          <w:snapToGrid w:val="0"/>
          <w:spacing w:val="-6"/>
          <w:kern w:val="21"/>
          <w:szCs w:val="21"/>
        </w:rPr>
        <w:fldChar w:fldCharType="separate"/>
      </w:r>
      <w:r>
        <w:rPr>
          <w:rFonts w:hint="eastAsia" w:hAnsi="宋体" w:cs="宋体"/>
          <w:szCs w:val="21"/>
        </w:rPr>
        <w:t>①</w:t>
      </w:r>
      <w:r>
        <w:rPr>
          <w:rFonts w:ascii="Times New Roman"/>
          <w:snapToGrid w:val="0"/>
          <w:spacing w:val="-6"/>
          <w:kern w:val="21"/>
          <w:szCs w:val="21"/>
        </w:rPr>
        <w:fldChar w:fldCharType="end"/>
      </w:r>
      <w:r>
        <w:rPr>
          <w:rFonts w:ascii="Times New Roman"/>
          <w:snapToGrid w:val="0"/>
          <w:spacing w:val="-6"/>
          <w:kern w:val="21"/>
          <w:szCs w:val="21"/>
        </w:rPr>
        <w:t>+</w:t>
      </w:r>
      <w:r>
        <w:rPr>
          <w:rFonts w:ascii="Times New Roman"/>
          <w:snapToGrid w:val="0"/>
          <w:spacing w:val="-6"/>
          <w:kern w:val="21"/>
          <w:szCs w:val="21"/>
        </w:rPr>
        <w:fldChar w:fldCharType="begin"/>
      </w:r>
      <w:r>
        <w:rPr>
          <w:rFonts w:ascii="Times New Roman"/>
          <w:snapToGrid w:val="0"/>
          <w:spacing w:val="-6"/>
          <w:kern w:val="21"/>
          <w:szCs w:val="21"/>
        </w:rPr>
        <w:instrText xml:space="preserve"> = 3 \* GB3 \* MERGEFORMAT </w:instrText>
      </w:r>
      <w:r>
        <w:rPr>
          <w:rFonts w:ascii="Times New Roman"/>
          <w:snapToGrid w:val="0"/>
          <w:spacing w:val="-6"/>
          <w:kern w:val="21"/>
          <w:szCs w:val="21"/>
        </w:rPr>
        <w:fldChar w:fldCharType="separate"/>
      </w:r>
      <w:r>
        <w:rPr>
          <w:rFonts w:hint="eastAsia" w:hAnsi="宋体" w:cs="宋体"/>
          <w:szCs w:val="21"/>
        </w:rPr>
        <w:t>③</w:t>
      </w:r>
      <w:r>
        <w:rPr>
          <w:rFonts w:ascii="Times New Roman"/>
          <w:snapToGrid w:val="0"/>
          <w:spacing w:val="-6"/>
          <w:kern w:val="21"/>
          <w:szCs w:val="21"/>
        </w:rPr>
        <w:fldChar w:fldCharType="end"/>
      </w:r>
      <w:r>
        <w:rPr>
          <w:rFonts w:ascii="Times New Roman"/>
          <w:snapToGrid w:val="0"/>
          <w:spacing w:val="-6"/>
          <w:kern w:val="21"/>
          <w:szCs w:val="21"/>
        </w:rPr>
        <w:t>+</w:t>
      </w:r>
      <w:r>
        <w:rPr>
          <w:rFonts w:ascii="Times New Roman"/>
          <w:snapToGrid w:val="0"/>
          <w:spacing w:val="-6"/>
          <w:kern w:val="21"/>
          <w:szCs w:val="21"/>
        </w:rPr>
        <w:fldChar w:fldCharType="begin"/>
      </w:r>
      <w:r>
        <w:rPr>
          <w:rFonts w:ascii="Times New Roman"/>
          <w:snapToGrid w:val="0"/>
          <w:spacing w:val="-6"/>
          <w:kern w:val="21"/>
          <w:szCs w:val="21"/>
        </w:rPr>
        <w:instrText xml:space="preserve"> = 4 \* GB3 \* MERGEFORMAT </w:instrText>
      </w:r>
      <w:r>
        <w:rPr>
          <w:rFonts w:ascii="Times New Roman"/>
          <w:snapToGrid w:val="0"/>
          <w:spacing w:val="-6"/>
          <w:kern w:val="21"/>
          <w:szCs w:val="21"/>
        </w:rPr>
        <w:fldChar w:fldCharType="separate"/>
      </w:r>
      <w:r>
        <w:rPr>
          <w:rFonts w:hint="eastAsia" w:hAnsi="宋体" w:cs="宋体"/>
          <w:szCs w:val="21"/>
        </w:rPr>
        <w:t>④</w:t>
      </w:r>
      <w:r>
        <w:rPr>
          <w:rFonts w:ascii="Times New Roman"/>
          <w:snapToGrid w:val="0"/>
          <w:spacing w:val="-6"/>
          <w:kern w:val="21"/>
          <w:szCs w:val="21"/>
        </w:rPr>
        <w:fldChar w:fldCharType="end"/>
      </w:r>
      <w:r>
        <w:rPr>
          <w:rFonts w:ascii="Times New Roman"/>
          <w:snapToGrid w:val="0"/>
          <w:spacing w:val="-6"/>
          <w:kern w:val="21"/>
          <w:szCs w:val="21"/>
        </w:rPr>
        <w:t>-</w:t>
      </w:r>
      <w:r>
        <w:rPr>
          <w:rFonts w:ascii="Times New Roman"/>
          <w:snapToGrid w:val="0"/>
          <w:spacing w:val="-16"/>
          <w:kern w:val="21"/>
          <w:szCs w:val="21"/>
        </w:rPr>
        <w:fldChar w:fldCharType="begin"/>
      </w:r>
      <w:r>
        <w:rPr>
          <w:rFonts w:ascii="Times New Roman"/>
          <w:snapToGrid w:val="0"/>
          <w:spacing w:val="-16"/>
          <w:kern w:val="21"/>
          <w:szCs w:val="21"/>
        </w:rPr>
        <w:instrText xml:space="preserve"> = 5 \* GB3 \* MERGEFORMAT </w:instrText>
      </w:r>
      <w:r>
        <w:rPr>
          <w:rFonts w:ascii="Times New Roman"/>
          <w:snapToGrid w:val="0"/>
          <w:spacing w:val="-16"/>
          <w:kern w:val="21"/>
          <w:szCs w:val="21"/>
        </w:rPr>
        <w:fldChar w:fldCharType="separate"/>
      </w:r>
      <w:r>
        <w:rPr>
          <w:rFonts w:hint="eastAsia" w:hAnsi="宋体" w:cs="宋体"/>
          <w:szCs w:val="21"/>
        </w:rPr>
        <w:t>⑤</w:t>
      </w:r>
      <w:r>
        <w:rPr>
          <w:rFonts w:ascii="Times New Roman"/>
          <w:snapToGrid w:val="0"/>
          <w:spacing w:val="-16"/>
          <w:kern w:val="21"/>
          <w:szCs w:val="21"/>
        </w:rPr>
        <w:fldChar w:fldCharType="end"/>
      </w:r>
      <w:r>
        <w:rPr>
          <w:rFonts w:ascii="Times New Roman"/>
          <w:snapToGrid w:val="0"/>
          <w:spacing w:val="-16"/>
          <w:kern w:val="21"/>
          <w:szCs w:val="21"/>
        </w:rPr>
        <w:t>；</w:t>
      </w:r>
      <w:r>
        <w:rPr>
          <w:rFonts w:ascii="Times New Roman"/>
          <w:snapToGrid w:val="0"/>
          <w:spacing w:val="-6"/>
          <w:kern w:val="21"/>
          <w:szCs w:val="21"/>
        </w:rPr>
        <w:fldChar w:fldCharType="begin"/>
      </w:r>
      <w:r>
        <w:rPr>
          <w:rFonts w:ascii="Times New Roman"/>
          <w:snapToGrid w:val="0"/>
          <w:spacing w:val="-6"/>
          <w:kern w:val="21"/>
          <w:szCs w:val="21"/>
        </w:rPr>
        <w:instrText xml:space="preserve"> = 7 \* GB3 \* MERGEFORMAT </w:instrText>
      </w:r>
      <w:r>
        <w:rPr>
          <w:rFonts w:ascii="Times New Roman"/>
          <w:snapToGrid w:val="0"/>
          <w:spacing w:val="-6"/>
          <w:kern w:val="21"/>
          <w:szCs w:val="21"/>
        </w:rPr>
        <w:fldChar w:fldCharType="separate"/>
      </w:r>
      <w:r>
        <w:rPr>
          <w:rFonts w:hint="eastAsia" w:hAnsi="宋体" w:cs="宋体"/>
          <w:szCs w:val="21"/>
        </w:rPr>
        <w:t>⑦</w:t>
      </w:r>
      <w:r>
        <w:rPr>
          <w:rFonts w:ascii="Times New Roman"/>
          <w:snapToGrid w:val="0"/>
          <w:spacing w:val="-6"/>
          <w:kern w:val="21"/>
          <w:szCs w:val="21"/>
        </w:rPr>
        <w:fldChar w:fldCharType="end"/>
      </w:r>
      <w:r>
        <w:rPr>
          <w:rFonts w:ascii="Times New Roman"/>
          <w:snapToGrid w:val="0"/>
          <w:spacing w:val="-6"/>
          <w:kern w:val="21"/>
          <w:szCs w:val="21"/>
        </w:rPr>
        <w:t>=</w:t>
      </w:r>
      <w:r>
        <w:rPr>
          <w:rFonts w:ascii="Times New Roman"/>
          <w:snapToGrid w:val="0"/>
          <w:spacing w:val="-16"/>
          <w:kern w:val="21"/>
          <w:szCs w:val="21"/>
        </w:rPr>
        <w:fldChar w:fldCharType="begin"/>
      </w:r>
      <w:r>
        <w:rPr>
          <w:rFonts w:ascii="Times New Roman"/>
          <w:snapToGrid w:val="0"/>
          <w:spacing w:val="-16"/>
          <w:kern w:val="21"/>
          <w:szCs w:val="21"/>
        </w:rPr>
        <w:instrText xml:space="preserve"> = 6 \* GB3 \* MERGEFORMAT </w:instrText>
      </w:r>
      <w:r>
        <w:rPr>
          <w:rFonts w:ascii="Times New Roman"/>
          <w:snapToGrid w:val="0"/>
          <w:spacing w:val="-16"/>
          <w:kern w:val="21"/>
          <w:szCs w:val="21"/>
        </w:rPr>
        <w:fldChar w:fldCharType="separate"/>
      </w:r>
      <w:r>
        <w:rPr>
          <w:rFonts w:hint="eastAsia" w:hAnsi="宋体" w:cs="宋体"/>
          <w:szCs w:val="21"/>
        </w:rPr>
        <w:t>⑥</w:t>
      </w:r>
      <w:r>
        <w:rPr>
          <w:rFonts w:ascii="Times New Roman"/>
          <w:snapToGrid w:val="0"/>
          <w:spacing w:val="-16"/>
          <w:kern w:val="21"/>
          <w:szCs w:val="21"/>
        </w:rPr>
        <w:fldChar w:fldCharType="end"/>
      </w:r>
      <w:r>
        <w:rPr>
          <w:rFonts w:ascii="Times New Roman"/>
          <w:snapToGrid w:val="0"/>
          <w:spacing w:val="-16"/>
          <w:kern w:val="21"/>
          <w:szCs w:val="21"/>
        </w:rPr>
        <w:t>-</w:t>
      </w:r>
      <w:r>
        <w:rPr>
          <w:rFonts w:ascii="Times New Roman"/>
          <w:snapToGrid w:val="0"/>
          <w:spacing w:val="-6"/>
          <w:kern w:val="21"/>
          <w:szCs w:val="21"/>
        </w:rPr>
        <w:fldChar w:fldCharType="begin"/>
      </w:r>
      <w:r>
        <w:rPr>
          <w:rFonts w:ascii="Times New Roman"/>
          <w:snapToGrid w:val="0"/>
          <w:spacing w:val="-6"/>
          <w:kern w:val="21"/>
          <w:szCs w:val="21"/>
        </w:rPr>
        <w:instrText xml:space="preserve"> = 1 \* GB3 \* MERGEFORMAT </w:instrText>
      </w:r>
      <w:r>
        <w:rPr>
          <w:rFonts w:ascii="Times New Roman"/>
          <w:snapToGrid w:val="0"/>
          <w:spacing w:val="-6"/>
          <w:kern w:val="21"/>
          <w:szCs w:val="21"/>
        </w:rPr>
        <w:fldChar w:fldCharType="separate"/>
      </w:r>
      <w:r>
        <w:rPr>
          <w:rFonts w:hint="eastAsia" w:hAnsi="宋体" w:cs="宋体"/>
          <w:szCs w:val="21"/>
        </w:rPr>
        <w:t>①</w:t>
      </w:r>
      <w:r>
        <w:rPr>
          <w:rFonts w:ascii="Times New Roman"/>
          <w:snapToGrid w:val="0"/>
          <w:spacing w:val="-6"/>
          <w:kern w:val="21"/>
          <w:szCs w:val="21"/>
        </w:rPr>
        <w:fldChar w:fldCharType="end"/>
      </w:r>
    </w:p>
    <w:sectPr>
      <w:footerReference r:id="rId6" w:type="default"/>
      <w:pgSz w:w="16838" w:h="11906" w:orient="landscape"/>
      <w:pgMar w:top="1474" w:right="1474" w:bottom="1474" w:left="1474" w:header="851" w:footer="851" w:gutter="0"/>
      <w:pgNumType w:fmt="numberInDash"/>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ms Rmn">
    <w:altName w:val="Segoe Print"/>
    <w:panose1 w:val="02020603040505020304"/>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swiss"/>
    <w:pitch w:val="default"/>
    <w:sig w:usb0="FFFFFFFF" w:usb1="E9FFFFFF" w:usb2="0000003F" w:usb3="00000000" w:csb0="603F01FF" w:csb1="FFFF0000"/>
  </w:font>
  <w:font w:name="Arial Black">
    <w:panose1 w:val="020B0A04020102020204"/>
    <w:charset w:val="00"/>
    <w:family w:val="swiss"/>
    <w:pitch w:val="default"/>
    <w:sig w:usb0="00000287" w:usb1="00000000" w:usb2="00000000" w:usb3="00000000" w:csb0="2000009F" w:csb1="DFD7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新宋体">
    <w:panose1 w:val="02010609030101010101"/>
    <w:charset w:val="86"/>
    <w:family w:val="modern"/>
    <w:pitch w:val="default"/>
    <w:sig w:usb0="00000003" w:usb1="288F0000" w:usb2="00000006" w:usb3="00000000" w:csb0="00040001" w:csb1="00000000"/>
  </w:font>
  <w:font w:name="华文仿宋">
    <w:panose1 w:val="02010600040101010101"/>
    <w:charset w:val="86"/>
    <w:family w:val="auto"/>
    <w:pitch w:val="default"/>
    <w:sig w:usb0="00000287" w:usb1="080F0000" w:usb2="00000000" w:usb3="00000000" w:csb0="0004009F" w:csb1="DFD70000"/>
  </w:font>
  <w:font w:name="Wingdings 2">
    <w:panose1 w:val="05020102010507070707"/>
    <w:charset w:val="02"/>
    <w:family w:val="roman"/>
    <w:pitch w:val="default"/>
    <w:sig w:usb0="00000000" w:usb1="00000000" w:usb2="00000000" w:usb3="00000000" w:csb0="80000000" w:csb1="00000000"/>
  </w:font>
  <w:font w:name="等线">
    <w:altName w:val="Arial Unicode MS"/>
    <w:panose1 w:val="00000000000000000000"/>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ind w:right="360" w:firstLine="360"/>
      <w:jc w:val="center"/>
    </w:pPr>
    <w:r>
      <w:pict>
        <v:shape id="文本框 2049" o:spid="_x0000_s3073" o:spt="202" type="#_x0000_t202" style="position:absolute;left:0pt;margin-top:0pt;height:18.15pt;width:5.05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22"/>
                  <w:rPr>
                    <w:rStyle w:val="39"/>
                    <w:rFonts w:ascii="宋体" w:hAnsi="宋体"/>
                    <w:sz w:val="28"/>
                    <w:szCs w:val="28"/>
                  </w:rPr>
                </w:pP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framePr w:wrap="around" w:vAnchor="text" w:hAnchor="margin" w:xAlign="center" w:y="1"/>
      <w:rPr>
        <w:rStyle w:val="39"/>
      </w:rPr>
    </w:pPr>
    <w:r>
      <w:fldChar w:fldCharType="begin"/>
    </w:r>
    <w:r>
      <w:rPr>
        <w:rStyle w:val="39"/>
      </w:rPr>
      <w:instrText xml:space="preserve">PAGE  </w:instrText>
    </w:r>
    <w:r>
      <w:fldChar w:fldCharType="end"/>
    </w:r>
  </w:p>
  <w:p>
    <w:pPr>
      <w:pStyle w:val="22"/>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pPr>
    <w:r>
      <w:fldChar w:fldCharType="begin"/>
    </w:r>
    <w:r>
      <w:instrText xml:space="preserve">PAGE   \* MERGEFORMAT</w:instrText>
    </w:r>
    <w:r>
      <w:fldChar w:fldCharType="separate"/>
    </w:r>
    <w:r>
      <w:rPr>
        <w:lang w:val="zh-CN"/>
      </w:rPr>
      <w:t>-</w:t>
    </w:r>
    <w:r>
      <w:t xml:space="preserve"> 71 -</w:t>
    </w:r>
    <w:r>
      <w:fldChar w:fldCharType="end"/>
    </w:r>
  </w:p>
  <w:p>
    <w:pPr>
      <w:pStyle w:val="22"/>
      <w:ind w:right="360" w:firstLine="360"/>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ind w:right="360" w:firstLine="360"/>
      <w:jc w:val="center"/>
    </w:pPr>
    <w:r>
      <w:pict>
        <v:shape id="文本框 2052" o:spid="_x0000_s3074" o:spt="202" type="#_x0000_t202" style="position:absolute;left:0pt;margin-top:0pt;height:10.35pt;width:29.5pt;mso-position-horizontal:center;mso-position-horizontal-relative:margin;mso-wrap-style:none;z-index:251660288;mso-width-relative:page;mso-height-relative:page;" filled="f" stroked="f" coordsize="21600,21600">
          <v:path/>
          <v:fill on="f" focussize="0,0"/>
          <v:stroke on="f" joinstyle="miter"/>
          <v:imagedata o:title=""/>
          <o:lock v:ext="edit"/>
          <v:textbox inset="0mm,0mm,0mm,0mm" style="mso-fit-shape-to-text:t;">
            <w:txbxContent>
              <w:p>
                <w:pPr>
                  <w:pStyle w:val="22"/>
                  <w:rPr>
                    <w:rStyle w:val="39"/>
                    <w:rFonts w:ascii="宋体" w:hAnsi="宋体"/>
                    <w:szCs w:val="18"/>
                  </w:rPr>
                </w:pPr>
                <w:r>
                  <w:rPr>
                    <w:szCs w:val="18"/>
                  </w:rPr>
                  <w:fldChar w:fldCharType="begin"/>
                </w:r>
                <w:r>
                  <w:rPr>
                    <w:rStyle w:val="39"/>
                    <w:szCs w:val="18"/>
                  </w:rPr>
                  <w:instrText xml:space="preserve">PAGE  </w:instrText>
                </w:r>
                <w:r>
                  <w:rPr>
                    <w:szCs w:val="18"/>
                  </w:rPr>
                  <w:fldChar w:fldCharType="separate"/>
                </w:r>
                <w:r>
                  <w:rPr>
                    <w:rStyle w:val="39"/>
                    <w:szCs w:val="18"/>
                  </w:rPr>
                  <w:t>- 76 -</w:t>
                </w:r>
                <w:r>
                  <w:rPr>
                    <w:szCs w:val="18"/>
                  </w:rP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727102C"/>
    <w:multiLevelType w:val="singleLevel"/>
    <w:tmpl w:val="A727102C"/>
    <w:lvl w:ilvl="0" w:tentative="0">
      <w:start w:val="1"/>
      <w:numFmt w:val="decimal"/>
      <w:suff w:val="nothing"/>
      <w:lvlText w:val="%1、"/>
      <w:lvlJc w:val="left"/>
    </w:lvl>
  </w:abstractNum>
  <w:abstractNum w:abstractNumId="1">
    <w:nsid w:val="B5605CF5"/>
    <w:multiLevelType w:val="singleLevel"/>
    <w:tmpl w:val="B5605CF5"/>
    <w:lvl w:ilvl="0" w:tentative="0">
      <w:start w:val="1"/>
      <w:numFmt w:val="decimal"/>
      <w:suff w:val="nothing"/>
      <w:lvlText w:val="%1、"/>
      <w:lvlJc w:val="left"/>
      <w:pPr>
        <w:ind w:left="-272"/>
      </w:pPr>
    </w:lvl>
  </w:abstractNum>
  <w:abstractNum w:abstractNumId="2">
    <w:nsid w:val="BFDC6A61"/>
    <w:multiLevelType w:val="singleLevel"/>
    <w:tmpl w:val="BFDC6A61"/>
    <w:lvl w:ilvl="0" w:tentative="0">
      <w:start w:val="1"/>
      <w:numFmt w:val="decimal"/>
      <w:suff w:val="nothing"/>
      <w:lvlText w:val="%1、"/>
      <w:lvlJc w:val="left"/>
    </w:lvl>
  </w:abstractNum>
  <w:abstractNum w:abstractNumId="3">
    <w:nsid w:val="C9697414"/>
    <w:multiLevelType w:val="singleLevel"/>
    <w:tmpl w:val="C9697414"/>
    <w:lvl w:ilvl="0" w:tentative="0">
      <w:start w:val="1"/>
      <w:numFmt w:val="decimal"/>
      <w:suff w:val="nothing"/>
      <w:lvlText w:val="（%1）"/>
      <w:lvlJc w:val="left"/>
      <w:pPr>
        <w:ind w:left="0"/>
      </w:pPr>
    </w:lvl>
  </w:abstractNum>
  <w:abstractNum w:abstractNumId="4">
    <w:nsid w:val="D8A603A5"/>
    <w:multiLevelType w:val="singleLevel"/>
    <w:tmpl w:val="D8A603A5"/>
    <w:lvl w:ilvl="0" w:tentative="0">
      <w:start w:val="1"/>
      <w:numFmt w:val="decimal"/>
      <w:suff w:val="nothing"/>
      <w:lvlText w:val="（%1）"/>
      <w:lvlJc w:val="left"/>
    </w:lvl>
  </w:abstractNum>
  <w:abstractNum w:abstractNumId="5">
    <w:nsid w:val="E7BDF349"/>
    <w:multiLevelType w:val="singleLevel"/>
    <w:tmpl w:val="E7BDF349"/>
    <w:lvl w:ilvl="0" w:tentative="0">
      <w:start w:val="5"/>
      <w:numFmt w:val="chineseCounting"/>
      <w:suff w:val="nothing"/>
      <w:lvlText w:val="%1、"/>
      <w:lvlJc w:val="left"/>
      <w:rPr>
        <w:rFonts w:hint="eastAsia"/>
      </w:rPr>
    </w:lvl>
  </w:abstractNum>
  <w:abstractNum w:abstractNumId="6">
    <w:nsid w:val="FF2DFA3C"/>
    <w:multiLevelType w:val="singleLevel"/>
    <w:tmpl w:val="FF2DFA3C"/>
    <w:lvl w:ilvl="0" w:tentative="0">
      <w:start w:val="1"/>
      <w:numFmt w:val="decimal"/>
      <w:suff w:val="nothing"/>
      <w:lvlText w:val="%1、"/>
      <w:lvlJc w:val="left"/>
    </w:lvl>
  </w:abstractNum>
  <w:abstractNum w:abstractNumId="7">
    <w:nsid w:val="13141DDA"/>
    <w:multiLevelType w:val="multilevel"/>
    <w:tmpl w:val="13141DDA"/>
    <w:lvl w:ilvl="0" w:tentative="0">
      <w:start w:val="1"/>
      <w:numFmt w:val="decimal"/>
      <w:suff w:val="nothing"/>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22C759AD"/>
    <w:multiLevelType w:val="multilevel"/>
    <w:tmpl w:val="22C759AD"/>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352109EE"/>
    <w:multiLevelType w:val="singleLevel"/>
    <w:tmpl w:val="352109EE"/>
    <w:lvl w:ilvl="0" w:tentative="0">
      <w:start w:val="1"/>
      <w:numFmt w:val="decimal"/>
      <w:suff w:val="nothing"/>
      <w:lvlText w:val="%1、"/>
      <w:lvlJc w:val="left"/>
    </w:lvl>
  </w:abstractNum>
  <w:abstractNum w:abstractNumId="10">
    <w:nsid w:val="3FA930CA"/>
    <w:multiLevelType w:val="singleLevel"/>
    <w:tmpl w:val="3FA930CA"/>
    <w:lvl w:ilvl="0" w:tentative="0">
      <w:start w:val="2"/>
      <w:numFmt w:val="decimal"/>
      <w:suff w:val="nothing"/>
      <w:lvlText w:val="（%1）"/>
      <w:lvlJc w:val="left"/>
    </w:lvl>
  </w:abstractNum>
  <w:abstractNum w:abstractNumId="11">
    <w:nsid w:val="4B287B59"/>
    <w:multiLevelType w:val="multilevel"/>
    <w:tmpl w:val="4B287B59"/>
    <w:lvl w:ilvl="0" w:tentative="0">
      <w:start w:val="7"/>
      <w:numFmt w:val="decimal"/>
      <w:lvlText w:val="%1、"/>
      <w:lvlJc w:val="left"/>
      <w:pPr>
        <w:ind w:left="844" w:hanging="372"/>
      </w:pPr>
      <w:rPr>
        <w:rFonts w:hint="default"/>
      </w:rPr>
    </w:lvl>
    <w:lvl w:ilvl="1" w:tentative="0">
      <w:start w:val="1"/>
      <w:numFmt w:val="lowerLetter"/>
      <w:lvlText w:val="%2)"/>
      <w:lvlJc w:val="left"/>
      <w:pPr>
        <w:ind w:left="1312" w:hanging="420"/>
      </w:pPr>
    </w:lvl>
    <w:lvl w:ilvl="2" w:tentative="0">
      <w:start w:val="1"/>
      <w:numFmt w:val="lowerRoman"/>
      <w:lvlText w:val="%3."/>
      <w:lvlJc w:val="right"/>
      <w:pPr>
        <w:ind w:left="1732" w:hanging="420"/>
      </w:pPr>
    </w:lvl>
    <w:lvl w:ilvl="3" w:tentative="0">
      <w:start w:val="1"/>
      <w:numFmt w:val="decimal"/>
      <w:lvlText w:val="%4."/>
      <w:lvlJc w:val="left"/>
      <w:pPr>
        <w:ind w:left="2152" w:hanging="420"/>
      </w:pPr>
    </w:lvl>
    <w:lvl w:ilvl="4" w:tentative="0">
      <w:start w:val="1"/>
      <w:numFmt w:val="lowerLetter"/>
      <w:lvlText w:val="%5)"/>
      <w:lvlJc w:val="left"/>
      <w:pPr>
        <w:ind w:left="2572" w:hanging="420"/>
      </w:pPr>
    </w:lvl>
    <w:lvl w:ilvl="5" w:tentative="0">
      <w:start w:val="1"/>
      <w:numFmt w:val="lowerRoman"/>
      <w:lvlText w:val="%6."/>
      <w:lvlJc w:val="right"/>
      <w:pPr>
        <w:ind w:left="2992" w:hanging="420"/>
      </w:pPr>
    </w:lvl>
    <w:lvl w:ilvl="6" w:tentative="0">
      <w:start w:val="1"/>
      <w:numFmt w:val="decimal"/>
      <w:lvlText w:val="%7."/>
      <w:lvlJc w:val="left"/>
      <w:pPr>
        <w:ind w:left="3412" w:hanging="420"/>
      </w:pPr>
    </w:lvl>
    <w:lvl w:ilvl="7" w:tentative="0">
      <w:start w:val="1"/>
      <w:numFmt w:val="lowerLetter"/>
      <w:lvlText w:val="%8)"/>
      <w:lvlJc w:val="left"/>
      <w:pPr>
        <w:ind w:left="3832" w:hanging="420"/>
      </w:pPr>
    </w:lvl>
    <w:lvl w:ilvl="8" w:tentative="0">
      <w:start w:val="1"/>
      <w:numFmt w:val="lowerRoman"/>
      <w:lvlText w:val="%9."/>
      <w:lvlJc w:val="right"/>
      <w:pPr>
        <w:ind w:left="4252" w:hanging="420"/>
      </w:pPr>
    </w:lvl>
  </w:abstractNum>
  <w:abstractNum w:abstractNumId="12">
    <w:nsid w:val="67807845"/>
    <w:multiLevelType w:val="multilevel"/>
    <w:tmpl w:val="67807845"/>
    <w:lvl w:ilvl="0" w:tentative="0">
      <w:start w:val="1"/>
      <w:numFmt w:val="decimalEnclosedCircle"/>
      <w:lvlText w:val="%1"/>
      <w:lvlJc w:val="left"/>
      <w:pPr>
        <w:ind w:left="840" w:hanging="360"/>
      </w:pPr>
      <w:rPr>
        <w:rFonts w:hint="default" w:ascii="宋体" w:hAnsi="宋体" w:eastAsia="宋体" w:cs="宋体"/>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3">
    <w:nsid w:val="6DE1F8BC"/>
    <w:multiLevelType w:val="singleLevel"/>
    <w:tmpl w:val="6DE1F8BC"/>
    <w:lvl w:ilvl="0" w:tentative="0">
      <w:start w:val="1"/>
      <w:numFmt w:val="decimal"/>
      <w:suff w:val="nothing"/>
      <w:lvlText w:val="（%1）"/>
      <w:lvlJc w:val="left"/>
    </w:lvl>
  </w:abstractNum>
  <w:abstractNum w:abstractNumId="14">
    <w:nsid w:val="74844734"/>
    <w:multiLevelType w:val="multilevel"/>
    <w:tmpl w:val="74844734"/>
    <w:lvl w:ilvl="0" w:tentative="0">
      <w:start w:val="1"/>
      <w:numFmt w:val="decimal"/>
      <w:suff w:val="nothing"/>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7BF87EF3"/>
    <w:multiLevelType w:val="singleLevel"/>
    <w:tmpl w:val="7BF87EF3"/>
    <w:lvl w:ilvl="0" w:tentative="0">
      <w:start w:val="1"/>
      <w:numFmt w:val="decimal"/>
      <w:suff w:val="nothing"/>
      <w:lvlText w:val="%1、"/>
      <w:lvlJc w:val="left"/>
    </w:lvl>
  </w:abstractNum>
  <w:num w:numId="1">
    <w:abstractNumId w:val="14"/>
  </w:num>
  <w:num w:numId="2">
    <w:abstractNumId w:val="6"/>
  </w:num>
  <w:num w:numId="3">
    <w:abstractNumId w:val="7"/>
  </w:num>
  <w:num w:numId="4">
    <w:abstractNumId w:val="10"/>
  </w:num>
  <w:num w:numId="5">
    <w:abstractNumId w:val="11"/>
  </w:num>
  <w:num w:numId="6">
    <w:abstractNumId w:val="1"/>
  </w:num>
  <w:num w:numId="7">
    <w:abstractNumId w:val="4"/>
  </w:num>
  <w:num w:numId="8">
    <w:abstractNumId w:val="0"/>
  </w:num>
  <w:num w:numId="9">
    <w:abstractNumId w:val="2"/>
  </w:num>
  <w:num w:numId="10">
    <w:abstractNumId w:val="15"/>
  </w:num>
  <w:num w:numId="11">
    <w:abstractNumId w:val="12"/>
  </w:num>
  <w:num w:numId="12">
    <w:abstractNumId w:val="9"/>
  </w:num>
  <w:num w:numId="13">
    <w:abstractNumId w:val="3"/>
  </w:num>
  <w:num w:numId="14">
    <w:abstractNumId w:val="8"/>
  </w:num>
  <w:num w:numId="15">
    <w:abstractNumId w:val="5"/>
  </w:num>
  <w:num w:numId="1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documentProtection w:edit="trackedChanges" w:enforcement="0"/>
  <w:defaultTabStop w:val="420"/>
  <w:doNotHyphenateCaps/>
  <w:drawingGridVerticalSpacing w:val="156"/>
  <w:displayHorizontalDrawingGridEvery w:val="0"/>
  <w:displayVerticalDrawingGridEvery w:val="2"/>
  <w:characterSpacingControl w:val="compressPunctuation"/>
  <w:doNotValidateAgainstSchema/>
  <w:doNotDemarcateInvalidXml/>
  <w:hdrShapeDefaults>
    <o:shapelayout v:ext="edit">
      <o:idmap v:ext="edit" data="3"/>
    </o:shapelayout>
  </w:hdrShapeDefaults>
  <w:compat>
    <w:spaceForUL/>
    <w:balanceSingleByteDoubleByteWidth/>
    <w:doNotLeaveBackslashAlone/>
    <w:ulTrailSpace/>
    <w:doNotExpandShiftReturn/>
    <w:adjustLineHeightInTable/>
    <w:useFELayout/>
    <w:doNotUseIndentAsNumberingTabStop/>
    <w:compatSetting w:name="compatibilityMode" w:uri="http://schemas.microsoft.com/office/word" w:val="12"/>
  </w:compat>
  <w:docVars>
    <w:docVar w:name="commondata" w:val="eyJoZGlkIjoiOTljM2NmMzI5Mzk1MjY3ODE1ZDY2Y2EyMDViZDYyNGQifQ=="/>
  </w:docVars>
  <w:rsids>
    <w:rsidRoot w:val="00172A27"/>
    <w:rsid w:val="00002062"/>
    <w:rsid w:val="00003FE8"/>
    <w:rsid w:val="000060B3"/>
    <w:rsid w:val="00007285"/>
    <w:rsid w:val="00011EA2"/>
    <w:rsid w:val="00016A5D"/>
    <w:rsid w:val="000178BE"/>
    <w:rsid w:val="00023C96"/>
    <w:rsid w:val="00025313"/>
    <w:rsid w:val="00027471"/>
    <w:rsid w:val="00036E84"/>
    <w:rsid w:val="000402B7"/>
    <w:rsid w:val="0004364B"/>
    <w:rsid w:val="000437AF"/>
    <w:rsid w:val="00043F40"/>
    <w:rsid w:val="00047811"/>
    <w:rsid w:val="00061B1F"/>
    <w:rsid w:val="00065947"/>
    <w:rsid w:val="000733C4"/>
    <w:rsid w:val="00074783"/>
    <w:rsid w:val="000756AF"/>
    <w:rsid w:val="0008070B"/>
    <w:rsid w:val="000810AC"/>
    <w:rsid w:val="00081A02"/>
    <w:rsid w:val="00082231"/>
    <w:rsid w:val="00082243"/>
    <w:rsid w:val="00086E49"/>
    <w:rsid w:val="00092B86"/>
    <w:rsid w:val="00092D38"/>
    <w:rsid w:val="0009377B"/>
    <w:rsid w:val="00095E0D"/>
    <w:rsid w:val="000A20C9"/>
    <w:rsid w:val="000A211B"/>
    <w:rsid w:val="000B058F"/>
    <w:rsid w:val="000B0CD3"/>
    <w:rsid w:val="000B1CA8"/>
    <w:rsid w:val="000B4467"/>
    <w:rsid w:val="000B44EC"/>
    <w:rsid w:val="000B4674"/>
    <w:rsid w:val="000B4DB9"/>
    <w:rsid w:val="000C09AC"/>
    <w:rsid w:val="000C5FEA"/>
    <w:rsid w:val="000C767F"/>
    <w:rsid w:val="000D15AA"/>
    <w:rsid w:val="000D5A44"/>
    <w:rsid w:val="000E3ED2"/>
    <w:rsid w:val="000E4F9F"/>
    <w:rsid w:val="000F1ED1"/>
    <w:rsid w:val="00107D08"/>
    <w:rsid w:val="00110EA0"/>
    <w:rsid w:val="00114EF8"/>
    <w:rsid w:val="0012707B"/>
    <w:rsid w:val="001273C3"/>
    <w:rsid w:val="00130903"/>
    <w:rsid w:val="00131337"/>
    <w:rsid w:val="00131F42"/>
    <w:rsid w:val="001357F1"/>
    <w:rsid w:val="00140FA8"/>
    <w:rsid w:val="00141CE4"/>
    <w:rsid w:val="00142FA3"/>
    <w:rsid w:val="00142FEB"/>
    <w:rsid w:val="00143A2D"/>
    <w:rsid w:val="00143D2A"/>
    <w:rsid w:val="00145A41"/>
    <w:rsid w:val="00147474"/>
    <w:rsid w:val="00151675"/>
    <w:rsid w:val="00153894"/>
    <w:rsid w:val="00155D2D"/>
    <w:rsid w:val="00156C89"/>
    <w:rsid w:val="00157435"/>
    <w:rsid w:val="00160D06"/>
    <w:rsid w:val="00162578"/>
    <w:rsid w:val="00162A71"/>
    <w:rsid w:val="00171F2B"/>
    <w:rsid w:val="00172A27"/>
    <w:rsid w:val="00172F42"/>
    <w:rsid w:val="0017504D"/>
    <w:rsid w:val="0017643D"/>
    <w:rsid w:val="0017671A"/>
    <w:rsid w:val="00177422"/>
    <w:rsid w:val="00184590"/>
    <w:rsid w:val="001870D1"/>
    <w:rsid w:val="0018781E"/>
    <w:rsid w:val="0019262D"/>
    <w:rsid w:val="00196C11"/>
    <w:rsid w:val="001A1B35"/>
    <w:rsid w:val="001A48A2"/>
    <w:rsid w:val="001A6F61"/>
    <w:rsid w:val="001B2352"/>
    <w:rsid w:val="001B3624"/>
    <w:rsid w:val="001B6CBD"/>
    <w:rsid w:val="001B72B8"/>
    <w:rsid w:val="001C043C"/>
    <w:rsid w:val="001C6829"/>
    <w:rsid w:val="001C69B3"/>
    <w:rsid w:val="001D1584"/>
    <w:rsid w:val="001D5595"/>
    <w:rsid w:val="001D7874"/>
    <w:rsid w:val="001D7F22"/>
    <w:rsid w:val="001E3CC5"/>
    <w:rsid w:val="001E50CA"/>
    <w:rsid w:val="001F0250"/>
    <w:rsid w:val="001F07FB"/>
    <w:rsid w:val="001F0F17"/>
    <w:rsid w:val="001F3347"/>
    <w:rsid w:val="001F69E4"/>
    <w:rsid w:val="001F6F81"/>
    <w:rsid w:val="001F740C"/>
    <w:rsid w:val="00201124"/>
    <w:rsid w:val="0020494B"/>
    <w:rsid w:val="002125B4"/>
    <w:rsid w:val="002155B8"/>
    <w:rsid w:val="00217B2F"/>
    <w:rsid w:val="00224839"/>
    <w:rsid w:val="002249B2"/>
    <w:rsid w:val="00226574"/>
    <w:rsid w:val="00226DFC"/>
    <w:rsid w:val="002278EC"/>
    <w:rsid w:val="0023148C"/>
    <w:rsid w:val="0023280E"/>
    <w:rsid w:val="00237516"/>
    <w:rsid w:val="002377D1"/>
    <w:rsid w:val="002442AE"/>
    <w:rsid w:val="002506BC"/>
    <w:rsid w:val="00252A38"/>
    <w:rsid w:val="00254345"/>
    <w:rsid w:val="00256DF9"/>
    <w:rsid w:val="00260C57"/>
    <w:rsid w:val="00260CC5"/>
    <w:rsid w:val="002630B3"/>
    <w:rsid w:val="00263687"/>
    <w:rsid w:val="00264557"/>
    <w:rsid w:val="00266BF0"/>
    <w:rsid w:val="00274A3F"/>
    <w:rsid w:val="002805AB"/>
    <w:rsid w:val="00284204"/>
    <w:rsid w:val="00284D14"/>
    <w:rsid w:val="002909E6"/>
    <w:rsid w:val="00291773"/>
    <w:rsid w:val="002942B4"/>
    <w:rsid w:val="00295E73"/>
    <w:rsid w:val="002A0061"/>
    <w:rsid w:val="002A168C"/>
    <w:rsid w:val="002A3AB8"/>
    <w:rsid w:val="002A3DC7"/>
    <w:rsid w:val="002A6E8B"/>
    <w:rsid w:val="002A7387"/>
    <w:rsid w:val="002B22AD"/>
    <w:rsid w:val="002B49E2"/>
    <w:rsid w:val="002B7B00"/>
    <w:rsid w:val="002B7C44"/>
    <w:rsid w:val="002C2B17"/>
    <w:rsid w:val="002D3DD0"/>
    <w:rsid w:val="002D4013"/>
    <w:rsid w:val="002E1F3A"/>
    <w:rsid w:val="002E298A"/>
    <w:rsid w:val="00301978"/>
    <w:rsid w:val="00302460"/>
    <w:rsid w:val="0030332C"/>
    <w:rsid w:val="003051C2"/>
    <w:rsid w:val="003070FC"/>
    <w:rsid w:val="003078EA"/>
    <w:rsid w:val="00312296"/>
    <w:rsid w:val="00314F0E"/>
    <w:rsid w:val="00314F80"/>
    <w:rsid w:val="00321D8E"/>
    <w:rsid w:val="0032381A"/>
    <w:rsid w:val="00325439"/>
    <w:rsid w:val="00325928"/>
    <w:rsid w:val="00332863"/>
    <w:rsid w:val="003337FB"/>
    <w:rsid w:val="0033450E"/>
    <w:rsid w:val="0033684D"/>
    <w:rsid w:val="00337B42"/>
    <w:rsid w:val="00341B42"/>
    <w:rsid w:val="0034348F"/>
    <w:rsid w:val="00343BB4"/>
    <w:rsid w:val="00344F92"/>
    <w:rsid w:val="00352193"/>
    <w:rsid w:val="00353B21"/>
    <w:rsid w:val="00356653"/>
    <w:rsid w:val="0035743F"/>
    <w:rsid w:val="00357BE2"/>
    <w:rsid w:val="0036170C"/>
    <w:rsid w:val="003629D6"/>
    <w:rsid w:val="00365168"/>
    <w:rsid w:val="00366E0F"/>
    <w:rsid w:val="00373C79"/>
    <w:rsid w:val="00381A72"/>
    <w:rsid w:val="0038204A"/>
    <w:rsid w:val="00384676"/>
    <w:rsid w:val="00390857"/>
    <w:rsid w:val="00391E9F"/>
    <w:rsid w:val="003967EF"/>
    <w:rsid w:val="00396CD0"/>
    <w:rsid w:val="003A06E1"/>
    <w:rsid w:val="003A0932"/>
    <w:rsid w:val="003A2DC0"/>
    <w:rsid w:val="003A4BF3"/>
    <w:rsid w:val="003B082B"/>
    <w:rsid w:val="003B0F89"/>
    <w:rsid w:val="003B420D"/>
    <w:rsid w:val="003C0547"/>
    <w:rsid w:val="003C6C16"/>
    <w:rsid w:val="003D0F02"/>
    <w:rsid w:val="003D534F"/>
    <w:rsid w:val="003D7665"/>
    <w:rsid w:val="003D794D"/>
    <w:rsid w:val="003E0592"/>
    <w:rsid w:val="003E3058"/>
    <w:rsid w:val="003E47E0"/>
    <w:rsid w:val="003E76A9"/>
    <w:rsid w:val="003E7873"/>
    <w:rsid w:val="003F0809"/>
    <w:rsid w:val="003F0C32"/>
    <w:rsid w:val="003F2FB8"/>
    <w:rsid w:val="003F5DD4"/>
    <w:rsid w:val="003F61F7"/>
    <w:rsid w:val="003F6A8C"/>
    <w:rsid w:val="003F6AF9"/>
    <w:rsid w:val="003F755C"/>
    <w:rsid w:val="00400845"/>
    <w:rsid w:val="004019B2"/>
    <w:rsid w:val="00406F01"/>
    <w:rsid w:val="004100CE"/>
    <w:rsid w:val="004148BC"/>
    <w:rsid w:val="00416D50"/>
    <w:rsid w:val="00416FD5"/>
    <w:rsid w:val="00417772"/>
    <w:rsid w:val="00420E6A"/>
    <w:rsid w:val="00425A9E"/>
    <w:rsid w:val="00426D6B"/>
    <w:rsid w:val="00431E6C"/>
    <w:rsid w:val="00433CE7"/>
    <w:rsid w:val="0043696E"/>
    <w:rsid w:val="004409F1"/>
    <w:rsid w:val="004477D2"/>
    <w:rsid w:val="00450E64"/>
    <w:rsid w:val="00452738"/>
    <w:rsid w:val="00456091"/>
    <w:rsid w:val="00457F0E"/>
    <w:rsid w:val="00460328"/>
    <w:rsid w:val="00464F79"/>
    <w:rsid w:val="004657F4"/>
    <w:rsid w:val="00466321"/>
    <w:rsid w:val="004666E6"/>
    <w:rsid w:val="00466B4D"/>
    <w:rsid w:val="004670C1"/>
    <w:rsid w:val="00471EF1"/>
    <w:rsid w:val="00480325"/>
    <w:rsid w:val="00480A15"/>
    <w:rsid w:val="00481CD0"/>
    <w:rsid w:val="00481F39"/>
    <w:rsid w:val="00484B9B"/>
    <w:rsid w:val="00484EDD"/>
    <w:rsid w:val="004855F6"/>
    <w:rsid w:val="004859FB"/>
    <w:rsid w:val="0048661E"/>
    <w:rsid w:val="00494670"/>
    <w:rsid w:val="004A3823"/>
    <w:rsid w:val="004B52CC"/>
    <w:rsid w:val="004C057D"/>
    <w:rsid w:val="004C43DE"/>
    <w:rsid w:val="004D381B"/>
    <w:rsid w:val="004E0B46"/>
    <w:rsid w:val="004E466E"/>
    <w:rsid w:val="004E5D18"/>
    <w:rsid w:val="004E6946"/>
    <w:rsid w:val="004F1AD8"/>
    <w:rsid w:val="004F3C9A"/>
    <w:rsid w:val="00501130"/>
    <w:rsid w:val="00502ADC"/>
    <w:rsid w:val="00502BDA"/>
    <w:rsid w:val="005039CB"/>
    <w:rsid w:val="0050558F"/>
    <w:rsid w:val="00506286"/>
    <w:rsid w:val="00510813"/>
    <w:rsid w:val="00511990"/>
    <w:rsid w:val="00511AF3"/>
    <w:rsid w:val="00511DE0"/>
    <w:rsid w:val="00514870"/>
    <w:rsid w:val="00514B9B"/>
    <w:rsid w:val="00516FC7"/>
    <w:rsid w:val="00517F02"/>
    <w:rsid w:val="00522019"/>
    <w:rsid w:val="00524303"/>
    <w:rsid w:val="005258A2"/>
    <w:rsid w:val="00532E78"/>
    <w:rsid w:val="0053634A"/>
    <w:rsid w:val="005401AE"/>
    <w:rsid w:val="00541CB9"/>
    <w:rsid w:val="005429FC"/>
    <w:rsid w:val="00542E07"/>
    <w:rsid w:val="00545424"/>
    <w:rsid w:val="00554255"/>
    <w:rsid w:val="00554A7B"/>
    <w:rsid w:val="0055572C"/>
    <w:rsid w:val="0056106A"/>
    <w:rsid w:val="005617F5"/>
    <w:rsid w:val="005653FB"/>
    <w:rsid w:val="005720AE"/>
    <w:rsid w:val="00575D9C"/>
    <w:rsid w:val="00580622"/>
    <w:rsid w:val="00594D77"/>
    <w:rsid w:val="005969E4"/>
    <w:rsid w:val="00597FA0"/>
    <w:rsid w:val="005A06B7"/>
    <w:rsid w:val="005A1759"/>
    <w:rsid w:val="005A5598"/>
    <w:rsid w:val="005A68A7"/>
    <w:rsid w:val="005B2457"/>
    <w:rsid w:val="005C4D7E"/>
    <w:rsid w:val="005D36AB"/>
    <w:rsid w:val="005D7B78"/>
    <w:rsid w:val="005E2BEB"/>
    <w:rsid w:val="005E618F"/>
    <w:rsid w:val="005F0688"/>
    <w:rsid w:val="005F4329"/>
    <w:rsid w:val="00600E40"/>
    <w:rsid w:val="00603087"/>
    <w:rsid w:val="006036B2"/>
    <w:rsid w:val="00603F24"/>
    <w:rsid w:val="006110AB"/>
    <w:rsid w:val="006119D9"/>
    <w:rsid w:val="00617550"/>
    <w:rsid w:val="00617CC3"/>
    <w:rsid w:val="006211BD"/>
    <w:rsid w:val="00624C0A"/>
    <w:rsid w:val="00627B93"/>
    <w:rsid w:val="006377A6"/>
    <w:rsid w:val="00637A3D"/>
    <w:rsid w:val="006408E5"/>
    <w:rsid w:val="006411EF"/>
    <w:rsid w:val="00641C62"/>
    <w:rsid w:val="006422DA"/>
    <w:rsid w:val="0065390C"/>
    <w:rsid w:val="00653FAD"/>
    <w:rsid w:val="00655745"/>
    <w:rsid w:val="006566DD"/>
    <w:rsid w:val="00660B59"/>
    <w:rsid w:val="006637D9"/>
    <w:rsid w:val="00664271"/>
    <w:rsid w:val="00665B4A"/>
    <w:rsid w:val="00673183"/>
    <w:rsid w:val="006748B8"/>
    <w:rsid w:val="00675386"/>
    <w:rsid w:val="006775C3"/>
    <w:rsid w:val="006862B9"/>
    <w:rsid w:val="00691172"/>
    <w:rsid w:val="00691805"/>
    <w:rsid w:val="0069290A"/>
    <w:rsid w:val="00694D9A"/>
    <w:rsid w:val="00696CD1"/>
    <w:rsid w:val="0069775A"/>
    <w:rsid w:val="00697813"/>
    <w:rsid w:val="006A1D2E"/>
    <w:rsid w:val="006A3EE8"/>
    <w:rsid w:val="006A72BF"/>
    <w:rsid w:val="006B03F2"/>
    <w:rsid w:val="006B11A3"/>
    <w:rsid w:val="006B2549"/>
    <w:rsid w:val="006B37DC"/>
    <w:rsid w:val="006B4F68"/>
    <w:rsid w:val="006B5C18"/>
    <w:rsid w:val="006B5C72"/>
    <w:rsid w:val="006C0592"/>
    <w:rsid w:val="006C07EF"/>
    <w:rsid w:val="006C1B26"/>
    <w:rsid w:val="006C272E"/>
    <w:rsid w:val="006C5479"/>
    <w:rsid w:val="006D0B85"/>
    <w:rsid w:val="006D13B5"/>
    <w:rsid w:val="006D3A21"/>
    <w:rsid w:val="006D7003"/>
    <w:rsid w:val="006E0864"/>
    <w:rsid w:val="006E12FF"/>
    <w:rsid w:val="006E607E"/>
    <w:rsid w:val="006F12FA"/>
    <w:rsid w:val="006F366C"/>
    <w:rsid w:val="006F4AD8"/>
    <w:rsid w:val="006F6135"/>
    <w:rsid w:val="00706A76"/>
    <w:rsid w:val="00706C5D"/>
    <w:rsid w:val="007142FA"/>
    <w:rsid w:val="00717CD6"/>
    <w:rsid w:val="0072076E"/>
    <w:rsid w:val="0072508E"/>
    <w:rsid w:val="00725B9C"/>
    <w:rsid w:val="00731354"/>
    <w:rsid w:val="00732922"/>
    <w:rsid w:val="007337D6"/>
    <w:rsid w:val="0073396D"/>
    <w:rsid w:val="0073485F"/>
    <w:rsid w:val="00740CB5"/>
    <w:rsid w:val="007418CA"/>
    <w:rsid w:val="0074379A"/>
    <w:rsid w:val="007448CE"/>
    <w:rsid w:val="007460D2"/>
    <w:rsid w:val="00747995"/>
    <w:rsid w:val="0075052F"/>
    <w:rsid w:val="0075162E"/>
    <w:rsid w:val="00752737"/>
    <w:rsid w:val="00752FD3"/>
    <w:rsid w:val="00754034"/>
    <w:rsid w:val="00755C65"/>
    <w:rsid w:val="00756556"/>
    <w:rsid w:val="007618C4"/>
    <w:rsid w:val="00761EA8"/>
    <w:rsid w:val="00764F58"/>
    <w:rsid w:val="00767980"/>
    <w:rsid w:val="00770B19"/>
    <w:rsid w:val="0077463F"/>
    <w:rsid w:val="00774934"/>
    <w:rsid w:val="00776996"/>
    <w:rsid w:val="007772C9"/>
    <w:rsid w:val="00783353"/>
    <w:rsid w:val="007836EA"/>
    <w:rsid w:val="00784CDA"/>
    <w:rsid w:val="00784EBE"/>
    <w:rsid w:val="007872A9"/>
    <w:rsid w:val="007906C4"/>
    <w:rsid w:val="007940EA"/>
    <w:rsid w:val="007967E8"/>
    <w:rsid w:val="00797FA6"/>
    <w:rsid w:val="007A2170"/>
    <w:rsid w:val="007A22BF"/>
    <w:rsid w:val="007A3323"/>
    <w:rsid w:val="007A3650"/>
    <w:rsid w:val="007B1207"/>
    <w:rsid w:val="007B2F27"/>
    <w:rsid w:val="007B72B8"/>
    <w:rsid w:val="007B7A58"/>
    <w:rsid w:val="007C1A31"/>
    <w:rsid w:val="007C21B5"/>
    <w:rsid w:val="007C5F52"/>
    <w:rsid w:val="007D08A3"/>
    <w:rsid w:val="007D2035"/>
    <w:rsid w:val="007D3F09"/>
    <w:rsid w:val="007D5599"/>
    <w:rsid w:val="007D6489"/>
    <w:rsid w:val="007E4BD2"/>
    <w:rsid w:val="007E62EF"/>
    <w:rsid w:val="007E6837"/>
    <w:rsid w:val="007E687D"/>
    <w:rsid w:val="007F4DD9"/>
    <w:rsid w:val="007F759D"/>
    <w:rsid w:val="0080135B"/>
    <w:rsid w:val="00801393"/>
    <w:rsid w:val="008029B6"/>
    <w:rsid w:val="00802F88"/>
    <w:rsid w:val="008044CD"/>
    <w:rsid w:val="0081293E"/>
    <w:rsid w:val="00814F39"/>
    <w:rsid w:val="00815465"/>
    <w:rsid w:val="00815CAC"/>
    <w:rsid w:val="00817E9A"/>
    <w:rsid w:val="00823701"/>
    <w:rsid w:val="008259A0"/>
    <w:rsid w:val="00825A0D"/>
    <w:rsid w:val="008306BD"/>
    <w:rsid w:val="00831A80"/>
    <w:rsid w:val="00833743"/>
    <w:rsid w:val="008340A4"/>
    <w:rsid w:val="00836DCC"/>
    <w:rsid w:val="00851391"/>
    <w:rsid w:val="008536E7"/>
    <w:rsid w:val="008563BA"/>
    <w:rsid w:val="008645CD"/>
    <w:rsid w:val="00864926"/>
    <w:rsid w:val="008677AA"/>
    <w:rsid w:val="008702F5"/>
    <w:rsid w:val="0087135F"/>
    <w:rsid w:val="00872D94"/>
    <w:rsid w:val="00880364"/>
    <w:rsid w:val="00883380"/>
    <w:rsid w:val="00891592"/>
    <w:rsid w:val="00891E9E"/>
    <w:rsid w:val="00892B28"/>
    <w:rsid w:val="008A2F68"/>
    <w:rsid w:val="008A32C5"/>
    <w:rsid w:val="008A6781"/>
    <w:rsid w:val="008A6F31"/>
    <w:rsid w:val="008B11BC"/>
    <w:rsid w:val="008B1C13"/>
    <w:rsid w:val="008B3466"/>
    <w:rsid w:val="008B4FA6"/>
    <w:rsid w:val="008B5282"/>
    <w:rsid w:val="008B6D11"/>
    <w:rsid w:val="008B7C17"/>
    <w:rsid w:val="008C2D01"/>
    <w:rsid w:val="008C2DC4"/>
    <w:rsid w:val="008C40E6"/>
    <w:rsid w:val="008C4588"/>
    <w:rsid w:val="008D0F7A"/>
    <w:rsid w:val="008D372B"/>
    <w:rsid w:val="008D4FDE"/>
    <w:rsid w:val="008D650E"/>
    <w:rsid w:val="008D68E4"/>
    <w:rsid w:val="008E0506"/>
    <w:rsid w:val="008E0CFF"/>
    <w:rsid w:val="008E223A"/>
    <w:rsid w:val="008E5D6B"/>
    <w:rsid w:val="008E76F0"/>
    <w:rsid w:val="008F0564"/>
    <w:rsid w:val="008F15FE"/>
    <w:rsid w:val="008F2D29"/>
    <w:rsid w:val="008F3FBA"/>
    <w:rsid w:val="008F5050"/>
    <w:rsid w:val="008F5187"/>
    <w:rsid w:val="008F60D8"/>
    <w:rsid w:val="008F7C10"/>
    <w:rsid w:val="00902727"/>
    <w:rsid w:val="0090312B"/>
    <w:rsid w:val="0091045C"/>
    <w:rsid w:val="00910E09"/>
    <w:rsid w:val="009133ED"/>
    <w:rsid w:val="0091736D"/>
    <w:rsid w:val="00920FFC"/>
    <w:rsid w:val="009233B6"/>
    <w:rsid w:val="00924F0B"/>
    <w:rsid w:val="00925188"/>
    <w:rsid w:val="00927613"/>
    <w:rsid w:val="0093037A"/>
    <w:rsid w:val="0093289E"/>
    <w:rsid w:val="00935C64"/>
    <w:rsid w:val="0094060B"/>
    <w:rsid w:val="0094154D"/>
    <w:rsid w:val="0094239A"/>
    <w:rsid w:val="0095024A"/>
    <w:rsid w:val="0095155F"/>
    <w:rsid w:val="00954429"/>
    <w:rsid w:val="009563CE"/>
    <w:rsid w:val="00957D77"/>
    <w:rsid w:val="009606DE"/>
    <w:rsid w:val="00960DC0"/>
    <w:rsid w:val="00963FA8"/>
    <w:rsid w:val="00972CE5"/>
    <w:rsid w:val="00975E90"/>
    <w:rsid w:val="00976328"/>
    <w:rsid w:val="0097680D"/>
    <w:rsid w:val="00982438"/>
    <w:rsid w:val="00983A9B"/>
    <w:rsid w:val="0098404C"/>
    <w:rsid w:val="00985283"/>
    <w:rsid w:val="009919E8"/>
    <w:rsid w:val="00994120"/>
    <w:rsid w:val="00995116"/>
    <w:rsid w:val="00995992"/>
    <w:rsid w:val="009A03E5"/>
    <w:rsid w:val="009A0F3B"/>
    <w:rsid w:val="009A1BB4"/>
    <w:rsid w:val="009A2628"/>
    <w:rsid w:val="009A3200"/>
    <w:rsid w:val="009A3EAE"/>
    <w:rsid w:val="009A4737"/>
    <w:rsid w:val="009B0897"/>
    <w:rsid w:val="009B30FF"/>
    <w:rsid w:val="009B3BD4"/>
    <w:rsid w:val="009B7BD9"/>
    <w:rsid w:val="009C242C"/>
    <w:rsid w:val="009C7DD5"/>
    <w:rsid w:val="009D393B"/>
    <w:rsid w:val="009E227D"/>
    <w:rsid w:val="009E5019"/>
    <w:rsid w:val="009F03B4"/>
    <w:rsid w:val="009F2E47"/>
    <w:rsid w:val="009F4BBB"/>
    <w:rsid w:val="009F6934"/>
    <w:rsid w:val="00A0249F"/>
    <w:rsid w:val="00A04F1B"/>
    <w:rsid w:val="00A0501B"/>
    <w:rsid w:val="00A07E70"/>
    <w:rsid w:val="00A14947"/>
    <w:rsid w:val="00A2563E"/>
    <w:rsid w:val="00A25B3A"/>
    <w:rsid w:val="00A32A83"/>
    <w:rsid w:val="00A35515"/>
    <w:rsid w:val="00A356A0"/>
    <w:rsid w:val="00A368DB"/>
    <w:rsid w:val="00A402BE"/>
    <w:rsid w:val="00A423AA"/>
    <w:rsid w:val="00A50EBF"/>
    <w:rsid w:val="00A51C02"/>
    <w:rsid w:val="00A53EC6"/>
    <w:rsid w:val="00A55C0F"/>
    <w:rsid w:val="00A70329"/>
    <w:rsid w:val="00A71470"/>
    <w:rsid w:val="00A739B7"/>
    <w:rsid w:val="00A76A43"/>
    <w:rsid w:val="00A80846"/>
    <w:rsid w:val="00A82FA8"/>
    <w:rsid w:val="00A83F91"/>
    <w:rsid w:val="00A8713F"/>
    <w:rsid w:val="00A909B4"/>
    <w:rsid w:val="00A90BA1"/>
    <w:rsid w:val="00A97A9A"/>
    <w:rsid w:val="00A97D0C"/>
    <w:rsid w:val="00AA0671"/>
    <w:rsid w:val="00AA2531"/>
    <w:rsid w:val="00AA592E"/>
    <w:rsid w:val="00AA7CC6"/>
    <w:rsid w:val="00AB1E09"/>
    <w:rsid w:val="00AB250B"/>
    <w:rsid w:val="00AB4084"/>
    <w:rsid w:val="00AB513B"/>
    <w:rsid w:val="00AB5330"/>
    <w:rsid w:val="00AB73A4"/>
    <w:rsid w:val="00AB7747"/>
    <w:rsid w:val="00AC14CE"/>
    <w:rsid w:val="00AC2A56"/>
    <w:rsid w:val="00AC3BF0"/>
    <w:rsid w:val="00AD055E"/>
    <w:rsid w:val="00AD05A7"/>
    <w:rsid w:val="00AD47A7"/>
    <w:rsid w:val="00AD5DE1"/>
    <w:rsid w:val="00AD634D"/>
    <w:rsid w:val="00AD6646"/>
    <w:rsid w:val="00AE7D54"/>
    <w:rsid w:val="00AF0614"/>
    <w:rsid w:val="00AF0CBF"/>
    <w:rsid w:val="00AF1EA3"/>
    <w:rsid w:val="00AF257F"/>
    <w:rsid w:val="00AF2F1D"/>
    <w:rsid w:val="00AF33CF"/>
    <w:rsid w:val="00AF4D50"/>
    <w:rsid w:val="00AF6179"/>
    <w:rsid w:val="00B006FC"/>
    <w:rsid w:val="00B05506"/>
    <w:rsid w:val="00B1114C"/>
    <w:rsid w:val="00B1295A"/>
    <w:rsid w:val="00B20A45"/>
    <w:rsid w:val="00B22C5C"/>
    <w:rsid w:val="00B24F30"/>
    <w:rsid w:val="00B27FAC"/>
    <w:rsid w:val="00B31ABF"/>
    <w:rsid w:val="00B33BE3"/>
    <w:rsid w:val="00B360DF"/>
    <w:rsid w:val="00B37302"/>
    <w:rsid w:val="00B407E4"/>
    <w:rsid w:val="00B449DE"/>
    <w:rsid w:val="00B4677C"/>
    <w:rsid w:val="00B471E0"/>
    <w:rsid w:val="00B50325"/>
    <w:rsid w:val="00B50954"/>
    <w:rsid w:val="00B516C0"/>
    <w:rsid w:val="00B53B5D"/>
    <w:rsid w:val="00B56091"/>
    <w:rsid w:val="00B57807"/>
    <w:rsid w:val="00B57D72"/>
    <w:rsid w:val="00B6055E"/>
    <w:rsid w:val="00B6317D"/>
    <w:rsid w:val="00B63E3E"/>
    <w:rsid w:val="00B63F3C"/>
    <w:rsid w:val="00B67AF1"/>
    <w:rsid w:val="00B71494"/>
    <w:rsid w:val="00B763B5"/>
    <w:rsid w:val="00B7723F"/>
    <w:rsid w:val="00B80534"/>
    <w:rsid w:val="00B8433C"/>
    <w:rsid w:val="00B84535"/>
    <w:rsid w:val="00B87491"/>
    <w:rsid w:val="00B878CA"/>
    <w:rsid w:val="00B9132D"/>
    <w:rsid w:val="00B914C9"/>
    <w:rsid w:val="00B914DE"/>
    <w:rsid w:val="00B94764"/>
    <w:rsid w:val="00B94E7D"/>
    <w:rsid w:val="00B951F1"/>
    <w:rsid w:val="00B952C7"/>
    <w:rsid w:val="00B97F3E"/>
    <w:rsid w:val="00BA1B02"/>
    <w:rsid w:val="00BA29E9"/>
    <w:rsid w:val="00BA3884"/>
    <w:rsid w:val="00BA429B"/>
    <w:rsid w:val="00BA470F"/>
    <w:rsid w:val="00BA7142"/>
    <w:rsid w:val="00BB237C"/>
    <w:rsid w:val="00BB41A3"/>
    <w:rsid w:val="00BB7D2A"/>
    <w:rsid w:val="00BC32DC"/>
    <w:rsid w:val="00BC35B6"/>
    <w:rsid w:val="00BC69F2"/>
    <w:rsid w:val="00BD1B51"/>
    <w:rsid w:val="00BD4596"/>
    <w:rsid w:val="00BD5678"/>
    <w:rsid w:val="00BE1405"/>
    <w:rsid w:val="00BE312D"/>
    <w:rsid w:val="00BE3D9C"/>
    <w:rsid w:val="00BE5171"/>
    <w:rsid w:val="00BF1C20"/>
    <w:rsid w:val="00BF30B0"/>
    <w:rsid w:val="00BF4530"/>
    <w:rsid w:val="00BF4ACF"/>
    <w:rsid w:val="00C01297"/>
    <w:rsid w:val="00C01D43"/>
    <w:rsid w:val="00C03010"/>
    <w:rsid w:val="00C0703F"/>
    <w:rsid w:val="00C10578"/>
    <w:rsid w:val="00C135BC"/>
    <w:rsid w:val="00C15C95"/>
    <w:rsid w:val="00C2596A"/>
    <w:rsid w:val="00C27537"/>
    <w:rsid w:val="00C279A7"/>
    <w:rsid w:val="00C328FE"/>
    <w:rsid w:val="00C33507"/>
    <w:rsid w:val="00C346DE"/>
    <w:rsid w:val="00C35623"/>
    <w:rsid w:val="00C4409D"/>
    <w:rsid w:val="00C44E72"/>
    <w:rsid w:val="00C45A06"/>
    <w:rsid w:val="00C468CB"/>
    <w:rsid w:val="00C47E5B"/>
    <w:rsid w:val="00C52793"/>
    <w:rsid w:val="00C5695D"/>
    <w:rsid w:val="00C61E4B"/>
    <w:rsid w:val="00C64BFF"/>
    <w:rsid w:val="00C67193"/>
    <w:rsid w:val="00C6781B"/>
    <w:rsid w:val="00C679E9"/>
    <w:rsid w:val="00C702E0"/>
    <w:rsid w:val="00C704E9"/>
    <w:rsid w:val="00C763C9"/>
    <w:rsid w:val="00C80057"/>
    <w:rsid w:val="00C800F3"/>
    <w:rsid w:val="00C81337"/>
    <w:rsid w:val="00C81371"/>
    <w:rsid w:val="00C82232"/>
    <w:rsid w:val="00C82913"/>
    <w:rsid w:val="00C82E79"/>
    <w:rsid w:val="00C84575"/>
    <w:rsid w:val="00C85B5D"/>
    <w:rsid w:val="00C86080"/>
    <w:rsid w:val="00C90800"/>
    <w:rsid w:val="00C919E6"/>
    <w:rsid w:val="00C91ACC"/>
    <w:rsid w:val="00C9519D"/>
    <w:rsid w:val="00C96DAA"/>
    <w:rsid w:val="00C972B1"/>
    <w:rsid w:val="00CA2CCE"/>
    <w:rsid w:val="00CA40EA"/>
    <w:rsid w:val="00CA43FD"/>
    <w:rsid w:val="00CA7EF8"/>
    <w:rsid w:val="00CB06A9"/>
    <w:rsid w:val="00CB3FEB"/>
    <w:rsid w:val="00CB5098"/>
    <w:rsid w:val="00CC24AF"/>
    <w:rsid w:val="00CC297D"/>
    <w:rsid w:val="00CC3F71"/>
    <w:rsid w:val="00CC489B"/>
    <w:rsid w:val="00CC4A61"/>
    <w:rsid w:val="00CD2BCD"/>
    <w:rsid w:val="00CD3135"/>
    <w:rsid w:val="00CD3A4C"/>
    <w:rsid w:val="00CD43C7"/>
    <w:rsid w:val="00CD6A19"/>
    <w:rsid w:val="00CE10E9"/>
    <w:rsid w:val="00CE1A17"/>
    <w:rsid w:val="00CE2910"/>
    <w:rsid w:val="00CE36F8"/>
    <w:rsid w:val="00CE47B5"/>
    <w:rsid w:val="00CE5393"/>
    <w:rsid w:val="00CE6172"/>
    <w:rsid w:val="00CF0831"/>
    <w:rsid w:val="00CF36BE"/>
    <w:rsid w:val="00CF526C"/>
    <w:rsid w:val="00CF551E"/>
    <w:rsid w:val="00CF5925"/>
    <w:rsid w:val="00CF6000"/>
    <w:rsid w:val="00CF7010"/>
    <w:rsid w:val="00D003F3"/>
    <w:rsid w:val="00D02554"/>
    <w:rsid w:val="00D0364F"/>
    <w:rsid w:val="00D04892"/>
    <w:rsid w:val="00D06834"/>
    <w:rsid w:val="00D07FF8"/>
    <w:rsid w:val="00D126CA"/>
    <w:rsid w:val="00D20194"/>
    <w:rsid w:val="00D308ED"/>
    <w:rsid w:val="00D312BD"/>
    <w:rsid w:val="00D31869"/>
    <w:rsid w:val="00D36BBC"/>
    <w:rsid w:val="00D36D86"/>
    <w:rsid w:val="00D428AA"/>
    <w:rsid w:val="00D43504"/>
    <w:rsid w:val="00D44246"/>
    <w:rsid w:val="00D46989"/>
    <w:rsid w:val="00D5092D"/>
    <w:rsid w:val="00D50A34"/>
    <w:rsid w:val="00D51CF4"/>
    <w:rsid w:val="00D53EFA"/>
    <w:rsid w:val="00D565A7"/>
    <w:rsid w:val="00D565E0"/>
    <w:rsid w:val="00D6235B"/>
    <w:rsid w:val="00D63CB9"/>
    <w:rsid w:val="00D65454"/>
    <w:rsid w:val="00D72AF5"/>
    <w:rsid w:val="00D77F75"/>
    <w:rsid w:val="00D80B7C"/>
    <w:rsid w:val="00D83764"/>
    <w:rsid w:val="00D83829"/>
    <w:rsid w:val="00D94A7C"/>
    <w:rsid w:val="00D95896"/>
    <w:rsid w:val="00D975B6"/>
    <w:rsid w:val="00DA2988"/>
    <w:rsid w:val="00DB02F4"/>
    <w:rsid w:val="00DB2983"/>
    <w:rsid w:val="00DC1257"/>
    <w:rsid w:val="00DC387F"/>
    <w:rsid w:val="00DC3DC0"/>
    <w:rsid w:val="00DC50F1"/>
    <w:rsid w:val="00DC5415"/>
    <w:rsid w:val="00DC5A9F"/>
    <w:rsid w:val="00DC5B23"/>
    <w:rsid w:val="00DC5B2B"/>
    <w:rsid w:val="00DD318D"/>
    <w:rsid w:val="00DE0905"/>
    <w:rsid w:val="00DE4C34"/>
    <w:rsid w:val="00DE58DE"/>
    <w:rsid w:val="00DE71AE"/>
    <w:rsid w:val="00DF2E12"/>
    <w:rsid w:val="00DF514A"/>
    <w:rsid w:val="00DF6690"/>
    <w:rsid w:val="00DF6804"/>
    <w:rsid w:val="00E0358D"/>
    <w:rsid w:val="00E04323"/>
    <w:rsid w:val="00E068BB"/>
    <w:rsid w:val="00E070A2"/>
    <w:rsid w:val="00E10BAC"/>
    <w:rsid w:val="00E12504"/>
    <w:rsid w:val="00E1547C"/>
    <w:rsid w:val="00E15C98"/>
    <w:rsid w:val="00E1629A"/>
    <w:rsid w:val="00E21E9C"/>
    <w:rsid w:val="00E2656A"/>
    <w:rsid w:val="00E37F9A"/>
    <w:rsid w:val="00E408F5"/>
    <w:rsid w:val="00E40B1C"/>
    <w:rsid w:val="00E412D0"/>
    <w:rsid w:val="00E4164C"/>
    <w:rsid w:val="00E4246B"/>
    <w:rsid w:val="00E4785A"/>
    <w:rsid w:val="00E5456E"/>
    <w:rsid w:val="00E56322"/>
    <w:rsid w:val="00E6096A"/>
    <w:rsid w:val="00E60982"/>
    <w:rsid w:val="00E6175C"/>
    <w:rsid w:val="00E62C62"/>
    <w:rsid w:val="00E654C1"/>
    <w:rsid w:val="00E65D97"/>
    <w:rsid w:val="00E71C04"/>
    <w:rsid w:val="00E72A5A"/>
    <w:rsid w:val="00E72F66"/>
    <w:rsid w:val="00E73354"/>
    <w:rsid w:val="00E740F8"/>
    <w:rsid w:val="00E74B7B"/>
    <w:rsid w:val="00E74E18"/>
    <w:rsid w:val="00E750B9"/>
    <w:rsid w:val="00E804E7"/>
    <w:rsid w:val="00E8060F"/>
    <w:rsid w:val="00E824B3"/>
    <w:rsid w:val="00E826EA"/>
    <w:rsid w:val="00E829DB"/>
    <w:rsid w:val="00E8569D"/>
    <w:rsid w:val="00E861DD"/>
    <w:rsid w:val="00E9242D"/>
    <w:rsid w:val="00EB2096"/>
    <w:rsid w:val="00EB4573"/>
    <w:rsid w:val="00EB5255"/>
    <w:rsid w:val="00EB59EA"/>
    <w:rsid w:val="00EB5C47"/>
    <w:rsid w:val="00EC3F20"/>
    <w:rsid w:val="00EC4E51"/>
    <w:rsid w:val="00ED03F3"/>
    <w:rsid w:val="00ED0639"/>
    <w:rsid w:val="00EE7E74"/>
    <w:rsid w:val="00EF357B"/>
    <w:rsid w:val="00EF369A"/>
    <w:rsid w:val="00EF4755"/>
    <w:rsid w:val="00EF7135"/>
    <w:rsid w:val="00F007C6"/>
    <w:rsid w:val="00F027DB"/>
    <w:rsid w:val="00F054D6"/>
    <w:rsid w:val="00F06689"/>
    <w:rsid w:val="00F14A7A"/>
    <w:rsid w:val="00F17476"/>
    <w:rsid w:val="00F20853"/>
    <w:rsid w:val="00F22985"/>
    <w:rsid w:val="00F23378"/>
    <w:rsid w:val="00F27229"/>
    <w:rsid w:val="00F30B51"/>
    <w:rsid w:val="00F32487"/>
    <w:rsid w:val="00F3383E"/>
    <w:rsid w:val="00F36AA0"/>
    <w:rsid w:val="00F465A7"/>
    <w:rsid w:val="00F505C4"/>
    <w:rsid w:val="00F50B7C"/>
    <w:rsid w:val="00F51CCF"/>
    <w:rsid w:val="00F54494"/>
    <w:rsid w:val="00F55060"/>
    <w:rsid w:val="00F550E6"/>
    <w:rsid w:val="00F556D8"/>
    <w:rsid w:val="00F66FA2"/>
    <w:rsid w:val="00F6786A"/>
    <w:rsid w:val="00F70146"/>
    <w:rsid w:val="00F74345"/>
    <w:rsid w:val="00F748C8"/>
    <w:rsid w:val="00F77B54"/>
    <w:rsid w:val="00F80A0A"/>
    <w:rsid w:val="00F82301"/>
    <w:rsid w:val="00F824A8"/>
    <w:rsid w:val="00F82B19"/>
    <w:rsid w:val="00F9212D"/>
    <w:rsid w:val="00F923AA"/>
    <w:rsid w:val="00F92BD4"/>
    <w:rsid w:val="00F93347"/>
    <w:rsid w:val="00F965DA"/>
    <w:rsid w:val="00FA2EA0"/>
    <w:rsid w:val="00FA406A"/>
    <w:rsid w:val="00FA6538"/>
    <w:rsid w:val="00FB2721"/>
    <w:rsid w:val="00FB503A"/>
    <w:rsid w:val="00FB516C"/>
    <w:rsid w:val="00FB5E00"/>
    <w:rsid w:val="00FC0385"/>
    <w:rsid w:val="00FC3C10"/>
    <w:rsid w:val="00FD0236"/>
    <w:rsid w:val="00FD18F4"/>
    <w:rsid w:val="00FD3EDC"/>
    <w:rsid w:val="00FD54DB"/>
    <w:rsid w:val="00FD619F"/>
    <w:rsid w:val="00FE0ED6"/>
    <w:rsid w:val="00FE3917"/>
    <w:rsid w:val="00FF7511"/>
    <w:rsid w:val="011268A8"/>
    <w:rsid w:val="011769D1"/>
    <w:rsid w:val="01290F7E"/>
    <w:rsid w:val="012D69B2"/>
    <w:rsid w:val="0138470F"/>
    <w:rsid w:val="01420154"/>
    <w:rsid w:val="01491D21"/>
    <w:rsid w:val="015D1E09"/>
    <w:rsid w:val="01685CF5"/>
    <w:rsid w:val="016C715C"/>
    <w:rsid w:val="01737B43"/>
    <w:rsid w:val="017C0A60"/>
    <w:rsid w:val="017E5D8B"/>
    <w:rsid w:val="017F2FDB"/>
    <w:rsid w:val="01824966"/>
    <w:rsid w:val="01845A33"/>
    <w:rsid w:val="01874831"/>
    <w:rsid w:val="018D5482"/>
    <w:rsid w:val="0191348C"/>
    <w:rsid w:val="01995E68"/>
    <w:rsid w:val="01A05276"/>
    <w:rsid w:val="01AD271D"/>
    <w:rsid w:val="01C85512"/>
    <w:rsid w:val="01CE397C"/>
    <w:rsid w:val="01E157E7"/>
    <w:rsid w:val="01E80B49"/>
    <w:rsid w:val="01EC4232"/>
    <w:rsid w:val="020D6282"/>
    <w:rsid w:val="020F1AAE"/>
    <w:rsid w:val="0210431A"/>
    <w:rsid w:val="0214248F"/>
    <w:rsid w:val="02187127"/>
    <w:rsid w:val="022524AF"/>
    <w:rsid w:val="02350069"/>
    <w:rsid w:val="0235101C"/>
    <w:rsid w:val="023766D8"/>
    <w:rsid w:val="02395C55"/>
    <w:rsid w:val="024457D8"/>
    <w:rsid w:val="024557DC"/>
    <w:rsid w:val="02606745"/>
    <w:rsid w:val="02674968"/>
    <w:rsid w:val="026870F6"/>
    <w:rsid w:val="02697903"/>
    <w:rsid w:val="02747477"/>
    <w:rsid w:val="02761594"/>
    <w:rsid w:val="027651F0"/>
    <w:rsid w:val="02766854"/>
    <w:rsid w:val="02782304"/>
    <w:rsid w:val="028B5820"/>
    <w:rsid w:val="02980C97"/>
    <w:rsid w:val="029D2909"/>
    <w:rsid w:val="02B412EA"/>
    <w:rsid w:val="02C65145"/>
    <w:rsid w:val="02E161B7"/>
    <w:rsid w:val="02E467DF"/>
    <w:rsid w:val="02F2085A"/>
    <w:rsid w:val="02F720B7"/>
    <w:rsid w:val="02F96569"/>
    <w:rsid w:val="02FA0267"/>
    <w:rsid w:val="031B610C"/>
    <w:rsid w:val="03380E3F"/>
    <w:rsid w:val="035A548B"/>
    <w:rsid w:val="036A01DC"/>
    <w:rsid w:val="037B62E2"/>
    <w:rsid w:val="037E0C68"/>
    <w:rsid w:val="038E19D4"/>
    <w:rsid w:val="03912219"/>
    <w:rsid w:val="03923C1D"/>
    <w:rsid w:val="03972A6B"/>
    <w:rsid w:val="03BB6256"/>
    <w:rsid w:val="03D122BA"/>
    <w:rsid w:val="03D659BA"/>
    <w:rsid w:val="03DA173E"/>
    <w:rsid w:val="03DD0EF8"/>
    <w:rsid w:val="03E30E2B"/>
    <w:rsid w:val="03E31975"/>
    <w:rsid w:val="03E77609"/>
    <w:rsid w:val="03EA7B21"/>
    <w:rsid w:val="03ED3A9A"/>
    <w:rsid w:val="03F35637"/>
    <w:rsid w:val="03F67307"/>
    <w:rsid w:val="03FF27D7"/>
    <w:rsid w:val="040872F8"/>
    <w:rsid w:val="040B088A"/>
    <w:rsid w:val="0422089E"/>
    <w:rsid w:val="04294B8F"/>
    <w:rsid w:val="044468B5"/>
    <w:rsid w:val="04533D31"/>
    <w:rsid w:val="047017AF"/>
    <w:rsid w:val="04701AD2"/>
    <w:rsid w:val="047A1CAE"/>
    <w:rsid w:val="047A7D06"/>
    <w:rsid w:val="048439BF"/>
    <w:rsid w:val="048543E5"/>
    <w:rsid w:val="048E458F"/>
    <w:rsid w:val="049C73FB"/>
    <w:rsid w:val="04BA2E8C"/>
    <w:rsid w:val="04C32544"/>
    <w:rsid w:val="04C3310A"/>
    <w:rsid w:val="04D364ED"/>
    <w:rsid w:val="04D8694E"/>
    <w:rsid w:val="04E5160D"/>
    <w:rsid w:val="04EE6E84"/>
    <w:rsid w:val="04F237F5"/>
    <w:rsid w:val="05165B33"/>
    <w:rsid w:val="052B3293"/>
    <w:rsid w:val="053B586C"/>
    <w:rsid w:val="0548265E"/>
    <w:rsid w:val="054E1550"/>
    <w:rsid w:val="0553685D"/>
    <w:rsid w:val="056E6C97"/>
    <w:rsid w:val="056E7229"/>
    <w:rsid w:val="057E50B8"/>
    <w:rsid w:val="0584177B"/>
    <w:rsid w:val="058721E6"/>
    <w:rsid w:val="058E1E38"/>
    <w:rsid w:val="05A554C3"/>
    <w:rsid w:val="05CD1D43"/>
    <w:rsid w:val="05D0681F"/>
    <w:rsid w:val="05D52AEB"/>
    <w:rsid w:val="05D838F3"/>
    <w:rsid w:val="05DB43A3"/>
    <w:rsid w:val="05F04758"/>
    <w:rsid w:val="05F83EAE"/>
    <w:rsid w:val="05FC17F1"/>
    <w:rsid w:val="06005C5B"/>
    <w:rsid w:val="06160725"/>
    <w:rsid w:val="063256A7"/>
    <w:rsid w:val="063E7D85"/>
    <w:rsid w:val="064E6E54"/>
    <w:rsid w:val="067F5690"/>
    <w:rsid w:val="068A7CDA"/>
    <w:rsid w:val="06984B33"/>
    <w:rsid w:val="06A22BAD"/>
    <w:rsid w:val="06B45A18"/>
    <w:rsid w:val="06B87D9A"/>
    <w:rsid w:val="06BB4F1E"/>
    <w:rsid w:val="06BD1324"/>
    <w:rsid w:val="06C02027"/>
    <w:rsid w:val="06C31735"/>
    <w:rsid w:val="06CC3606"/>
    <w:rsid w:val="06D60232"/>
    <w:rsid w:val="06D80E70"/>
    <w:rsid w:val="06DC12B6"/>
    <w:rsid w:val="06E61A0E"/>
    <w:rsid w:val="06E700FB"/>
    <w:rsid w:val="06F41192"/>
    <w:rsid w:val="06F65204"/>
    <w:rsid w:val="06FE4992"/>
    <w:rsid w:val="070273C5"/>
    <w:rsid w:val="071109B1"/>
    <w:rsid w:val="071170C5"/>
    <w:rsid w:val="07117C44"/>
    <w:rsid w:val="0719559A"/>
    <w:rsid w:val="071F26F5"/>
    <w:rsid w:val="0720170D"/>
    <w:rsid w:val="072100E5"/>
    <w:rsid w:val="07281602"/>
    <w:rsid w:val="07293586"/>
    <w:rsid w:val="07295285"/>
    <w:rsid w:val="07421819"/>
    <w:rsid w:val="075059C9"/>
    <w:rsid w:val="075969D3"/>
    <w:rsid w:val="07636392"/>
    <w:rsid w:val="07732074"/>
    <w:rsid w:val="07770C56"/>
    <w:rsid w:val="077E36C8"/>
    <w:rsid w:val="07992D1A"/>
    <w:rsid w:val="07B624FD"/>
    <w:rsid w:val="07B917DC"/>
    <w:rsid w:val="07B95411"/>
    <w:rsid w:val="07E06900"/>
    <w:rsid w:val="080360A9"/>
    <w:rsid w:val="080761BF"/>
    <w:rsid w:val="08082981"/>
    <w:rsid w:val="081562BF"/>
    <w:rsid w:val="081C1B98"/>
    <w:rsid w:val="08234B28"/>
    <w:rsid w:val="08290F41"/>
    <w:rsid w:val="083E14AA"/>
    <w:rsid w:val="08425F4F"/>
    <w:rsid w:val="086C1F0B"/>
    <w:rsid w:val="087A15EE"/>
    <w:rsid w:val="087F30FE"/>
    <w:rsid w:val="08802C41"/>
    <w:rsid w:val="08877692"/>
    <w:rsid w:val="088B38E8"/>
    <w:rsid w:val="088B6967"/>
    <w:rsid w:val="08922FB0"/>
    <w:rsid w:val="08954CCB"/>
    <w:rsid w:val="08975E28"/>
    <w:rsid w:val="08A469EF"/>
    <w:rsid w:val="08B0090C"/>
    <w:rsid w:val="08B457E2"/>
    <w:rsid w:val="08CA18FF"/>
    <w:rsid w:val="08CB297A"/>
    <w:rsid w:val="08CC0F56"/>
    <w:rsid w:val="08DA58EC"/>
    <w:rsid w:val="08E80148"/>
    <w:rsid w:val="08F0680D"/>
    <w:rsid w:val="08F813B7"/>
    <w:rsid w:val="090C1A97"/>
    <w:rsid w:val="092217DD"/>
    <w:rsid w:val="093147EB"/>
    <w:rsid w:val="09323F63"/>
    <w:rsid w:val="093A7294"/>
    <w:rsid w:val="094C1AEC"/>
    <w:rsid w:val="094D1363"/>
    <w:rsid w:val="095B77F1"/>
    <w:rsid w:val="09794F06"/>
    <w:rsid w:val="09847AAD"/>
    <w:rsid w:val="098C1028"/>
    <w:rsid w:val="099618CA"/>
    <w:rsid w:val="09A37AC1"/>
    <w:rsid w:val="09CB2A0A"/>
    <w:rsid w:val="09CD4CAB"/>
    <w:rsid w:val="09EE2607"/>
    <w:rsid w:val="0A006182"/>
    <w:rsid w:val="0A076E0B"/>
    <w:rsid w:val="0A0D5B37"/>
    <w:rsid w:val="0A103472"/>
    <w:rsid w:val="0A1918A8"/>
    <w:rsid w:val="0A1C3F3A"/>
    <w:rsid w:val="0A263993"/>
    <w:rsid w:val="0A29665F"/>
    <w:rsid w:val="0A2D3AC2"/>
    <w:rsid w:val="0A2E5787"/>
    <w:rsid w:val="0A39030D"/>
    <w:rsid w:val="0A455F47"/>
    <w:rsid w:val="0A4E6C8D"/>
    <w:rsid w:val="0A5D4E8B"/>
    <w:rsid w:val="0A603E33"/>
    <w:rsid w:val="0A7463B1"/>
    <w:rsid w:val="0A766D81"/>
    <w:rsid w:val="0A9C5080"/>
    <w:rsid w:val="0AA755DF"/>
    <w:rsid w:val="0AAF5911"/>
    <w:rsid w:val="0ABB596C"/>
    <w:rsid w:val="0AD10229"/>
    <w:rsid w:val="0ADB7949"/>
    <w:rsid w:val="0B120D44"/>
    <w:rsid w:val="0B194F14"/>
    <w:rsid w:val="0B2A198E"/>
    <w:rsid w:val="0B2B22E2"/>
    <w:rsid w:val="0B35473F"/>
    <w:rsid w:val="0B365292"/>
    <w:rsid w:val="0B3728C3"/>
    <w:rsid w:val="0B3B6EAD"/>
    <w:rsid w:val="0B524E68"/>
    <w:rsid w:val="0B697D67"/>
    <w:rsid w:val="0B6A7004"/>
    <w:rsid w:val="0B6E75A0"/>
    <w:rsid w:val="0B762674"/>
    <w:rsid w:val="0B7D59B8"/>
    <w:rsid w:val="0B8371E7"/>
    <w:rsid w:val="0B8972DA"/>
    <w:rsid w:val="0B8F1923"/>
    <w:rsid w:val="0B90004E"/>
    <w:rsid w:val="0B9D7180"/>
    <w:rsid w:val="0BAC5A80"/>
    <w:rsid w:val="0BAD4015"/>
    <w:rsid w:val="0BB22CB6"/>
    <w:rsid w:val="0BBD68BC"/>
    <w:rsid w:val="0BD27BF6"/>
    <w:rsid w:val="0BD9399E"/>
    <w:rsid w:val="0BDD7B54"/>
    <w:rsid w:val="0BFE1315"/>
    <w:rsid w:val="0C0D57DC"/>
    <w:rsid w:val="0C13423E"/>
    <w:rsid w:val="0C185017"/>
    <w:rsid w:val="0C235434"/>
    <w:rsid w:val="0C285F74"/>
    <w:rsid w:val="0C292669"/>
    <w:rsid w:val="0C2F50A5"/>
    <w:rsid w:val="0C323ABB"/>
    <w:rsid w:val="0C3871AA"/>
    <w:rsid w:val="0C3B3C7D"/>
    <w:rsid w:val="0C3E584B"/>
    <w:rsid w:val="0C4E6D5D"/>
    <w:rsid w:val="0C554C00"/>
    <w:rsid w:val="0C555E69"/>
    <w:rsid w:val="0C5679C9"/>
    <w:rsid w:val="0C642BA6"/>
    <w:rsid w:val="0C6B4A3B"/>
    <w:rsid w:val="0C707ADF"/>
    <w:rsid w:val="0C7163A9"/>
    <w:rsid w:val="0C983008"/>
    <w:rsid w:val="0C9A31AC"/>
    <w:rsid w:val="0C9B333C"/>
    <w:rsid w:val="0CA5051D"/>
    <w:rsid w:val="0CA84366"/>
    <w:rsid w:val="0CAA46B0"/>
    <w:rsid w:val="0CAB2EAE"/>
    <w:rsid w:val="0CAD4AA6"/>
    <w:rsid w:val="0CB864C3"/>
    <w:rsid w:val="0CBE599D"/>
    <w:rsid w:val="0CC47CDD"/>
    <w:rsid w:val="0CCD07C7"/>
    <w:rsid w:val="0CD03BA3"/>
    <w:rsid w:val="0CDB18C3"/>
    <w:rsid w:val="0CDF1418"/>
    <w:rsid w:val="0CDF3436"/>
    <w:rsid w:val="0CE37B44"/>
    <w:rsid w:val="0CEC42B6"/>
    <w:rsid w:val="0D0168F5"/>
    <w:rsid w:val="0D16196F"/>
    <w:rsid w:val="0D344C9A"/>
    <w:rsid w:val="0D41743B"/>
    <w:rsid w:val="0D4C6D1A"/>
    <w:rsid w:val="0D5D6100"/>
    <w:rsid w:val="0D621C7D"/>
    <w:rsid w:val="0D682B26"/>
    <w:rsid w:val="0D80306D"/>
    <w:rsid w:val="0D89360E"/>
    <w:rsid w:val="0D8F03DD"/>
    <w:rsid w:val="0D902C90"/>
    <w:rsid w:val="0D9111F9"/>
    <w:rsid w:val="0D912D96"/>
    <w:rsid w:val="0D97148C"/>
    <w:rsid w:val="0D993A97"/>
    <w:rsid w:val="0DA33829"/>
    <w:rsid w:val="0DA9588F"/>
    <w:rsid w:val="0DB1514A"/>
    <w:rsid w:val="0DB466C0"/>
    <w:rsid w:val="0DD0273E"/>
    <w:rsid w:val="0DD74135"/>
    <w:rsid w:val="0DDD04E2"/>
    <w:rsid w:val="0DDD3A78"/>
    <w:rsid w:val="0DF0205A"/>
    <w:rsid w:val="0DF84F11"/>
    <w:rsid w:val="0E0436CB"/>
    <w:rsid w:val="0E06766D"/>
    <w:rsid w:val="0E1446AE"/>
    <w:rsid w:val="0E194F8A"/>
    <w:rsid w:val="0E1B5B96"/>
    <w:rsid w:val="0E1C062B"/>
    <w:rsid w:val="0E206853"/>
    <w:rsid w:val="0E251AD6"/>
    <w:rsid w:val="0E2E564C"/>
    <w:rsid w:val="0E6E7F70"/>
    <w:rsid w:val="0E73034D"/>
    <w:rsid w:val="0E750434"/>
    <w:rsid w:val="0E813530"/>
    <w:rsid w:val="0EA72C52"/>
    <w:rsid w:val="0EAB1A16"/>
    <w:rsid w:val="0EB421B3"/>
    <w:rsid w:val="0EB55E18"/>
    <w:rsid w:val="0EC71E70"/>
    <w:rsid w:val="0EC95F88"/>
    <w:rsid w:val="0ED1240D"/>
    <w:rsid w:val="0ED23919"/>
    <w:rsid w:val="0EE45A4C"/>
    <w:rsid w:val="0EE62741"/>
    <w:rsid w:val="0EF51CF6"/>
    <w:rsid w:val="0EFB6FF9"/>
    <w:rsid w:val="0F092338"/>
    <w:rsid w:val="0F1133DD"/>
    <w:rsid w:val="0F1357F4"/>
    <w:rsid w:val="0F13775A"/>
    <w:rsid w:val="0F191752"/>
    <w:rsid w:val="0F1B31F6"/>
    <w:rsid w:val="0F413C4E"/>
    <w:rsid w:val="0F420240"/>
    <w:rsid w:val="0F4E63D6"/>
    <w:rsid w:val="0F5032CB"/>
    <w:rsid w:val="0F526D0B"/>
    <w:rsid w:val="0F5E4981"/>
    <w:rsid w:val="0F5F45FE"/>
    <w:rsid w:val="0F7376CD"/>
    <w:rsid w:val="0F7845C6"/>
    <w:rsid w:val="0F846148"/>
    <w:rsid w:val="0F874E0B"/>
    <w:rsid w:val="0F97746F"/>
    <w:rsid w:val="0F9A112B"/>
    <w:rsid w:val="0F9D4F15"/>
    <w:rsid w:val="0FAF4E02"/>
    <w:rsid w:val="0FBC592A"/>
    <w:rsid w:val="0FBE1D7C"/>
    <w:rsid w:val="0FC014C9"/>
    <w:rsid w:val="0FCC15FB"/>
    <w:rsid w:val="0FCE6887"/>
    <w:rsid w:val="0FD22C45"/>
    <w:rsid w:val="0FD5525D"/>
    <w:rsid w:val="0FE95F68"/>
    <w:rsid w:val="0FF9376A"/>
    <w:rsid w:val="0FFB337E"/>
    <w:rsid w:val="100967D5"/>
    <w:rsid w:val="10097194"/>
    <w:rsid w:val="100A568D"/>
    <w:rsid w:val="10245CB9"/>
    <w:rsid w:val="102F7B7E"/>
    <w:rsid w:val="103D6988"/>
    <w:rsid w:val="10442659"/>
    <w:rsid w:val="1052575E"/>
    <w:rsid w:val="106D2F64"/>
    <w:rsid w:val="10914B50"/>
    <w:rsid w:val="10B404D4"/>
    <w:rsid w:val="10B47237"/>
    <w:rsid w:val="10B63710"/>
    <w:rsid w:val="10C5426F"/>
    <w:rsid w:val="10C64297"/>
    <w:rsid w:val="10D21F9C"/>
    <w:rsid w:val="10DC0926"/>
    <w:rsid w:val="10DE6F53"/>
    <w:rsid w:val="10F10820"/>
    <w:rsid w:val="10FD6DF5"/>
    <w:rsid w:val="110B2096"/>
    <w:rsid w:val="110D7486"/>
    <w:rsid w:val="11115853"/>
    <w:rsid w:val="111C2F7A"/>
    <w:rsid w:val="11264D89"/>
    <w:rsid w:val="113869B9"/>
    <w:rsid w:val="11431513"/>
    <w:rsid w:val="11447499"/>
    <w:rsid w:val="11457281"/>
    <w:rsid w:val="11596414"/>
    <w:rsid w:val="11654375"/>
    <w:rsid w:val="11665CA1"/>
    <w:rsid w:val="118733D2"/>
    <w:rsid w:val="11906276"/>
    <w:rsid w:val="11935609"/>
    <w:rsid w:val="1197035E"/>
    <w:rsid w:val="11976BC9"/>
    <w:rsid w:val="11A04BDC"/>
    <w:rsid w:val="11B1007F"/>
    <w:rsid w:val="11B221AD"/>
    <w:rsid w:val="11B26AE5"/>
    <w:rsid w:val="11B545F6"/>
    <w:rsid w:val="11B86A77"/>
    <w:rsid w:val="11BA321F"/>
    <w:rsid w:val="11BE49AE"/>
    <w:rsid w:val="11C3192B"/>
    <w:rsid w:val="12127910"/>
    <w:rsid w:val="121B12B6"/>
    <w:rsid w:val="121E1FF4"/>
    <w:rsid w:val="12430EE1"/>
    <w:rsid w:val="12477972"/>
    <w:rsid w:val="124C0C35"/>
    <w:rsid w:val="124F533A"/>
    <w:rsid w:val="126A7326"/>
    <w:rsid w:val="126F5AFB"/>
    <w:rsid w:val="127721FE"/>
    <w:rsid w:val="127930BF"/>
    <w:rsid w:val="12793764"/>
    <w:rsid w:val="12800F25"/>
    <w:rsid w:val="1289699C"/>
    <w:rsid w:val="128E1828"/>
    <w:rsid w:val="12912F47"/>
    <w:rsid w:val="12A65932"/>
    <w:rsid w:val="12AF6CCB"/>
    <w:rsid w:val="12BA1B2B"/>
    <w:rsid w:val="12BD4A68"/>
    <w:rsid w:val="12CC0999"/>
    <w:rsid w:val="12F03D8E"/>
    <w:rsid w:val="13067EBE"/>
    <w:rsid w:val="131C501B"/>
    <w:rsid w:val="132E0D6C"/>
    <w:rsid w:val="13303138"/>
    <w:rsid w:val="134871BD"/>
    <w:rsid w:val="134936B5"/>
    <w:rsid w:val="134A5BF4"/>
    <w:rsid w:val="134D1350"/>
    <w:rsid w:val="135C54E2"/>
    <w:rsid w:val="13631E88"/>
    <w:rsid w:val="136628C7"/>
    <w:rsid w:val="136C21BA"/>
    <w:rsid w:val="136D12F7"/>
    <w:rsid w:val="137965E2"/>
    <w:rsid w:val="13833E2E"/>
    <w:rsid w:val="138544D9"/>
    <w:rsid w:val="138D7C0D"/>
    <w:rsid w:val="138F0154"/>
    <w:rsid w:val="13951726"/>
    <w:rsid w:val="13BD70DD"/>
    <w:rsid w:val="13C84B8C"/>
    <w:rsid w:val="13D027C1"/>
    <w:rsid w:val="13DC0F5B"/>
    <w:rsid w:val="13E028D9"/>
    <w:rsid w:val="13EE4485"/>
    <w:rsid w:val="13F602CF"/>
    <w:rsid w:val="13F97E8D"/>
    <w:rsid w:val="13FA20FC"/>
    <w:rsid w:val="140C6840"/>
    <w:rsid w:val="14134F9C"/>
    <w:rsid w:val="143446E4"/>
    <w:rsid w:val="14357FCD"/>
    <w:rsid w:val="14396509"/>
    <w:rsid w:val="143C2A55"/>
    <w:rsid w:val="14544A1A"/>
    <w:rsid w:val="145941BD"/>
    <w:rsid w:val="14637E6F"/>
    <w:rsid w:val="14782F8F"/>
    <w:rsid w:val="1479268F"/>
    <w:rsid w:val="147A018A"/>
    <w:rsid w:val="147E4EA2"/>
    <w:rsid w:val="14832F93"/>
    <w:rsid w:val="14842700"/>
    <w:rsid w:val="148767E8"/>
    <w:rsid w:val="14C33083"/>
    <w:rsid w:val="14CF3F6F"/>
    <w:rsid w:val="14D62C80"/>
    <w:rsid w:val="14DD2C3C"/>
    <w:rsid w:val="14FB0C4D"/>
    <w:rsid w:val="14FF4731"/>
    <w:rsid w:val="151C69CA"/>
    <w:rsid w:val="1538062E"/>
    <w:rsid w:val="153E27FD"/>
    <w:rsid w:val="154D7229"/>
    <w:rsid w:val="155A1FBD"/>
    <w:rsid w:val="155D129E"/>
    <w:rsid w:val="156200F7"/>
    <w:rsid w:val="15695999"/>
    <w:rsid w:val="156E3F6E"/>
    <w:rsid w:val="157064C4"/>
    <w:rsid w:val="15794017"/>
    <w:rsid w:val="15A674EE"/>
    <w:rsid w:val="15AD5046"/>
    <w:rsid w:val="15B12025"/>
    <w:rsid w:val="15BC6361"/>
    <w:rsid w:val="15CB0FAE"/>
    <w:rsid w:val="15D32889"/>
    <w:rsid w:val="16087E1D"/>
    <w:rsid w:val="16174247"/>
    <w:rsid w:val="16180516"/>
    <w:rsid w:val="161C7E24"/>
    <w:rsid w:val="162353E0"/>
    <w:rsid w:val="162C2E35"/>
    <w:rsid w:val="162D6236"/>
    <w:rsid w:val="16361FEB"/>
    <w:rsid w:val="163D328B"/>
    <w:rsid w:val="164D39DB"/>
    <w:rsid w:val="164E6E11"/>
    <w:rsid w:val="164F637C"/>
    <w:rsid w:val="16593A94"/>
    <w:rsid w:val="165D143A"/>
    <w:rsid w:val="16621764"/>
    <w:rsid w:val="1666236F"/>
    <w:rsid w:val="167D44E9"/>
    <w:rsid w:val="168C3E87"/>
    <w:rsid w:val="16907729"/>
    <w:rsid w:val="169667B3"/>
    <w:rsid w:val="169B7FBB"/>
    <w:rsid w:val="16AD22AA"/>
    <w:rsid w:val="16B802F7"/>
    <w:rsid w:val="16D11CF0"/>
    <w:rsid w:val="16D500C4"/>
    <w:rsid w:val="16D60387"/>
    <w:rsid w:val="16D7224F"/>
    <w:rsid w:val="16D83941"/>
    <w:rsid w:val="170E0C92"/>
    <w:rsid w:val="17221EA8"/>
    <w:rsid w:val="1727546E"/>
    <w:rsid w:val="17385527"/>
    <w:rsid w:val="173919AC"/>
    <w:rsid w:val="175E075A"/>
    <w:rsid w:val="17650515"/>
    <w:rsid w:val="17656229"/>
    <w:rsid w:val="176B2436"/>
    <w:rsid w:val="17701D14"/>
    <w:rsid w:val="17735226"/>
    <w:rsid w:val="177546B9"/>
    <w:rsid w:val="177719C0"/>
    <w:rsid w:val="17821782"/>
    <w:rsid w:val="17823CB0"/>
    <w:rsid w:val="17830B9D"/>
    <w:rsid w:val="1783368C"/>
    <w:rsid w:val="178E661A"/>
    <w:rsid w:val="179C68E6"/>
    <w:rsid w:val="17A81D53"/>
    <w:rsid w:val="17BE06CD"/>
    <w:rsid w:val="17C877A3"/>
    <w:rsid w:val="17D41E3B"/>
    <w:rsid w:val="17D443B0"/>
    <w:rsid w:val="17D93AF0"/>
    <w:rsid w:val="17D9675F"/>
    <w:rsid w:val="17E25038"/>
    <w:rsid w:val="17ED65F0"/>
    <w:rsid w:val="180F1B30"/>
    <w:rsid w:val="181662C4"/>
    <w:rsid w:val="18167069"/>
    <w:rsid w:val="181A50EE"/>
    <w:rsid w:val="182A5930"/>
    <w:rsid w:val="1835162E"/>
    <w:rsid w:val="18413835"/>
    <w:rsid w:val="18431402"/>
    <w:rsid w:val="18561AEE"/>
    <w:rsid w:val="185D78D1"/>
    <w:rsid w:val="18605678"/>
    <w:rsid w:val="1872446E"/>
    <w:rsid w:val="187C525E"/>
    <w:rsid w:val="188E0927"/>
    <w:rsid w:val="188F471A"/>
    <w:rsid w:val="189F624C"/>
    <w:rsid w:val="18AB1FD6"/>
    <w:rsid w:val="18B14926"/>
    <w:rsid w:val="18B27041"/>
    <w:rsid w:val="18B52DD6"/>
    <w:rsid w:val="18C3386E"/>
    <w:rsid w:val="18D02A73"/>
    <w:rsid w:val="18E8716D"/>
    <w:rsid w:val="18F3386B"/>
    <w:rsid w:val="19141A55"/>
    <w:rsid w:val="191B37B2"/>
    <w:rsid w:val="191D6DF9"/>
    <w:rsid w:val="192262ED"/>
    <w:rsid w:val="19357733"/>
    <w:rsid w:val="19415E99"/>
    <w:rsid w:val="19446D97"/>
    <w:rsid w:val="195028A7"/>
    <w:rsid w:val="19593CEC"/>
    <w:rsid w:val="19685986"/>
    <w:rsid w:val="19733D66"/>
    <w:rsid w:val="1999021A"/>
    <w:rsid w:val="19A21B87"/>
    <w:rsid w:val="19A718A0"/>
    <w:rsid w:val="19B176AC"/>
    <w:rsid w:val="19C16326"/>
    <w:rsid w:val="19E24F53"/>
    <w:rsid w:val="19FB2A74"/>
    <w:rsid w:val="19FE0CF0"/>
    <w:rsid w:val="19FE2FE7"/>
    <w:rsid w:val="1A1205FF"/>
    <w:rsid w:val="1A1C66C0"/>
    <w:rsid w:val="1A42393B"/>
    <w:rsid w:val="1A4411FC"/>
    <w:rsid w:val="1A4A44F3"/>
    <w:rsid w:val="1A546C6F"/>
    <w:rsid w:val="1A592389"/>
    <w:rsid w:val="1A59481E"/>
    <w:rsid w:val="1A5C3FC1"/>
    <w:rsid w:val="1A626CFC"/>
    <w:rsid w:val="1A702842"/>
    <w:rsid w:val="1A72257E"/>
    <w:rsid w:val="1A797FF5"/>
    <w:rsid w:val="1A890C9F"/>
    <w:rsid w:val="1A8C3B22"/>
    <w:rsid w:val="1A8D7D34"/>
    <w:rsid w:val="1AAB2282"/>
    <w:rsid w:val="1AAD45DE"/>
    <w:rsid w:val="1AB41954"/>
    <w:rsid w:val="1ACA5C93"/>
    <w:rsid w:val="1ADA7F5F"/>
    <w:rsid w:val="1ADE0D3F"/>
    <w:rsid w:val="1AE20A67"/>
    <w:rsid w:val="1AE33F37"/>
    <w:rsid w:val="1AE96C99"/>
    <w:rsid w:val="1AEE4BE8"/>
    <w:rsid w:val="1AF037A6"/>
    <w:rsid w:val="1B015BFF"/>
    <w:rsid w:val="1B046F80"/>
    <w:rsid w:val="1B094068"/>
    <w:rsid w:val="1B102C3E"/>
    <w:rsid w:val="1B2A5CB9"/>
    <w:rsid w:val="1B3267B5"/>
    <w:rsid w:val="1B40161D"/>
    <w:rsid w:val="1B441859"/>
    <w:rsid w:val="1B45079B"/>
    <w:rsid w:val="1B4625CB"/>
    <w:rsid w:val="1B495A06"/>
    <w:rsid w:val="1B514577"/>
    <w:rsid w:val="1B6606B1"/>
    <w:rsid w:val="1B6954D9"/>
    <w:rsid w:val="1B73766C"/>
    <w:rsid w:val="1B7E66FC"/>
    <w:rsid w:val="1B7F7576"/>
    <w:rsid w:val="1B9733D8"/>
    <w:rsid w:val="1BAC7BFB"/>
    <w:rsid w:val="1BC3582B"/>
    <w:rsid w:val="1BC415B1"/>
    <w:rsid w:val="1BC52FD4"/>
    <w:rsid w:val="1BE050F6"/>
    <w:rsid w:val="1BE47C65"/>
    <w:rsid w:val="1C031237"/>
    <w:rsid w:val="1C072B9A"/>
    <w:rsid w:val="1C083B28"/>
    <w:rsid w:val="1C18590B"/>
    <w:rsid w:val="1C2E27ED"/>
    <w:rsid w:val="1C350E90"/>
    <w:rsid w:val="1C4C48B4"/>
    <w:rsid w:val="1C5E7925"/>
    <w:rsid w:val="1C676027"/>
    <w:rsid w:val="1C7A2ADF"/>
    <w:rsid w:val="1C7B2C6C"/>
    <w:rsid w:val="1C7D7FA9"/>
    <w:rsid w:val="1C8672B4"/>
    <w:rsid w:val="1C8F2F99"/>
    <w:rsid w:val="1CA14558"/>
    <w:rsid w:val="1CA620DB"/>
    <w:rsid w:val="1CAE47FC"/>
    <w:rsid w:val="1CBD1816"/>
    <w:rsid w:val="1CBF48F9"/>
    <w:rsid w:val="1CC154C9"/>
    <w:rsid w:val="1CC23FD9"/>
    <w:rsid w:val="1CD25D85"/>
    <w:rsid w:val="1CD765BB"/>
    <w:rsid w:val="1CDF7594"/>
    <w:rsid w:val="1CFC0F98"/>
    <w:rsid w:val="1CFD070F"/>
    <w:rsid w:val="1D0E2B1F"/>
    <w:rsid w:val="1D193C98"/>
    <w:rsid w:val="1D1B0893"/>
    <w:rsid w:val="1D26645D"/>
    <w:rsid w:val="1D2A735E"/>
    <w:rsid w:val="1D2B2A89"/>
    <w:rsid w:val="1D36639F"/>
    <w:rsid w:val="1D404DDA"/>
    <w:rsid w:val="1D5C088D"/>
    <w:rsid w:val="1D5F6196"/>
    <w:rsid w:val="1D602BDA"/>
    <w:rsid w:val="1D6132A5"/>
    <w:rsid w:val="1D625974"/>
    <w:rsid w:val="1D6703A5"/>
    <w:rsid w:val="1D7618B6"/>
    <w:rsid w:val="1D774366"/>
    <w:rsid w:val="1D884879"/>
    <w:rsid w:val="1D8E56D5"/>
    <w:rsid w:val="1D8F0D79"/>
    <w:rsid w:val="1D9D63BE"/>
    <w:rsid w:val="1DEA664E"/>
    <w:rsid w:val="1DEF16CE"/>
    <w:rsid w:val="1E151B43"/>
    <w:rsid w:val="1E2C6878"/>
    <w:rsid w:val="1E344206"/>
    <w:rsid w:val="1E583C83"/>
    <w:rsid w:val="1E585CEF"/>
    <w:rsid w:val="1E5C267E"/>
    <w:rsid w:val="1E6A6C6A"/>
    <w:rsid w:val="1E6B2668"/>
    <w:rsid w:val="1E6E6EAD"/>
    <w:rsid w:val="1E7A43DA"/>
    <w:rsid w:val="1E7A622D"/>
    <w:rsid w:val="1E7A7077"/>
    <w:rsid w:val="1EA85289"/>
    <w:rsid w:val="1EAA3DA8"/>
    <w:rsid w:val="1EAC6BD9"/>
    <w:rsid w:val="1EAF0346"/>
    <w:rsid w:val="1EBD1F5C"/>
    <w:rsid w:val="1EBE5A27"/>
    <w:rsid w:val="1EC51720"/>
    <w:rsid w:val="1EC81D0D"/>
    <w:rsid w:val="1ECB5A9A"/>
    <w:rsid w:val="1ECE048F"/>
    <w:rsid w:val="1EE45DF5"/>
    <w:rsid w:val="1F011176"/>
    <w:rsid w:val="1F036064"/>
    <w:rsid w:val="1F0A5B2A"/>
    <w:rsid w:val="1F0D67C1"/>
    <w:rsid w:val="1F1A4511"/>
    <w:rsid w:val="1F34462A"/>
    <w:rsid w:val="1F5334AC"/>
    <w:rsid w:val="1F867BCB"/>
    <w:rsid w:val="1F942B24"/>
    <w:rsid w:val="1FA04D42"/>
    <w:rsid w:val="1FAD52F6"/>
    <w:rsid w:val="1FAE0E4E"/>
    <w:rsid w:val="1FB36B89"/>
    <w:rsid w:val="1FCB1C4C"/>
    <w:rsid w:val="1FDA137F"/>
    <w:rsid w:val="1FDC16B5"/>
    <w:rsid w:val="1FE175EF"/>
    <w:rsid w:val="1FE7539E"/>
    <w:rsid w:val="20025FB3"/>
    <w:rsid w:val="200710F2"/>
    <w:rsid w:val="200B6030"/>
    <w:rsid w:val="200F4604"/>
    <w:rsid w:val="20110BB9"/>
    <w:rsid w:val="201125A5"/>
    <w:rsid w:val="20374174"/>
    <w:rsid w:val="203A4B08"/>
    <w:rsid w:val="20671BE0"/>
    <w:rsid w:val="206754A4"/>
    <w:rsid w:val="206B4AB1"/>
    <w:rsid w:val="20745F74"/>
    <w:rsid w:val="20944A59"/>
    <w:rsid w:val="20963CB8"/>
    <w:rsid w:val="20991A5F"/>
    <w:rsid w:val="209B4FC0"/>
    <w:rsid w:val="20A10707"/>
    <w:rsid w:val="20A276D9"/>
    <w:rsid w:val="20A31CD0"/>
    <w:rsid w:val="20A81A1B"/>
    <w:rsid w:val="20AC3FDF"/>
    <w:rsid w:val="20B07FB6"/>
    <w:rsid w:val="20B253FE"/>
    <w:rsid w:val="20B646FB"/>
    <w:rsid w:val="20BC2A63"/>
    <w:rsid w:val="20C163DA"/>
    <w:rsid w:val="20E149DF"/>
    <w:rsid w:val="20E33045"/>
    <w:rsid w:val="20EE0176"/>
    <w:rsid w:val="20F84F22"/>
    <w:rsid w:val="20FD4841"/>
    <w:rsid w:val="20FF51FA"/>
    <w:rsid w:val="21010BB6"/>
    <w:rsid w:val="21012435"/>
    <w:rsid w:val="21142EDB"/>
    <w:rsid w:val="21143078"/>
    <w:rsid w:val="21207740"/>
    <w:rsid w:val="2128140B"/>
    <w:rsid w:val="212F056A"/>
    <w:rsid w:val="213B74B1"/>
    <w:rsid w:val="214634C5"/>
    <w:rsid w:val="21571886"/>
    <w:rsid w:val="215A2310"/>
    <w:rsid w:val="215E7D89"/>
    <w:rsid w:val="215F79AB"/>
    <w:rsid w:val="216D586D"/>
    <w:rsid w:val="21867EC3"/>
    <w:rsid w:val="218C6C9B"/>
    <w:rsid w:val="21B42E04"/>
    <w:rsid w:val="21B55438"/>
    <w:rsid w:val="21C11D59"/>
    <w:rsid w:val="21DE318A"/>
    <w:rsid w:val="21E728C2"/>
    <w:rsid w:val="21EF5B80"/>
    <w:rsid w:val="21F3338F"/>
    <w:rsid w:val="22105D2B"/>
    <w:rsid w:val="221205BF"/>
    <w:rsid w:val="22132666"/>
    <w:rsid w:val="221F3971"/>
    <w:rsid w:val="22217FE4"/>
    <w:rsid w:val="222945F0"/>
    <w:rsid w:val="223E7FB5"/>
    <w:rsid w:val="22440A96"/>
    <w:rsid w:val="224B4C3D"/>
    <w:rsid w:val="225224EB"/>
    <w:rsid w:val="22536CD9"/>
    <w:rsid w:val="22576990"/>
    <w:rsid w:val="22596FDB"/>
    <w:rsid w:val="225B1ED5"/>
    <w:rsid w:val="22644BF5"/>
    <w:rsid w:val="22667BA0"/>
    <w:rsid w:val="2269729F"/>
    <w:rsid w:val="227640F6"/>
    <w:rsid w:val="22836B8B"/>
    <w:rsid w:val="228E2A6F"/>
    <w:rsid w:val="22935A5E"/>
    <w:rsid w:val="2295250D"/>
    <w:rsid w:val="229705E3"/>
    <w:rsid w:val="229B5423"/>
    <w:rsid w:val="229C09F9"/>
    <w:rsid w:val="229D0B00"/>
    <w:rsid w:val="22A47C4C"/>
    <w:rsid w:val="22C128EA"/>
    <w:rsid w:val="22E274C1"/>
    <w:rsid w:val="22E34E12"/>
    <w:rsid w:val="22ED2BA7"/>
    <w:rsid w:val="22EF1E83"/>
    <w:rsid w:val="22F4634C"/>
    <w:rsid w:val="22F47480"/>
    <w:rsid w:val="22F659AD"/>
    <w:rsid w:val="23161E50"/>
    <w:rsid w:val="23180CDB"/>
    <w:rsid w:val="23217200"/>
    <w:rsid w:val="23236136"/>
    <w:rsid w:val="23277042"/>
    <w:rsid w:val="233D479E"/>
    <w:rsid w:val="23411A1A"/>
    <w:rsid w:val="2343012F"/>
    <w:rsid w:val="23585130"/>
    <w:rsid w:val="235E1A11"/>
    <w:rsid w:val="23632304"/>
    <w:rsid w:val="237B052D"/>
    <w:rsid w:val="238A06F2"/>
    <w:rsid w:val="238B0A7D"/>
    <w:rsid w:val="238B619B"/>
    <w:rsid w:val="238C5BFC"/>
    <w:rsid w:val="23A8274B"/>
    <w:rsid w:val="23B0332E"/>
    <w:rsid w:val="23BF2C16"/>
    <w:rsid w:val="23DB79B7"/>
    <w:rsid w:val="23DE1C48"/>
    <w:rsid w:val="23E57AB0"/>
    <w:rsid w:val="23E86FC8"/>
    <w:rsid w:val="23EE56D9"/>
    <w:rsid w:val="23F32003"/>
    <w:rsid w:val="23FD2549"/>
    <w:rsid w:val="240210CD"/>
    <w:rsid w:val="2416657E"/>
    <w:rsid w:val="24175349"/>
    <w:rsid w:val="241C4DE6"/>
    <w:rsid w:val="24225F0A"/>
    <w:rsid w:val="24296D45"/>
    <w:rsid w:val="242A0EB7"/>
    <w:rsid w:val="242F69DE"/>
    <w:rsid w:val="243104E6"/>
    <w:rsid w:val="24312269"/>
    <w:rsid w:val="243B4080"/>
    <w:rsid w:val="24495EBB"/>
    <w:rsid w:val="244D564C"/>
    <w:rsid w:val="245C24E2"/>
    <w:rsid w:val="245F5E47"/>
    <w:rsid w:val="24726B0F"/>
    <w:rsid w:val="247F1CF8"/>
    <w:rsid w:val="248057B0"/>
    <w:rsid w:val="248070EF"/>
    <w:rsid w:val="24821954"/>
    <w:rsid w:val="248D6EF0"/>
    <w:rsid w:val="249823C3"/>
    <w:rsid w:val="24A962DD"/>
    <w:rsid w:val="24B61647"/>
    <w:rsid w:val="24BF09F7"/>
    <w:rsid w:val="24C607C0"/>
    <w:rsid w:val="24D80A92"/>
    <w:rsid w:val="24F967E7"/>
    <w:rsid w:val="250245E9"/>
    <w:rsid w:val="25215010"/>
    <w:rsid w:val="25223B77"/>
    <w:rsid w:val="25297B36"/>
    <w:rsid w:val="252C3D97"/>
    <w:rsid w:val="252D53FE"/>
    <w:rsid w:val="25404472"/>
    <w:rsid w:val="254D2371"/>
    <w:rsid w:val="2554140E"/>
    <w:rsid w:val="255B6B01"/>
    <w:rsid w:val="258919D2"/>
    <w:rsid w:val="25910421"/>
    <w:rsid w:val="25AB7E8A"/>
    <w:rsid w:val="25BA798D"/>
    <w:rsid w:val="25BC0155"/>
    <w:rsid w:val="25BD6892"/>
    <w:rsid w:val="25D467BE"/>
    <w:rsid w:val="25E50912"/>
    <w:rsid w:val="25EC2D81"/>
    <w:rsid w:val="262C3992"/>
    <w:rsid w:val="263D3F86"/>
    <w:rsid w:val="2643008A"/>
    <w:rsid w:val="2646389F"/>
    <w:rsid w:val="264E251F"/>
    <w:rsid w:val="26530823"/>
    <w:rsid w:val="265336C0"/>
    <w:rsid w:val="26671A07"/>
    <w:rsid w:val="266C42DD"/>
    <w:rsid w:val="267500FC"/>
    <w:rsid w:val="26843157"/>
    <w:rsid w:val="26863C31"/>
    <w:rsid w:val="26920548"/>
    <w:rsid w:val="26A61EC7"/>
    <w:rsid w:val="26A90B42"/>
    <w:rsid w:val="26B0045F"/>
    <w:rsid w:val="26B022AB"/>
    <w:rsid w:val="26BE1F5D"/>
    <w:rsid w:val="26C5486D"/>
    <w:rsid w:val="26E27569"/>
    <w:rsid w:val="26EB0C9A"/>
    <w:rsid w:val="26F66118"/>
    <w:rsid w:val="26FC3498"/>
    <w:rsid w:val="274B343F"/>
    <w:rsid w:val="27536BD8"/>
    <w:rsid w:val="275C43FE"/>
    <w:rsid w:val="275D175D"/>
    <w:rsid w:val="2762659B"/>
    <w:rsid w:val="27692F94"/>
    <w:rsid w:val="277057A2"/>
    <w:rsid w:val="279D3E0A"/>
    <w:rsid w:val="27A12F0E"/>
    <w:rsid w:val="27A53003"/>
    <w:rsid w:val="27A61DF5"/>
    <w:rsid w:val="27B72DFC"/>
    <w:rsid w:val="27B82BA1"/>
    <w:rsid w:val="27BE1EFC"/>
    <w:rsid w:val="27C30177"/>
    <w:rsid w:val="27C70027"/>
    <w:rsid w:val="27D25AEA"/>
    <w:rsid w:val="27DA0E7D"/>
    <w:rsid w:val="27ED6EA5"/>
    <w:rsid w:val="27FB1FCF"/>
    <w:rsid w:val="28136565"/>
    <w:rsid w:val="281A2547"/>
    <w:rsid w:val="28241F3E"/>
    <w:rsid w:val="2826515E"/>
    <w:rsid w:val="282C5B36"/>
    <w:rsid w:val="2840682A"/>
    <w:rsid w:val="2840766B"/>
    <w:rsid w:val="284452BF"/>
    <w:rsid w:val="28590410"/>
    <w:rsid w:val="285D5D17"/>
    <w:rsid w:val="28621702"/>
    <w:rsid w:val="2874766B"/>
    <w:rsid w:val="28821BA9"/>
    <w:rsid w:val="288272D2"/>
    <w:rsid w:val="28846F29"/>
    <w:rsid w:val="288E53EF"/>
    <w:rsid w:val="289C4575"/>
    <w:rsid w:val="28A874A4"/>
    <w:rsid w:val="28AD1E92"/>
    <w:rsid w:val="28AE71C8"/>
    <w:rsid w:val="28B3523D"/>
    <w:rsid w:val="28B85256"/>
    <w:rsid w:val="28B93BAE"/>
    <w:rsid w:val="28C66573"/>
    <w:rsid w:val="28CB4886"/>
    <w:rsid w:val="28CB7CF0"/>
    <w:rsid w:val="28CC6C39"/>
    <w:rsid w:val="28DB6C2B"/>
    <w:rsid w:val="28DC39F2"/>
    <w:rsid w:val="28E62B38"/>
    <w:rsid w:val="28EE10EC"/>
    <w:rsid w:val="28F80B92"/>
    <w:rsid w:val="29043C32"/>
    <w:rsid w:val="290E2974"/>
    <w:rsid w:val="291B0EC3"/>
    <w:rsid w:val="291C3234"/>
    <w:rsid w:val="29206EB8"/>
    <w:rsid w:val="2922389B"/>
    <w:rsid w:val="2927490B"/>
    <w:rsid w:val="29363E05"/>
    <w:rsid w:val="294C69AF"/>
    <w:rsid w:val="295511F6"/>
    <w:rsid w:val="29593E81"/>
    <w:rsid w:val="29595666"/>
    <w:rsid w:val="296462E6"/>
    <w:rsid w:val="296F1B2D"/>
    <w:rsid w:val="297A0220"/>
    <w:rsid w:val="29803C36"/>
    <w:rsid w:val="29874881"/>
    <w:rsid w:val="2989402E"/>
    <w:rsid w:val="298B6E6F"/>
    <w:rsid w:val="298E0E17"/>
    <w:rsid w:val="29C84069"/>
    <w:rsid w:val="29DF5B75"/>
    <w:rsid w:val="29E325E0"/>
    <w:rsid w:val="29EF42B3"/>
    <w:rsid w:val="29F02250"/>
    <w:rsid w:val="29F408F2"/>
    <w:rsid w:val="29FD73CD"/>
    <w:rsid w:val="29FE4A1D"/>
    <w:rsid w:val="2A324066"/>
    <w:rsid w:val="2A3A7787"/>
    <w:rsid w:val="2A452503"/>
    <w:rsid w:val="2A473F80"/>
    <w:rsid w:val="2A4B1D76"/>
    <w:rsid w:val="2A5D182E"/>
    <w:rsid w:val="2A6756DC"/>
    <w:rsid w:val="2A6E07F2"/>
    <w:rsid w:val="2A7B18EC"/>
    <w:rsid w:val="2A80371A"/>
    <w:rsid w:val="2A862C60"/>
    <w:rsid w:val="2A8E06A9"/>
    <w:rsid w:val="2AAC4C28"/>
    <w:rsid w:val="2AB07BF5"/>
    <w:rsid w:val="2AB22526"/>
    <w:rsid w:val="2AB6179B"/>
    <w:rsid w:val="2AB61EA0"/>
    <w:rsid w:val="2AC7381B"/>
    <w:rsid w:val="2AD263AB"/>
    <w:rsid w:val="2AD95327"/>
    <w:rsid w:val="2ADA19A9"/>
    <w:rsid w:val="2AF513CA"/>
    <w:rsid w:val="2B05532C"/>
    <w:rsid w:val="2B093967"/>
    <w:rsid w:val="2B0A7CA2"/>
    <w:rsid w:val="2B0A7E60"/>
    <w:rsid w:val="2B0E7932"/>
    <w:rsid w:val="2B175D06"/>
    <w:rsid w:val="2B1A4A74"/>
    <w:rsid w:val="2B1F4CF8"/>
    <w:rsid w:val="2B1F749C"/>
    <w:rsid w:val="2B431FAB"/>
    <w:rsid w:val="2B517540"/>
    <w:rsid w:val="2B5512A5"/>
    <w:rsid w:val="2B59596D"/>
    <w:rsid w:val="2B6F27E4"/>
    <w:rsid w:val="2B7B542A"/>
    <w:rsid w:val="2B8239F9"/>
    <w:rsid w:val="2B855CAF"/>
    <w:rsid w:val="2B870513"/>
    <w:rsid w:val="2B8B3A82"/>
    <w:rsid w:val="2B997A8A"/>
    <w:rsid w:val="2BA04C63"/>
    <w:rsid w:val="2BA3303D"/>
    <w:rsid w:val="2BA936A8"/>
    <w:rsid w:val="2BCC198B"/>
    <w:rsid w:val="2BED2554"/>
    <w:rsid w:val="2BEF76CB"/>
    <w:rsid w:val="2C1539FF"/>
    <w:rsid w:val="2C1C6B3E"/>
    <w:rsid w:val="2C212DE2"/>
    <w:rsid w:val="2C301200"/>
    <w:rsid w:val="2C315A5A"/>
    <w:rsid w:val="2C333ED0"/>
    <w:rsid w:val="2C3B4E54"/>
    <w:rsid w:val="2C3B550A"/>
    <w:rsid w:val="2C436B66"/>
    <w:rsid w:val="2C4604FB"/>
    <w:rsid w:val="2C4B1C25"/>
    <w:rsid w:val="2C4E3CD2"/>
    <w:rsid w:val="2C557D10"/>
    <w:rsid w:val="2C713D55"/>
    <w:rsid w:val="2C7307FE"/>
    <w:rsid w:val="2C832CDB"/>
    <w:rsid w:val="2C8809BB"/>
    <w:rsid w:val="2C8B3A2A"/>
    <w:rsid w:val="2C95237B"/>
    <w:rsid w:val="2CBB1001"/>
    <w:rsid w:val="2CCC1008"/>
    <w:rsid w:val="2CDA4377"/>
    <w:rsid w:val="2CDB2F1B"/>
    <w:rsid w:val="2CDB595C"/>
    <w:rsid w:val="2CF25EDB"/>
    <w:rsid w:val="2D0C65E6"/>
    <w:rsid w:val="2D111509"/>
    <w:rsid w:val="2D13347F"/>
    <w:rsid w:val="2D1B1C0C"/>
    <w:rsid w:val="2D1D1541"/>
    <w:rsid w:val="2D363681"/>
    <w:rsid w:val="2D4E7686"/>
    <w:rsid w:val="2D54767E"/>
    <w:rsid w:val="2D570A4E"/>
    <w:rsid w:val="2D582913"/>
    <w:rsid w:val="2D7A14D0"/>
    <w:rsid w:val="2D9E56F5"/>
    <w:rsid w:val="2DA3369E"/>
    <w:rsid w:val="2DB1794E"/>
    <w:rsid w:val="2DBD14A6"/>
    <w:rsid w:val="2DC23B73"/>
    <w:rsid w:val="2DE11DEC"/>
    <w:rsid w:val="2E002A80"/>
    <w:rsid w:val="2E087A95"/>
    <w:rsid w:val="2E232610"/>
    <w:rsid w:val="2E261175"/>
    <w:rsid w:val="2E51209E"/>
    <w:rsid w:val="2E667F96"/>
    <w:rsid w:val="2E765E2F"/>
    <w:rsid w:val="2E8226AB"/>
    <w:rsid w:val="2EAB1E96"/>
    <w:rsid w:val="2EC14521"/>
    <w:rsid w:val="2ECB1002"/>
    <w:rsid w:val="2ED005D1"/>
    <w:rsid w:val="2ED55CDE"/>
    <w:rsid w:val="2EE353AC"/>
    <w:rsid w:val="2EEB3268"/>
    <w:rsid w:val="2EF152DA"/>
    <w:rsid w:val="2EF21B0F"/>
    <w:rsid w:val="2F164DD9"/>
    <w:rsid w:val="2F185863"/>
    <w:rsid w:val="2F1C4E37"/>
    <w:rsid w:val="2F1F4366"/>
    <w:rsid w:val="2F214CB5"/>
    <w:rsid w:val="2F3342F0"/>
    <w:rsid w:val="2F3B72E8"/>
    <w:rsid w:val="2F4842A5"/>
    <w:rsid w:val="2F4F02D6"/>
    <w:rsid w:val="2F6D2EFF"/>
    <w:rsid w:val="2F754EDB"/>
    <w:rsid w:val="2F770BE8"/>
    <w:rsid w:val="2F800FE9"/>
    <w:rsid w:val="2F913FE6"/>
    <w:rsid w:val="2FC55CEF"/>
    <w:rsid w:val="2FD065E6"/>
    <w:rsid w:val="2FD06BA5"/>
    <w:rsid w:val="2FD96870"/>
    <w:rsid w:val="2FE94FA3"/>
    <w:rsid w:val="2FED1D0F"/>
    <w:rsid w:val="2FEE42D8"/>
    <w:rsid w:val="2FF73472"/>
    <w:rsid w:val="2FFD56AA"/>
    <w:rsid w:val="3012191B"/>
    <w:rsid w:val="3025044B"/>
    <w:rsid w:val="302F7A13"/>
    <w:rsid w:val="30313118"/>
    <w:rsid w:val="303170FE"/>
    <w:rsid w:val="30317AC4"/>
    <w:rsid w:val="30323BDE"/>
    <w:rsid w:val="303358F7"/>
    <w:rsid w:val="30580BC9"/>
    <w:rsid w:val="3059437D"/>
    <w:rsid w:val="305F4B86"/>
    <w:rsid w:val="307B77AF"/>
    <w:rsid w:val="30A914C7"/>
    <w:rsid w:val="30AB2783"/>
    <w:rsid w:val="30AC608F"/>
    <w:rsid w:val="30B41C5A"/>
    <w:rsid w:val="30D91B56"/>
    <w:rsid w:val="30DF59CF"/>
    <w:rsid w:val="30ED6721"/>
    <w:rsid w:val="30F44D3E"/>
    <w:rsid w:val="30F84F2A"/>
    <w:rsid w:val="3100284F"/>
    <w:rsid w:val="310165E4"/>
    <w:rsid w:val="31134E31"/>
    <w:rsid w:val="3115280F"/>
    <w:rsid w:val="31175C90"/>
    <w:rsid w:val="31191943"/>
    <w:rsid w:val="311E2ED7"/>
    <w:rsid w:val="31276F99"/>
    <w:rsid w:val="314B62A4"/>
    <w:rsid w:val="314F0FD0"/>
    <w:rsid w:val="31524DF8"/>
    <w:rsid w:val="315619EE"/>
    <w:rsid w:val="31567C70"/>
    <w:rsid w:val="3158085D"/>
    <w:rsid w:val="315C449C"/>
    <w:rsid w:val="315F279B"/>
    <w:rsid w:val="31641CB9"/>
    <w:rsid w:val="316C2247"/>
    <w:rsid w:val="31715C1B"/>
    <w:rsid w:val="318471A2"/>
    <w:rsid w:val="319F471D"/>
    <w:rsid w:val="31B82709"/>
    <w:rsid w:val="31C511EA"/>
    <w:rsid w:val="31CB0EDC"/>
    <w:rsid w:val="31CC321C"/>
    <w:rsid w:val="31D05482"/>
    <w:rsid w:val="31E43039"/>
    <w:rsid w:val="31E70753"/>
    <w:rsid w:val="32107D31"/>
    <w:rsid w:val="32240B41"/>
    <w:rsid w:val="32296400"/>
    <w:rsid w:val="32363445"/>
    <w:rsid w:val="32400B34"/>
    <w:rsid w:val="32480F79"/>
    <w:rsid w:val="324A6604"/>
    <w:rsid w:val="325816C1"/>
    <w:rsid w:val="325F2A1E"/>
    <w:rsid w:val="32630709"/>
    <w:rsid w:val="326553E6"/>
    <w:rsid w:val="326B70D9"/>
    <w:rsid w:val="32867570"/>
    <w:rsid w:val="329470DC"/>
    <w:rsid w:val="32997F4E"/>
    <w:rsid w:val="329E2A35"/>
    <w:rsid w:val="329E6876"/>
    <w:rsid w:val="32A00583"/>
    <w:rsid w:val="32A2026B"/>
    <w:rsid w:val="32B20837"/>
    <w:rsid w:val="32B666ED"/>
    <w:rsid w:val="32B70683"/>
    <w:rsid w:val="32C103E5"/>
    <w:rsid w:val="32CE2D08"/>
    <w:rsid w:val="32CF6A27"/>
    <w:rsid w:val="32D01082"/>
    <w:rsid w:val="32D21121"/>
    <w:rsid w:val="32D67D28"/>
    <w:rsid w:val="32D72422"/>
    <w:rsid w:val="32E90B37"/>
    <w:rsid w:val="32FC5CD4"/>
    <w:rsid w:val="3303607D"/>
    <w:rsid w:val="330E5010"/>
    <w:rsid w:val="333015F2"/>
    <w:rsid w:val="334B6320"/>
    <w:rsid w:val="334D36B3"/>
    <w:rsid w:val="334D3997"/>
    <w:rsid w:val="335360D0"/>
    <w:rsid w:val="33593FA7"/>
    <w:rsid w:val="33693002"/>
    <w:rsid w:val="33771961"/>
    <w:rsid w:val="338167AE"/>
    <w:rsid w:val="33BF789C"/>
    <w:rsid w:val="33CB11B4"/>
    <w:rsid w:val="33CB78C8"/>
    <w:rsid w:val="33D54533"/>
    <w:rsid w:val="33D934D4"/>
    <w:rsid w:val="33E00A37"/>
    <w:rsid w:val="33E01F7E"/>
    <w:rsid w:val="33F67DCA"/>
    <w:rsid w:val="33FE2F6A"/>
    <w:rsid w:val="33FE78CF"/>
    <w:rsid w:val="34065F7C"/>
    <w:rsid w:val="340E07E5"/>
    <w:rsid w:val="341F2227"/>
    <w:rsid w:val="34235BF7"/>
    <w:rsid w:val="34340C74"/>
    <w:rsid w:val="34343A4E"/>
    <w:rsid w:val="3439492C"/>
    <w:rsid w:val="343F3A80"/>
    <w:rsid w:val="34575186"/>
    <w:rsid w:val="34583937"/>
    <w:rsid w:val="345F6345"/>
    <w:rsid w:val="34796F05"/>
    <w:rsid w:val="34871E00"/>
    <w:rsid w:val="348E1BA1"/>
    <w:rsid w:val="348F69A3"/>
    <w:rsid w:val="34985266"/>
    <w:rsid w:val="34A51CB2"/>
    <w:rsid w:val="34A80D04"/>
    <w:rsid w:val="34AF6AE5"/>
    <w:rsid w:val="34CE0E4A"/>
    <w:rsid w:val="34CF450F"/>
    <w:rsid w:val="34D0177A"/>
    <w:rsid w:val="34D864BB"/>
    <w:rsid w:val="34D9623C"/>
    <w:rsid w:val="34DE034B"/>
    <w:rsid w:val="34F41B8C"/>
    <w:rsid w:val="34FC1A7D"/>
    <w:rsid w:val="35016D4E"/>
    <w:rsid w:val="3509425F"/>
    <w:rsid w:val="351D3DE0"/>
    <w:rsid w:val="35290DA6"/>
    <w:rsid w:val="353441EF"/>
    <w:rsid w:val="35372788"/>
    <w:rsid w:val="35426D66"/>
    <w:rsid w:val="35433485"/>
    <w:rsid w:val="35513883"/>
    <w:rsid w:val="35587377"/>
    <w:rsid w:val="358923DC"/>
    <w:rsid w:val="358A6410"/>
    <w:rsid w:val="358B18EF"/>
    <w:rsid w:val="358C5FA8"/>
    <w:rsid w:val="3598059C"/>
    <w:rsid w:val="35994313"/>
    <w:rsid w:val="35B64559"/>
    <w:rsid w:val="35BC6E4A"/>
    <w:rsid w:val="35C00033"/>
    <w:rsid w:val="35C15DF1"/>
    <w:rsid w:val="35C90A7F"/>
    <w:rsid w:val="35D0127A"/>
    <w:rsid w:val="35DE456D"/>
    <w:rsid w:val="35E26EBB"/>
    <w:rsid w:val="35E90A07"/>
    <w:rsid w:val="36074A7F"/>
    <w:rsid w:val="360C1920"/>
    <w:rsid w:val="362B32CE"/>
    <w:rsid w:val="36335AC5"/>
    <w:rsid w:val="36364FC8"/>
    <w:rsid w:val="36460FAF"/>
    <w:rsid w:val="364E2764"/>
    <w:rsid w:val="364F1161"/>
    <w:rsid w:val="364F6CBF"/>
    <w:rsid w:val="36593346"/>
    <w:rsid w:val="365C49CD"/>
    <w:rsid w:val="3672229B"/>
    <w:rsid w:val="367D4948"/>
    <w:rsid w:val="368541DA"/>
    <w:rsid w:val="36923549"/>
    <w:rsid w:val="36977988"/>
    <w:rsid w:val="36B36288"/>
    <w:rsid w:val="36B75FBF"/>
    <w:rsid w:val="36BD0C45"/>
    <w:rsid w:val="36BF76FF"/>
    <w:rsid w:val="36E83783"/>
    <w:rsid w:val="36F92804"/>
    <w:rsid w:val="370058E8"/>
    <w:rsid w:val="370670B8"/>
    <w:rsid w:val="37105FB9"/>
    <w:rsid w:val="3719416B"/>
    <w:rsid w:val="37257E71"/>
    <w:rsid w:val="37362D65"/>
    <w:rsid w:val="373818CF"/>
    <w:rsid w:val="373A0BE6"/>
    <w:rsid w:val="37846949"/>
    <w:rsid w:val="37A117E2"/>
    <w:rsid w:val="37A76702"/>
    <w:rsid w:val="37B466FE"/>
    <w:rsid w:val="37B473EF"/>
    <w:rsid w:val="37C062AC"/>
    <w:rsid w:val="37C42B4F"/>
    <w:rsid w:val="37C62B4E"/>
    <w:rsid w:val="37CB31C1"/>
    <w:rsid w:val="37D44800"/>
    <w:rsid w:val="37DE7ADD"/>
    <w:rsid w:val="37E00298"/>
    <w:rsid w:val="37EB7764"/>
    <w:rsid w:val="37EE3539"/>
    <w:rsid w:val="38074D3E"/>
    <w:rsid w:val="380B018A"/>
    <w:rsid w:val="381D33E7"/>
    <w:rsid w:val="381D4A14"/>
    <w:rsid w:val="38345FEA"/>
    <w:rsid w:val="38480C69"/>
    <w:rsid w:val="38510892"/>
    <w:rsid w:val="38556BB6"/>
    <w:rsid w:val="385C1FA9"/>
    <w:rsid w:val="38740407"/>
    <w:rsid w:val="38743788"/>
    <w:rsid w:val="38890A3F"/>
    <w:rsid w:val="388A05F7"/>
    <w:rsid w:val="38937F24"/>
    <w:rsid w:val="38A03DC0"/>
    <w:rsid w:val="38AB306B"/>
    <w:rsid w:val="38B12111"/>
    <w:rsid w:val="38B302F9"/>
    <w:rsid w:val="38D723F6"/>
    <w:rsid w:val="38F12CD3"/>
    <w:rsid w:val="38F63738"/>
    <w:rsid w:val="38F94775"/>
    <w:rsid w:val="39086830"/>
    <w:rsid w:val="39115E98"/>
    <w:rsid w:val="39127BF4"/>
    <w:rsid w:val="391D175E"/>
    <w:rsid w:val="391F6920"/>
    <w:rsid w:val="39244A5A"/>
    <w:rsid w:val="392971ED"/>
    <w:rsid w:val="392C2BC2"/>
    <w:rsid w:val="392F3181"/>
    <w:rsid w:val="39325651"/>
    <w:rsid w:val="39330A89"/>
    <w:rsid w:val="3939545F"/>
    <w:rsid w:val="39421C75"/>
    <w:rsid w:val="394E11B9"/>
    <w:rsid w:val="395F200A"/>
    <w:rsid w:val="397250FC"/>
    <w:rsid w:val="39855E50"/>
    <w:rsid w:val="398B0F1C"/>
    <w:rsid w:val="39A1443B"/>
    <w:rsid w:val="39B31100"/>
    <w:rsid w:val="39B51DCF"/>
    <w:rsid w:val="39B71282"/>
    <w:rsid w:val="39C226FE"/>
    <w:rsid w:val="39C540C7"/>
    <w:rsid w:val="39C90BBF"/>
    <w:rsid w:val="39D32E68"/>
    <w:rsid w:val="39F070EE"/>
    <w:rsid w:val="39FC48B0"/>
    <w:rsid w:val="3A274040"/>
    <w:rsid w:val="3A2D555F"/>
    <w:rsid w:val="3A400FCD"/>
    <w:rsid w:val="3A4D5B0A"/>
    <w:rsid w:val="3A4E0FBD"/>
    <w:rsid w:val="3A5842DB"/>
    <w:rsid w:val="3A5B0E65"/>
    <w:rsid w:val="3A6539E5"/>
    <w:rsid w:val="3A6D7BFF"/>
    <w:rsid w:val="3A6F046D"/>
    <w:rsid w:val="3A7314A9"/>
    <w:rsid w:val="3A872856"/>
    <w:rsid w:val="3A882552"/>
    <w:rsid w:val="3A9246EA"/>
    <w:rsid w:val="3AA74949"/>
    <w:rsid w:val="3AAE20F5"/>
    <w:rsid w:val="3ABC6B48"/>
    <w:rsid w:val="3AC57CA8"/>
    <w:rsid w:val="3AD9596E"/>
    <w:rsid w:val="3ADF182F"/>
    <w:rsid w:val="3AEF1F68"/>
    <w:rsid w:val="3AFF69B2"/>
    <w:rsid w:val="3B046382"/>
    <w:rsid w:val="3B0656CC"/>
    <w:rsid w:val="3B085BAF"/>
    <w:rsid w:val="3B166C9E"/>
    <w:rsid w:val="3B1F6C77"/>
    <w:rsid w:val="3B2A7488"/>
    <w:rsid w:val="3B3763D1"/>
    <w:rsid w:val="3B3B4141"/>
    <w:rsid w:val="3B3C43F3"/>
    <w:rsid w:val="3B45123F"/>
    <w:rsid w:val="3B491B7C"/>
    <w:rsid w:val="3B7227E9"/>
    <w:rsid w:val="3B774B5B"/>
    <w:rsid w:val="3B8521E0"/>
    <w:rsid w:val="3B8B5967"/>
    <w:rsid w:val="3B943AC7"/>
    <w:rsid w:val="3BA14182"/>
    <w:rsid w:val="3BA95AF7"/>
    <w:rsid w:val="3BAA7E3A"/>
    <w:rsid w:val="3BC96825"/>
    <w:rsid w:val="3BCE3431"/>
    <w:rsid w:val="3BDA5754"/>
    <w:rsid w:val="3BEC2453"/>
    <w:rsid w:val="3BF9065A"/>
    <w:rsid w:val="3BFA4D5F"/>
    <w:rsid w:val="3C076524"/>
    <w:rsid w:val="3C104576"/>
    <w:rsid w:val="3C2F6E1E"/>
    <w:rsid w:val="3C41746C"/>
    <w:rsid w:val="3C420467"/>
    <w:rsid w:val="3C4F64BA"/>
    <w:rsid w:val="3C61324E"/>
    <w:rsid w:val="3C6150EF"/>
    <w:rsid w:val="3C93322E"/>
    <w:rsid w:val="3C945CED"/>
    <w:rsid w:val="3C945E0A"/>
    <w:rsid w:val="3C9C4A9F"/>
    <w:rsid w:val="3CA165D4"/>
    <w:rsid w:val="3CA87E38"/>
    <w:rsid w:val="3CBC121B"/>
    <w:rsid w:val="3CBC5D6C"/>
    <w:rsid w:val="3CC205CB"/>
    <w:rsid w:val="3CDA245A"/>
    <w:rsid w:val="3CFD1515"/>
    <w:rsid w:val="3CFD41DE"/>
    <w:rsid w:val="3CFE19DB"/>
    <w:rsid w:val="3D067E98"/>
    <w:rsid w:val="3D0906DB"/>
    <w:rsid w:val="3D0E61F9"/>
    <w:rsid w:val="3D1E06B7"/>
    <w:rsid w:val="3D356039"/>
    <w:rsid w:val="3D394234"/>
    <w:rsid w:val="3D56396C"/>
    <w:rsid w:val="3D6614CB"/>
    <w:rsid w:val="3D71389F"/>
    <w:rsid w:val="3D7940D5"/>
    <w:rsid w:val="3D7E2ABA"/>
    <w:rsid w:val="3D8B7300"/>
    <w:rsid w:val="3D950C06"/>
    <w:rsid w:val="3D9C0D5C"/>
    <w:rsid w:val="3D9F2821"/>
    <w:rsid w:val="3DCB2378"/>
    <w:rsid w:val="3DD3009F"/>
    <w:rsid w:val="3DDE65C8"/>
    <w:rsid w:val="3DE739A9"/>
    <w:rsid w:val="3E0B41D5"/>
    <w:rsid w:val="3E186B3D"/>
    <w:rsid w:val="3E2A347B"/>
    <w:rsid w:val="3E2B50C3"/>
    <w:rsid w:val="3E541B27"/>
    <w:rsid w:val="3E580057"/>
    <w:rsid w:val="3E5C6CEC"/>
    <w:rsid w:val="3E7569E4"/>
    <w:rsid w:val="3E8D0E33"/>
    <w:rsid w:val="3E98674A"/>
    <w:rsid w:val="3E9D0933"/>
    <w:rsid w:val="3EAC2323"/>
    <w:rsid w:val="3EB24859"/>
    <w:rsid w:val="3EB32670"/>
    <w:rsid w:val="3EBF08BB"/>
    <w:rsid w:val="3EC23914"/>
    <w:rsid w:val="3EC75C96"/>
    <w:rsid w:val="3ED14D3B"/>
    <w:rsid w:val="3EDA0523"/>
    <w:rsid w:val="3EDB61C9"/>
    <w:rsid w:val="3EDF377A"/>
    <w:rsid w:val="3EED2B68"/>
    <w:rsid w:val="3EF16958"/>
    <w:rsid w:val="3EF36F54"/>
    <w:rsid w:val="3F1A1312"/>
    <w:rsid w:val="3F2367CC"/>
    <w:rsid w:val="3F4079A2"/>
    <w:rsid w:val="3F4A1E2F"/>
    <w:rsid w:val="3F6109C7"/>
    <w:rsid w:val="3F622C7A"/>
    <w:rsid w:val="3F631DF3"/>
    <w:rsid w:val="3F772419"/>
    <w:rsid w:val="3F8932A0"/>
    <w:rsid w:val="3F900837"/>
    <w:rsid w:val="3F925F8F"/>
    <w:rsid w:val="3F9625ED"/>
    <w:rsid w:val="3FA10E8B"/>
    <w:rsid w:val="3FA66312"/>
    <w:rsid w:val="3FDC4C88"/>
    <w:rsid w:val="3FE02AA6"/>
    <w:rsid w:val="3FF5447C"/>
    <w:rsid w:val="4009342D"/>
    <w:rsid w:val="400F680A"/>
    <w:rsid w:val="40185391"/>
    <w:rsid w:val="40214316"/>
    <w:rsid w:val="402560FA"/>
    <w:rsid w:val="40295F17"/>
    <w:rsid w:val="402D4857"/>
    <w:rsid w:val="40363F28"/>
    <w:rsid w:val="4052060A"/>
    <w:rsid w:val="40555BB9"/>
    <w:rsid w:val="405C51C6"/>
    <w:rsid w:val="40672C8E"/>
    <w:rsid w:val="406B2EFB"/>
    <w:rsid w:val="4074421E"/>
    <w:rsid w:val="40767CD3"/>
    <w:rsid w:val="407702B4"/>
    <w:rsid w:val="407A6407"/>
    <w:rsid w:val="40842948"/>
    <w:rsid w:val="40893B7A"/>
    <w:rsid w:val="40A04AE6"/>
    <w:rsid w:val="40A82591"/>
    <w:rsid w:val="40AD737D"/>
    <w:rsid w:val="40C31287"/>
    <w:rsid w:val="40C54533"/>
    <w:rsid w:val="40D72AA6"/>
    <w:rsid w:val="40D95090"/>
    <w:rsid w:val="40DB05F9"/>
    <w:rsid w:val="40E8036F"/>
    <w:rsid w:val="40F27DD3"/>
    <w:rsid w:val="40FC50D1"/>
    <w:rsid w:val="40FD78D2"/>
    <w:rsid w:val="40FF2B2C"/>
    <w:rsid w:val="4108122E"/>
    <w:rsid w:val="410E75BF"/>
    <w:rsid w:val="4117473D"/>
    <w:rsid w:val="41175F35"/>
    <w:rsid w:val="411C6EA7"/>
    <w:rsid w:val="411F01D4"/>
    <w:rsid w:val="41666ADA"/>
    <w:rsid w:val="416A1122"/>
    <w:rsid w:val="41701FB3"/>
    <w:rsid w:val="4171400C"/>
    <w:rsid w:val="41756E27"/>
    <w:rsid w:val="41946ED1"/>
    <w:rsid w:val="419C7AD9"/>
    <w:rsid w:val="419E7C34"/>
    <w:rsid w:val="419F4A54"/>
    <w:rsid w:val="41A25E0E"/>
    <w:rsid w:val="41A30460"/>
    <w:rsid w:val="41A45ADD"/>
    <w:rsid w:val="41BA3834"/>
    <w:rsid w:val="41C10F64"/>
    <w:rsid w:val="41C61F02"/>
    <w:rsid w:val="41DC7BBE"/>
    <w:rsid w:val="41E5532B"/>
    <w:rsid w:val="41E64895"/>
    <w:rsid w:val="41F11B2D"/>
    <w:rsid w:val="41F45C17"/>
    <w:rsid w:val="41F53721"/>
    <w:rsid w:val="41FC6F96"/>
    <w:rsid w:val="4200449D"/>
    <w:rsid w:val="4203656E"/>
    <w:rsid w:val="420416C8"/>
    <w:rsid w:val="4216196D"/>
    <w:rsid w:val="421954D3"/>
    <w:rsid w:val="422A7E17"/>
    <w:rsid w:val="42352135"/>
    <w:rsid w:val="423A03F4"/>
    <w:rsid w:val="423A3BCC"/>
    <w:rsid w:val="423E12BE"/>
    <w:rsid w:val="424E57D2"/>
    <w:rsid w:val="425D385D"/>
    <w:rsid w:val="42600111"/>
    <w:rsid w:val="4272239C"/>
    <w:rsid w:val="42791ADE"/>
    <w:rsid w:val="429B34CB"/>
    <w:rsid w:val="429E57A1"/>
    <w:rsid w:val="42A55D97"/>
    <w:rsid w:val="42A6094A"/>
    <w:rsid w:val="42B22716"/>
    <w:rsid w:val="42B26C49"/>
    <w:rsid w:val="42B40776"/>
    <w:rsid w:val="42C43E5D"/>
    <w:rsid w:val="42CE2E3E"/>
    <w:rsid w:val="42D13AA3"/>
    <w:rsid w:val="42E64789"/>
    <w:rsid w:val="42EF7968"/>
    <w:rsid w:val="42FA4B81"/>
    <w:rsid w:val="43061698"/>
    <w:rsid w:val="43115717"/>
    <w:rsid w:val="43121383"/>
    <w:rsid w:val="4315783F"/>
    <w:rsid w:val="43295975"/>
    <w:rsid w:val="4329601E"/>
    <w:rsid w:val="433A6FE6"/>
    <w:rsid w:val="433C4C26"/>
    <w:rsid w:val="43480868"/>
    <w:rsid w:val="4350713C"/>
    <w:rsid w:val="435C10F6"/>
    <w:rsid w:val="436653E0"/>
    <w:rsid w:val="4368530A"/>
    <w:rsid w:val="436A6255"/>
    <w:rsid w:val="436B39D8"/>
    <w:rsid w:val="437558EC"/>
    <w:rsid w:val="43934189"/>
    <w:rsid w:val="43BB6F31"/>
    <w:rsid w:val="43C4431A"/>
    <w:rsid w:val="43C61026"/>
    <w:rsid w:val="43D122AC"/>
    <w:rsid w:val="43DB6030"/>
    <w:rsid w:val="43E05803"/>
    <w:rsid w:val="43F54EFF"/>
    <w:rsid w:val="44104224"/>
    <w:rsid w:val="442B36EB"/>
    <w:rsid w:val="442C3F19"/>
    <w:rsid w:val="443F3FDC"/>
    <w:rsid w:val="445D458F"/>
    <w:rsid w:val="446044D4"/>
    <w:rsid w:val="446134A5"/>
    <w:rsid w:val="4467377B"/>
    <w:rsid w:val="447501D2"/>
    <w:rsid w:val="44762F12"/>
    <w:rsid w:val="44830A27"/>
    <w:rsid w:val="448A79E4"/>
    <w:rsid w:val="44932626"/>
    <w:rsid w:val="44933DF6"/>
    <w:rsid w:val="449D1B26"/>
    <w:rsid w:val="44A45A5B"/>
    <w:rsid w:val="44A65916"/>
    <w:rsid w:val="44B951CC"/>
    <w:rsid w:val="44CD14E0"/>
    <w:rsid w:val="44D614FA"/>
    <w:rsid w:val="44E32343"/>
    <w:rsid w:val="44F20B0B"/>
    <w:rsid w:val="45041F89"/>
    <w:rsid w:val="451068CA"/>
    <w:rsid w:val="45181BA0"/>
    <w:rsid w:val="451C315B"/>
    <w:rsid w:val="452E5F4C"/>
    <w:rsid w:val="454A0EA7"/>
    <w:rsid w:val="454C3A8F"/>
    <w:rsid w:val="455075C4"/>
    <w:rsid w:val="45612018"/>
    <w:rsid w:val="45627BCC"/>
    <w:rsid w:val="458946E9"/>
    <w:rsid w:val="45921D33"/>
    <w:rsid w:val="4597687A"/>
    <w:rsid w:val="45986D7D"/>
    <w:rsid w:val="45A0709F"/>
    <w:rsid w:val="45A121DC"/>
    <w:rsid w:val="45A47C0E"/>
    <w:rsid w:val="45AE4C38"/>
    <w:rsid w:val="45BD01E3"/>
    <w:rsid w:val="45BF4530"/>
    <w:rsid w:val="45C33BB6"/>
    <w:rsid w:val="45C91A2F"/>
    <w:rsid w:val="45D004E2"/>
    <w:rsid w:val="45E14548"/>
    <w:rsid w:val="45E2416C"/>
    <w:rsid w:val="45E2737C"/>
    <w:rsid w:val="45EB30EC"/>
    <w:rsid w:val="45FD29CC"/>
    <w:rsid w:val="45FD2CF4"/>
    <w:rsid w:val="461015FC"/>
    <w:rsid w:val="46193B83"/>
    <w:rsid w:val="461E5A49"/>
    <w:rsid w:val="462D35A1"/>
    <w:rsid w:val="46455051"/>
    <w:rsid w:val="46524C5F"/>
    <w:rsid w:val="46577FD6"/>
    <w:rsid w:val="46583FA5"/>
    <w:rsid w:val="465A7C92"/>
    <w:rsid w:val="4660321E"/>
    <w:rsid w:val="466668A4"/>
    <w:rsid w:val="46785B2C"/>
    <w:rsid w:val="467A53E2"/>
    <w:rsid w:val="467F58D1"/>
    <w:rsid w:val="46835DB1"/>
    <w:rsid w:val="46892591"/>
    <w:rsid w:val="468C36D8"/>
    <w:rsid w:val="46942D9D"/>
    <w:rsid w:val="46943B1D"/>
    <w:rsid w:val="46D74ADE"/>
    <w:rsid w:val="46D80531"/>
    <w:rsid w:val="46D955A7"/>
    <w:rsid w:val="46DB39CE"/>
    <w:rsid w:val="46DC1EB8"/>
    <w:rsid w:val="46E1469C"/>
    <w:rsid w:val="46ED169D"/>
    <w:rsid w:val="46EE2975"/>
    <w:rsid w:val="46F26CD6"/>
    <w:rsid w:val="46F52A10"/>
    <w:rsid w:val="46F64C07"/>
    <w:rsid w:val="46F91557"/>
    <w:rsid w:val="47005036"/>
    <w:rsid w:val="47133957"/>
    <w:rsid w:val="4716529A"/>
    <w:rsid w:val="4718338B"/>
    <w:rsid w:val="47267F98"/>
    <w:rsid w:val="47360FE4"/>
    <w:rsid w:val="473D39C1"/>
    <w:rsid w:val="47430B5F"/>
    <w:rsid w:val="475220DE"/>
    <w:rsid w:val="47631E97"/>
    <w:rsid w:val="47697BEB"/>
    <w:rsid w:val="477614D0"/>
    <w:rsid w:val="47893D0D"/>
    <w:rsid w:val="478E456D"/>
    <w:rsid w:val="47930795"/>
    <w:rsid w:val="47A06BCD"/>
    <w:rsid w:val="47A07E0C"/>
    <w:rsid w:val="47AE3AB1"/>
    <w:rsid w:val="47BA65D6"/>
    <w:rsid w:val="47BC27CD"/>
    <w:rsid w:val="47BE6D02"/>
    <w:rsid w:val="47C621A4"/>
    <w:rsid w:val="47CA2BBC"/>
    <w:rsid w:val="47CE5B2F"/>
    <w:rsid w:val="47D63A16"/>
    <w:rsid w:val="47D879FF"/>
    <w:rsid w:val="47DB05B1"/>
    <w:rsid w:val="47EE3A50"/>
    <w:rsid w:val="47F21822"/>
    <w:rsid w:val="47FE4FE7"/>
    <w:rsid w:val="480800AC"/>
    <w:rsid w:val="480A3982"/>
    <w:rsid w:val="481055C6"/>
    <w:rsid w:val="4819695C"/>
    <w:rsid w:val="482515ED"/>
    <w:rsid w:val="482A2260"/>
    <w:rsid w:val="482C7A30"/>
    <w:rsid w:val="483472BE"/>
    <w:rsid w:val="483D26A9"/>
    <w:rsid w:val="483D2B33"/>
    <w:rsid w:val="484B337C"/>
    <w:rsid w:val="48552931"/>
    <w:rsid w:val="485C6F0A"/>
    <w:rsid w:val="485D7CD3"/>
    <w:rsid w:val="4870272E"/>
    <w:rsid w:val="487354A8"/>
    <w:rsid w:val="48763E17"/>
    <w:rsid w:val="48782845"/>
    <w:rsid w:val="487D0770"/>
    <w:rsid w:val="48914581"/>
    <w:rsid w:val="48A8094D"/>
    <w:rsid w:val="48AD4D5B"/>
    <w:rsid w:val="48AE5919"/>
    <w:rsid w:val="48B2131E"/>
    <w:rsid w:val="48B3143C"/>
    <w:rsid w:val="48B47F75"/>
    <w:rsid w:val="48B55D71"/>
    <w:rsid w:val="48C141B0"/>
    <w:rsid w:val="48CB6082"/>
    <w:rsid w:val="48DB3882"/>
    <w:rsid w:val="48DD2422"/>
    <w:rsid w:val="48E52658"/>
    <w:rsid w:val="48EC57A7"/>
    <w:rsid w:val="48FA6D16"/>
    <w:rsid w:val="490D7035"/>
    <w:rsid w:val="491A265E"/>
    <w:rsid w:val="491D1939"/>
    <w:rsid w:val="49221435"/>
    <w:rsid w:val="493A17DD"/>
    <w:rsid w:val="4940351C"/>
    <w:rsid w:val="494373F0"/>
    <w:rsid w:val="49442CEE"/>
    <w:rsid w:val="494C0092"/>
    <w:rsid w:val="496A3E2E"/>
    <w:rsid w:val="497C2A14"/>
    <w:rsid w:val="49A21B65"/>
    <w:rsid w:val="49B700D5"/>
    <w:rsid w:val="49C12A1E"/>
    <w:rsid w:val="49CA132B"/>
    <w:rsid w:val="49DC7715"/>
    <w:rsid w:val="4A023139"/>
    <w:rsid w:val="4A137DED"/>
    <w:rsid w:val="4A16163D"/>
    <w:rsid w:val="4A170BCF"/>
    <w:rsid w:val="4A1A4CEB"/>
    <w:rsid w:val="4A1C4AD3"/>
    <w:rsid w:val="4A1C51F0"/>
    <w:rsid w:val="4A256CF3"/>
    <w:rsid w:val="4A366B99"/>
    <w:rsid w:val="4A390B2A"/>
    <w:rsid w:val="4A400EB9"/>
    <w:rsid w:val="4A422E41"/>
    <w:rsid w:val="4A69438F"/>
    <w:rsid w:val="4A6D172C"/>
    <w:rsid w:val="4A703920"/>
    <w:rsid w:val="4A7729B4"/>
    <w:rsid w:val="4A7B576F"/>
    <w:rsid w:val="4A7C15E0"/>
    <w:rsid w:val="4A7D1CFD"/>
    <w:rsid w:val="4A7F2A0B"/>
    <w:rsid w:val="4A935C99"/>
    <w:rsid w:val="4AA2161B"/>
    <w:rsid w:val="4AA91344"/>
    <w:rsid w:val="4ABC1BEC"/>
    <w:rsid w:val="4AC24D5B"/>
    <w:rsid w:val="4AD279B8"/>
    <w:rsid w:val="4AD34BFC"/>
    <w:rsid w:val="4AE27C5F"/>
    <w:rsid w:val="4AE417DE"/>
    <w:rsid w:val="4AF561A9"/>
    <w:rsid w:val="4AFD5DF0"/>
    <w:rsid w:val="4AFE4751"/>
    <w:rsid w:val="4B023F64"/>
    <w:rsid w:val="4B1839F2"/>
    <w:rsid w:val="4B204B94"/>
    <w:rsid w:val="4B2804C8"/>
    <w:rsid w:val="4B344D20"/>
    <w:rsid w:val="4B450F7A"/>
    <w:rsid w:val="4B4C0595"/>
    <w:rsid w:val="4B507B50"/>
    <w:rsid w:val="4B602E24"/>
    <w:rsid w:val="4B6646E4"/>
    <w:rsid w:val="4B782011"/>
    <w:rsid w:val="4B843CE7"/>
    <w:rsid w:val="4B874DE0"/>
    <w:rsid w:val="4B925B16"/>
    <w:rsid w:val="4B941116"/>
    <w:rsid w:val="4BC84CB1"/>
    <w:rsid w:val="4BD01C7B"/>
    <w:rsid w:val="4BD92B1C"/>
    <w:rsid w:val="4BE10BB2"/>
    <w:rsid w:val="4BE156B5"/>
    <w:rsid w:val="4BE90C50"/>
    <w:rsid w:val="4C1E7ADF"/>
    <w:rsid w:val="4C2E7EFD"/>
    <w:rsid w:val="4C383F9A"/>
    <w:rsid w:val="4C4A0649"/>
    <w:rsid w:val="4C730612"/>
    <w:rsid w:val="4C746D1D"/>
    <w:rsid w:val="4C7D3373"/>
    <w:rsid w:val="4C7E5ECA"/>
    <w:rsid w:val="4C876AA5"/>
    <w:rsid w:val="4C95707A"/>
    <w:rsid w:val="4C99151C"/>
    <w:rsid w:val="4CA84FD2"/>
    <w:rsid w:val="4CB40BD6"/>
    <w:rsid w:val="4CBB4CA7"/>
    <w:rsid w:val="4CC7536F"/>
    <w:rsid w:val="4CCE1703"/>
    <w:rsid w:val="4CE03FA7"/>
    <w:rsid w:val="4CE07481"/>
    <w:rsid w:val="4D027222"/>
    <w:rsid w:val="4D0627FF"/>
    <w:rsid w:val="4D0E00FB"/>
    <w:rsid w:val="4D0E7126"/>
    <w:rsid w:val="4D176606"/>
    <w:rsid w:val="4D187CC1"/>
    <w:rsid w:val="4D295E56"/>
    <w:rsid w:val="4D35138D"/>
    <w:rsid w:val="4D3A7BC6"/>
    <w:rsid w:val="4D4147D9"/>
    <w:rsid w:val="4D4A2082"/>
    <w:rsid w:val="4D4F3427"/>
    <w:rsid w:val="4D546052"/>
    <w:rsid w:val="4D613B57"/>
    <w:rsid w:val="4D7379C6"/>
    <w:rsid w:val="4D762470"/>
    <w:rsid w:val="4D7B5CB3"/>
    <w:rsid w:val="4D8940CC"/>
    <w:rsid w:val="4D8F2045"/>
    <w:rsid w:val="4D905734"/>
    <w:rsid w:val="4DA4127F"/>
    <w:rsid w:val="4DB47A2C"/>
    <w:rsid w:val="4DB5155C"/>
    <w:rsid w:val="4DB740A6"/>
    <w:rsid w:val="4DBC2045"/>
    <w:rsid w:val="4DC059F8"/>
    <w:rsid w:val="4DC25EB1"/>
    <w:rsid w:val="4DC31245"/>
    <w:rsid w:val="4DC6140F"/>
    <w:rsid w:val="4DCF43CB"/>
    <w:rsid w:val="4DDF2BDE"/>
    <w:rsid w:val="4DE21561"/>
    <w:rsid w:val="4DE824E8"/>
    <w:rsid w:val="4DEC4FB0"/>
    <w:rsid w:val="4DF53FB6"/>
    <w:rsid w:val="4DFC4CEB"/>
    <w:rsid w:val="4E07339B"/>
    <w:rsid w:val="4E075D8A"/>
    <w:rsid w:val="4E1D281E"/>
    <w:rsid w:val="4E1F116D"/>
    <w:rsid w:val="4E1F723A"/>
    <w:rsid w:val="4E314637"/>
    <w:rsid w:val="4E353FB7"/>
    <w:rsid w:val="4E451630"/>
    <w:rsid w:val="4E486F75"/>
    <w:rsid w:val="4E4A5CF9"/>
    <w:rsid w:val="4E500E56"/>
    <w:rsid w:val="4E507CC2"/>
    <w:rsid w:val="4E6B743C"/>
    <w:rsid w:val="4E717ABE"/>
    <w:rsid w:val="4E974780"/>
    <w:rsid w:val="4EA51D54"/>
    <w:rsid w:val="4EA652DE"/>
    <w:rsid w:val="4EA676FB"/>
    <w:rsid w:val="4EA8722F"/>
    <w:rsid w:val="4EAD27CF"/>
    <w:rsid w:val="4EB13DE7"/>
    <w:rsid w:val="4EC00FAD"/>
    <w:rsid w:val="4EC323C5"/>
    <w:rsid w:val="4ECD4128"/>
    <w:rsid w:val="4ED4147D"/>
    <w:rsid w:val="4ED634F5"/>
    <w:rsid w:val="4EF359DC"/>
    <w:rsid w:val="4F1C6120"/>
    <w:rsid w:val="4F376B95"/>
    <w:rsid w:val="4F4068D8"/>
    <w:rsid w:val="4F4B4EA4"/>
    <w:rsid w:val="4F5852D3"/>
    <w:rsid w:val="4F6769FA"/>
    <w:rsid w:val="4F6828DC"/>
    <w:rsid w:val="4F794E5D"/>
    <w:rsid w:val="4F8008F2"/>
    <w:rsid w:val="4F814D47"/>
    <w:rsid w:val="4F8F5C8E"/>
    <w:rsid w:val="4F921137"/>
    <w:rsid w:val="4F9843DC"/>
    <w:rsid w:val="4FB14ED2"/>
    <w:rsid w:val="4FC62A8C"/>
    <w:rsid w:val="4FC86242"/>
    <w:rsid w:val="4FD154BB"/>
    <w:rsid w:val="4FD4688F"/>
    <w:rsid w:val="4FD95755"/>
    <w:rsid w:val="4FE20F0D"/>
    <w:rsid w:val="4FE51552"/>
    <w:rsid w:val="4FF25787"/>
    <w:rsid w:val="4FF43332"/>
    <w:rsid w:val="501017B9"/>
    <w:rsid w:val="502B5D47"/>
    <w:rsid w:val="502E4771"/>
    <w:rsid w:val="50504C4B"/>
    <w:rsid w:val="5052014E"/>
    <w:rsid w:val="505D7C66"/>
    <w:rsid w:val="50620736"/>
    <w:rsid w:val="506975BC"/>
    <w:rsid w:val="506D40B5"/>
    <w:rsid w:val="509266BD"/>
    <w:rsid w:val="509C6E7C"/>
    <w:rsid w:val="50A32F39"/>
    <w:rsid w:val="50A55E1E"/>
    <w:rsid w:val="50B12536"/>
    <w:rsid w:val="50BC68D6"/>
    <w:rsid w:val="50CE7012"/>
    <w:rsid w:val="50CF0A7B"/>
    <w:rsid w:val="50D04FDB"/>
    <w:rsid w:val="50D64DBC"/>
    <w:rsid w:val="50DE0BAA"/>
    <w:rsid w:val="50E50D14"/>
    <w:rsid w:val="50E51220"/>
    <w:rsid w:val="50F65550"/>
    <w:rsid w:val="50FC0B4A"/>
    <w:rsid w:val="50FD7FB1"/>
    <w:rsid w:val="5103246F"/>
    <w:rsid w:val="510B652B"/>
    <w:rsid w:val="510F1DC3"/>
    <w:rsid w:val="511A146B"/>
    <w:rsid w:val="511B767D"/>
    <w:rsid w:val="51201E08"/>
    <w:rsid w:val="512E6447"/>
    <w:rsid w:val="51440666"/>
    <w:rsid w:val="51466D5B"/>
    <w:rsid w:val="515245C0"/>
    <w:rsid w:val="515B6C70"/>
    <w:rsid w:val="515C6DF1"/>
    <w:rsid w:val="5162104E"/>
    <w:rsid w:val="51664EAC"/>
    <w:rsid w:val="516A3794"/>
    <w:rsid w:val="516D3802"/>
    <w:rsid w:val="516E22E4"/>
    <w:rsid w:val="517B4563"/>
    <w:rsid w:val="518A2455"/>
    <w:rsid w:val="518B7825"/>
    <w:rsid w:val="519B6786"/>
    <w:rsid w:val="51A624FD"/>
    <w:rsid w:val="51D1133D"/>
    <w:rsid w:val="51D17BD8"/>
    <w:rsid w:val="51DA284B"/>
    <w:rsid w:val="51DB1597"/>
    <w:rsid w:val="51E9632E"/>
    <w:rsid w:val="51EF24E1"/>
    <w:rsid w:val="51F22303"/>
    <w:rsid w:val="52064329"/>
    <w:rsid w:val="520F7915"/>
    <w:rsid w:val="52113746"/>
    <w:rsid w:val="521942DA"/>
    <w:rsid w:val="5233053C"/>
    <w:rsid w:val="524455BF"/>
    <w:rsid w:val="52512B3A"/>
    <w:rsid w:val="52607EF7"/>
    <w:rsid w:val="526E0DDB"/>
    <w:rsid w:val="526F123F"/>
    <w:rsid w:val="52710148"/>
    <w:rsid w:val="5277667F"/>
    <w:rsid w:val="52813C86"/>
    <w:rsid w:val="52892CFE"/>
    <w:rsid w:val="52896F2B"/>
    <w:rsid w:val="52933330"/>
    <w:rsid w:val="529616FC"/>
    <w:rsid w:val="52BC02E2"/>
    <w:rsid w:val="52C22205"/>
    <w:rsid w:val="52CD63EB"/>
    <w:rsid w:val="52D17511"/>
    <w:rsid w:val="52D553ED"/>
    <w:rsid w:val="52E14BB5"/>
    <w:rsid w:val="52E24201"/>
    <w:rsid w:val="52E7451C"/>
    <w:rsid w:val="52EB5D2E"/>
    <w:rsid w:val="52EC6518"/>
    <w:rsid w:val="52F55149"/>
    <w:rsid w:val="52FD6084"/>
    <w:rsid w:val="530E7958"/>
    <w:rsid w:val="53112E65"/>
    <w:rsid w:val="53167932"/>
    <w:rsid w:val="533643AC"/>
    <w:rsid w:val="533F3E94"/>
    <w:rsid w:val="533F5627"/>
    <w:rsid w:val="53674A60"/>
    <w:rsid w:val="536B2B0B"/>
    <w:rsid w:val="536E3315"/>
    <w:rsid w:val="53700535"/>
    <w:rsid w:val="5389669F"/>
    <w:rsid w:val="538A6641"/>
    <w:rsid w:val="538F4D30"/>
    <w:rsid w:val="53A039CC"/>
    <w:rsid w:val="53A1505A"/>
    <w:rsid w:val="53A24CAF"/>
    <w:rsid w:val="53AE3FFC"/>
    <w:rsid w:val="53B73DEE"/>
    <w:rsid w:val="53BD01A7"/>
    <w:rsid w:val="53BD7493"/>
    <w:rsid w:val="53C63440"/>
    <w:rsid w:val="53E9489E"/>
    <w:rsid w:val="53EC4A94"/>
    <w:rsid w:val="53EC4AD3"/>
    <w:rsid w:val="53F57391"/>
    <w:rsid w:val="53F8716D"/>
    <w:rsid w:val="54063E08"/>
    <w:rsid w:val="540751BA"/>
    <w:rsid w:val="540F424B"/>
    <w:rsid w:val="54101AB7"/>
    <w:rsid w:val="5414643B"/>
    <w:rsid w:val="54202660"/>
    <w:rsid w:val="542156D6"/>
    <w:rsid w:val="542E6045"/>
    <w:rsid w:val="5433128B"/>
    <w:rsid w:val="543437E8"/>
    <w:rsid w:val="545613CD"/>
    <w:rsid w:val="54602602"/>
    <w:rsid w:val="54637423"/>
    <w:rsid w:val="54692DFF"/>
    <w:rsid w:val="547D748A"/>
    <w:rsid w:val="548A1F52"/>
    <w:rsid w:val="549E7C90"/>
    <w:rsid w:val="54A018A7"/>
    <w:rsid w:val="54B11BE9"/>
    <w:rsid w:val="54C852E6"/>
    <w:rsid w:val="54CF5490"/>
    <w:rsid w:val="54DA4E5C"/>
    <w:rsid w:val="54E1753C"/>
    <w:rsid w:val="54F16373"/>
    <w:rsid w:val="54F73313"/>
    <w:rsid w:val="54F80955"/>
    <w:rsid w:val="54F8644A"/>
    <w:rsid w:val="54FC1B2C"/>
    <w:rsid w:val="55015043"/>
    <w:rsid w:val="55095230"/>
    <w:rsid w:val="550A3961"/>
    <w:rsid w:val="551919BC"/>
    <w:rsid w:val="551A48EF"/>
    <w:rsid w:val="55200FFC"/>
    <w:rsid w:val="5521663D"/>
    <w:rsid w:val="552822F2"/>
    <w:rsid w:val="552C0129"/>
    <w:rsid w:val="553474E5"/>
    <w:rsid w:val="55391566"/>
    <w:rsid w:val="554072A6"/>
    <w:rsid w:val="555108C4"/>
    <w:rsid w:val="555170A7"/>
    <w:rsid w:val="55556EED"/>
    <w:rsid w:val="555C6E69"/>
    <w:rsid w:val="555F1B77"/>
    <w:rsid w:val="55711797"/>
    <w:rsid w:val="55751607"/>
    <w:rsid w:val="55807337"/>
    <w:rsid w:val="5587536D"/>
    <w:rsid w:val="558C246C"/>
    <w:rsid w:val="55900441"/>
    <w:rsid w:val="559B174B"/>
    <w:rsid w:val="55A7522A"/>
    <w:rsid w:val="55BB632C"/>
    <w:rsid w:val="55C76A19"/>
    <w:rsid w:val="55C8787E"/>
    <w:rsid w:val="55C94470"/>
    <w:rsid w:val="55CE0CF4"/>
    <w:rsid w:val="55CE7837"/>
    <w:rsid w:val="55D27519"/>
    <w:rsid w:val="55FA392C"/>
    <w:rsid w:val="560810AA"/>
    <w:rsid w:val="56147C04"/>
    <w:rsid w:val="56462891"/>
    <w:rsid w:val="564D3082"/>
    <w:rsid w:val="5656324C"/>
    <w:rsid w:val="56576253"/>
    <w:rsid w:val="565A0E7A"/>
    <w:rsid w:val="565C4220"/>
    <w:rsid w:val="566446AA"/>
    <w:rsid w:val="566678FB"/>
    <w:rsid w:val="566F6AF0"/>
    <w:rsid w:val="567264AC"/>
    <w:rsid w:val="567E0C66"/>
    <w:rsid w:val="56A615C0"/>
    <w:rsid w:val="56AA7C7E"/>
    <w:rsid w:val="56AD64E4"/>
    <w:rsid w:val="56B22A9C"/>
    <w:rsid w:val="56B378DD"/>
    <w:rsid w:val="56B52378"/>
    <w:rsid w:val="56BE1A25"/>
    <w:rsid w:val="56C0165F"/>
    <w:rsid w:val="56CC533E"/>
    <w:rsid w:val="56D86018"/>
    <w:rsid w:val="56DF5DC0"/>
    <w:rsid w:val="56E27952"/>
    <w:rsid w:val="56EA3D21"/>
    <w:rsid w:val="56F03530"/>
    <w:rsid w:val="56FB01A6"/>
    <w:rsid w:val="57082F03"/>
    <w:rsid w:val="571F2163"/>
    <w:rsid w:val="57220BE5"/>
    <w:rsid w:val="573A6184"/>
    <w:rsid w:val="57424CA7"/>
    <w:rsid w:val="574D6496"/>
    <w:rsid w:val="57532946"/>
    <w:rsid w:val="57552827"/>
    <w:rsid w:val="577873AE"/>
    <w:rsid w:val="57797DF8"/>
    <w:rsid w:val="577A35CA"/>
    <w:rsid w:val="577F73E8"/>
    <w:rsid w:val="5783721B"/>
    <w:rsid w:val="578B16F9"/>
    <w:rsid w:val="57941317"/>
    <w:rsid w:val="579A28FF"/>
    <w:rsid w:val="57A777B2"/>
    <w:rsid w:val="57B058FF"/>
    <w:rsid w:val="57B72A76"/>
    <w:rsid w:val="57B8633A"/>
    <w:rsid w:val="57C12F18"/>
    <w:rsid w:val="57C3426C"/>
    <w:rsid w:val="57C56A3A"/>
    <w:rsid w:val="57CE1F93"/>
    <w:rsid w:val="57D768D9"/>
    <w:rsid w:val="57DF5B7E"/>
    <w:rsid w:val="57E854CD"/>
    <w:rsid w:val="57EC2AEE"/>
    <w:rsid w:val="580419E0"/>
    <w:rsid w:val="5810444B"/>
    <w:rsid w:val="581B7DCA"/>
    <w:rsid w:val="581F1269"/>
    <w:rsid w:val="58276901"/>
    <w:rsid w:val="582E1491"/>
    <w:rsid w:val="58314685"/>
    <w:rsid w:val="58415E8E"/>
    <w:rsid w:val="58500460"/>
    <w:rsid w:val="585154F5"/>
    <w:rsid w:val="58605B0D"/>
    <w:rsid w:val="58694940"/>
    <w:rsid w:val="586B6E7B"/>
    <w:rsid w:val="58766099"/>
    <w:rsid w:val="588743D1"/>
    <w:rsid w:val="5887701A"/>
    <w:rsid w:val="588D65BE"/>
    <w:rsid w:val="58955F79"/>
    <w:rsid w:val="58B038C1"/>
    <w:rsid w:val="58B623C8"/>
    <w:rsid w:val="58CC2F90"/>
    <w:rsid w:val="58D52836"/>
    <w:rsid w:val="58DE1814"/>
    <w:rsid w:val="58E54ADE"/>
    <w:rsid w:val="58ED29D3"/>
    <w:rsid w:val="58F61FEE"/>
    <w:rsid w:val="58F77D70"/>
    <w:rsid w:val="58F95839"/>
    <w:rsid w:val="59151E70"/>
    <w:rsid w:val="592C2E0D"/>
    <w:rsid w:val="59333A1B"/>
    <w:rsid w:val="593908F4"/>
    <w:rsid w:val="593F2D01"/>
    <w:rsid w:val="595262C1"/>
    <w:rsid w:val="595647DF"/>
    <w:rsid w:val="596072F6"/>
    <w:rsid w:val="59626930"/>
    <w:rsid w:val="5964736A"/>
    <w:rsid w:val="59690373"/>
    <w:rsid w:val="59745077"/>
    <w:rsid w:val="59871A28"/>
    <w:rsid w:val="599450BC"/>
    <w:rsid w:val="599D16AC"/>
    <w:rsid w:val="59C0439F"/>
    <w:rsid w:val="59DF6790"/>
    <w:rsid w:val="59E82269"/>
    <w:rsid w:val="59EB3378"/>
    <w:rsid w:val="59F12CF3"/>
    <w:rsid w:val="59FC0EE1"/>
    <w:rsid w:val="5A027E20"/>
    <w:rsid w:val="5A0526D7"/>
    <w:rsid w:val="5A065CDE"/>
    <w:rsid w:val="5A0A3816"/>
    <w:rsid w:val="5A0C5768"/>
    <w:rsid w:val="5A0F5777"/>
    <w:rsid w:val="5A183D37"/>
    <w:rsid w:val="5A301B92"/>
    <w:rsid w:val="5A35156B"/>
    <w:rsid w:val="5A6246A2"/>
    <w:rsid w:val="5A672278"/>
    <w:rsid w:val="5A683953"/>
    <w:rsid w:val="5A6B6058"/>
    <w:rsid w:val="5A802B3A"/>
    <w:rsid w:val="5A945FC4"/>
    <w:rsid w:val="5A9A1573"/>
    <w:rsid w:val="5A9D7AF7"/>
    <w:rsid w:val="5AA451AD"/>
    <w:rsid w:val="5AA83549"/>
    <w:rsid w:val="5AAC63A5"/>
    <w:rsid w:val="5AB84819"/>
    <w:rsid w:val="5ABA2DB4"/>
    <w:rsid w:val="5ABE2233"/>
    <w:rsid w:val="5AC661A1"/>
    <w:rsid w:val="5AC73A62"/>
    <w:rsid w:val="5ACC548A"/>
    <w:rsid w:val="5ACF0C72"/>
    <w:rsid w:val="5AD101FD"/>
    <w:rsid w:val="5AD55023"/>
    <w:rsid w:val="5ADF0C3C"/>
    <w:rsid w:val="5AE230FF"/>
    <w:rsid w:val="5AEE63B0"/>
    <w:rsid w:val="5AF00D61"/>
    <w:rsid w:val="5AF80CDA"/>
    <w:rsid w:val="5AF81D49"/>
    <w:rsid w:val="5B021334"/>
    <w:rsid w:val="5B055290"/>
    <w:rsid w:val="5B07039B"/>
    <w:rsid w:val="5B0B0EA5"/>
    <w:rsid w:val="5B133683"/>
    <w:rsid w:val="5B1D2C07"/>
    <w:rsid w:val="5B210806"/>
    <w:rsid w:val="5B303F63"/>
    <w:rsid w:val="5B3405BA"/>
    <w:rsid w:val="5B3A71FC"/>
    <w:rsid w:val="5B4114D0"/>
    <w:rsid w:val="5B4D259B"/>
    <w:rsid w:val="5B566377"/>
    <w:rsid w:val="5B6007F1"/>
    <w:rsid w:val="5B6116F8"/>
    <w:rsid w:val="5B70774D"/>
    <w:rsid w:val="5B7C0E2B"/>
    <w:rsid w:val="5B803495"/>
    <w:rsid w:val="5B9867FA"/>
    <w:rsid w:val="5B9F3E43"/>
    <w:rsid w:val="5BA538F1"/>
    <w:rsid w:val="5BC156AC"/>
    <w:rsid w:val="5BC96971"/>
    <w:rsid w:val="5BDB39AF"/>
    <w:rsid w:val="5BDC29BE"/>
    <w:rsid w:val="5BDF5D95"/>
    <w:rsid w:val="5BEE6684"/>
    <w:rsid w:val="5BFE7528"/>
    <w:rsid w:val="5C296ECF"/>
    <w:rsid w:val="5C2F2EB2"/>
    <w:rsid w:val="5C453242"/>
    <w:rsid w:val="5C515F01"/>
    <w:rsid w:val="5C704430"/>
    <w:rsid w:val="5C726CE7"/>
    <w:rsid w:val="5C7B120D"/>
    <w:rsid w:val="5C8610D4"/>
    <w:rsid w:val="5C960E60"/>
    <w:rsid w:val="5CAA52F5"/>
    <w:rsid w:val="5CAD5B26"/>
    <w:rsid w:val="5CB906AE"/>
    <w:rsid w:val="5CD3000C"/>
    <w:rsid w:val="5CD60175"/>
    <w:rsid w:val="5CF538F8"/>
    <w:rsid w:val="5D0079BC"/>
    <w:rsid w:val="5D221CEB"/>
    <w:rsid w:val="5D502CAC"/>
    <w:rsid w:val="5D5C405F"/>
    <w:rsid w:val="5D653D28"/>
    <w:rsid w:val="5D720E3C"/>
    <w:rsid w:val="5D8E563A"/>
    <w:rsid w:val="5D9A743A"/>
    <w:rsid w:val="5DA81656"/>
    <w:rsid w:val="5DAF69D9"/>
    <w:rsid w:val="5DB32955"/>
    <w:rsid w:val="5DD8590E"/>
    <w:rsid w:val="5DED1810"/>
    <w:rsid w:val="5E08168F"/>
    <w:rsid w:val="5E0922E2"/>
    <w:rsid w:val="5E0E40E6"/>
    <w:rsid w:val="5E120175"/>
    <w:rsid w:val="5E2467F1"/>
    <w:rsid w:val="5E2C1BB0"/>
    <w:rsid w:val="5E8043C9"/>
    <w:rsid w:val="5E8E7206"/>
    <w:rsid w:val="5EA87403"/>
    <w:rsid w:val="5EAC53B7"/>
    <w:rsid w:val="5EAF34A3"/>
    <w:rsid w:val="5EC156C2"/>
    <w:rsid w:val="5EC374BA"/>
    <w:rsid w:val="5ECC04CA"/>
    <w:rsid w:val="5F0C1696"/>
    <w:rsid w:val="5F131170"/>
    <w:rsid w:val="5F1535C6"/>
    <w:rsid w:val="5F157266"/>
    <w:rsid w:val="5F1A2B43"/>
    <w:rsid w:val="5F1D28C6"/>
    <w:rsid w:val="5F276E75"/>
    <w:rsid w:val="5F2F7687"/>
    <w:rsid w:val="5F3D134A"/>
    <w:rsid w:val="5F473C17"/>
    <w:rsid w:val="5F4D639C"/>
    <w:rsid w:val="5F510244"/>
    <w:rsid w:val="5F53771E"/>
    <w:rsid w:val="5F605E5E"/>
    <w:rsid w:val="5F6A1F77"/>
    <w:rsid w:val="5F7975EA"/>
    <w:rsid w:val="5FA82A9C"/>
    <w:rsid w:val="5FAB65C9"/>
    <w:rsid w:val="5FB14566"/>
    <w:rsid w:val="5FB837BB"/>
    <w:rsid w:val="5FDD0BC8"/>
    <w:rsid w:val="5FDF67A0"/>
    <w:rsid w:val="5FED0F18"/>
    <w:rsid w:val="5FF161D0"/>
    <w:rsid w:val="5FF636B8"/>
    <w:rsid w:val="5FF947A0"/>
    <w:rsid w:val="60005499"/>
    <w:rsid w:val="601A38FA"/>
    <w:rsid w:val="602A7468"/>
    <w:rsid w:val="60346F43"/>
    <w:rsid w:val="603B68AA"/>
    <w:rsid w:val="605B0053"/>
    <w:rsid w:val="605B0BA0"/>
    <w:rsid w:val="60687CF2"/>
    <w:rsid w:val="609A3355"/>
    <w:rsid w:val="609F7183"/>
    <w:rsid w:val="60A23561"/>
    <w:rsid w:val="60AC59A0"/>
    <w:rsid w:val="60AD6BB6"/>
    <w:rsid w:val="60B1412F"/>
    <w:rsid w:val="60CC405A"/>
    <w:rsid w:val="60D20127"/>
    <w:rsid w:val="60EE02F8"/>
    <w:rsid w:val="60F500B7"/>
    <w:rsid w:val="60F70FE3"/>
    <w:rsid w:val="610821E3"/>
    <w:rsid w:val="610B59CF"/>
    <w:rsid w:val="61164560"/>
    <w:rsid w:val="61220FAB"/>
    <w:rsid w:val="612568EF"/>
    <w:rsid w:val="612F47CF"/>
    <w:rsid w:val="612F5E35"/>
    <w:rsid w:val="613E2DB2"/>
    <w:rsid w:val="613E5F98"/>
    <w:rsid w:val="61456966"/>
    <w:rsid w:val="615128F2"/>
    <w:rsid w:val="618C19A2"/>
    <w:rsid w:val="618F6118"/>
    <w:rsid w:val="61B26F1C"/>
    <w:rsid w:val="61C67EBC"/>
    <w:rsid w:val="61CC01D0"/>
    <w:rsid w:val="61E215D8"/>
    <w:rsid w:val="61E76F33"/>
    <w:rsid w:val="61EF4EBA"/>
    <w:rsid w:val="62067404"/>
    <w:rsid w:val="621B3775"/>
    <w:rsid w:val="622F5724"/>
    <w:rsid w:val="6236332D"/>
    <w:rsid w:val="62364782"/>
    <w:rsid w:val="624B28BC"/>
    <w:rsid w:val="624F02E9"/>
    <w:rsid w:val="62586279"/>
    <w:rsid w:val="625A334C"/>
    <w:rsid w:val="625B116F"/>
    <w:rsid w:val="625E42D7"/>
    <w:rsid w:val="62657B29"/>
    <w:rsid w:val="62750A45"/>
    <w:rsid w:val="628E14B9"/>
    <w:rsid w:val="62B20536"/>
    <w:rsid w:val="62B66025"/>
    <w:rsid w:val="62C03478"/>
    <w:rsid w:val="62C65506"/>
    <w:rsid w:val="62D06D8A"/>
    <w:rsid w:val="62E2089D"/>
    <w:rsid w:val="63025D06"/>
    <w:rsid w:val="63094CD9"/>
    <w:rsid w:val="630E017F"/>
    <w:rsid w:val="63111BEA"/>
    <w:rsid w:val="63125C9E"/>
    <w:rsid w:val="63220932"/>
    <w:rsid w:val="632D26CF"/>
    <w:rsid w:val="63372DDD"/>
    <w:rsid w:val="633B5B0D"/>
    <w:rsid w:val="633E7BE0"/>
    <w:rsid w:val="63451C4B"/>
    <w:rsid w:val="636C508D"/>
    <w:rsid w:val="63772D3B"/>
    <w:rsid w:val="6394137C"/>
    <w:rsid w:val="6394356A"/>
    <w:rsid w:val="63956053"/>
    <w:rsid w:val="63C61B2C"/>
    <w:rsid w:val="63D374FB"/>
    <w:rsid w:val="63D40BE9"/>
    <w:rsid w:val="63DA2F9A"/>
    <w:rsid w:val="63F31B3A"/>
    <w:rsid w:val="63FC12DF"/>
    <w:rsid w:val="640760A3"/>
    <w:rsid w:val="640928D5"/>
    <w:rsid w:val="640D027A"/>
    <w:rsid w:val="64102431"/>
    <w:rsid w:val="64162DE2"/>
    <w:rsid w:val="641F49F0"/>
    <w:rsid w:val="64281175"/>
    <w:rsid w:val="6439067B"/>
    <w:rsid w:val="64450818"/>
    <w:rsid w:val="644D530F"/>
    <w:rsid w:val="645D1ACD"/>
    <w:rsid w:val="64740FEB"/>
    <w:rsid w:val="647F721E"/>
    <w:rsid w:val="64815D72"/>
    <w:rsid w:val="64861FC5"/>
    <w:rsid w:val="649A7212"/>
    <w:rsid w:val="64A5243A"/>
    <w:rsid w:val="64A71CD8"/>
    <w:rsid w:val="64B50099"/>
    <w:rsid w:val="64D46DE8"/>
    <w:rsid w:val="64D9572A"/>
    <w:rsid w:val="64DC675C"/>
    <w:rsid w:val="64EE738C"/>
    <w:rsid w:val="64F531DE"/>
    <w:rsid w:val="65040E91"/>
    <w:rsid w:val="650F2DD8"/>
    <w:rsid w:val="65140265"/>
    <w:rsid w:val="65371C90"/>
    <w:rsid w:val="65373578"/>
    <w:rsid w:val="65395430"/>
    <w:rsid w:val="653E28A7"/>
    <w:rsid w:val="654B4AF8"/>
    <w:rsid w:val="654D4131"/>
    <w:rsid w:val="654F27AC"/>
    <w:rsid w:val="65734E3A"/>
    <w:rsid w:val="65771092"/>
    <w:rsid w:val="65782646"/>
    <w:rsid w:val="658F6522"/>
    <w:rsid w:val="65B91078"/>
    <w:rsid w:val="65BA0811"/>
    <w:rsid w:val="65C53B51"/>
    <w:rsid w:val="65D456EE"/>
    <w:rsid w:val="65DA6CA5"/>
    <w:rsid w:val="65E4279D"/>
    <w:rsid w:val="65E77FC7"/>
    <w:rsid w:val="65E8007F"/>
    <w:rsid w:val="65E91C15"/>
    <w:rsid w:val="65F51015"/>
    <w:rsid w:val="65FB0AE9"/>
    <w:rsid w:val="65FE0CF2"/>
    <w:rsid w:val="66034D04"/>
    <w:rsid w:val="662167B2"/>
    <w:rsid w:val="66292DF4"/>
    <w:rsid w:val="663A4F0F"/>
    <w:rsid w:val="663E36F9"/>
    <w:rsid w:val="664F1FFE"/>
    <w:rsid w:val="666104FB"/>
    <w:rsid w:val="666C6164"/>
    <w:rsid w:val="668D5186"/>
    <w:rsid w:val="66920698"/>
    <w:rsid w:val="669A50FE"/>
    <w:rsid w:val="66A32854"/>
    <w:rsid w:val="66AD4484"/>
    <w:rsid w:val="66B068EF"/>
    <w:rsid w:val="66B34DA2"/>
    <w:rsid w:val="66C257B9"/>
    <w:rsid w:val="66C748DD"/>
    <w:rsid w:val="66D57C3B"/>
    <w:rsid w:val="66EA3D08"/>
    <w:rsid w:val="67041B60"/>
    <w:rsid w:val="67115EFA"/>
    <w:rsid w:val="671F124A"/>
    <w:rsid w:val="67227222"/>
    <w:rsid w:val="67493B2F"/>
    <w:rsid w:val="674A2CEA"/>
    <w:rsid w:val="67521D03"/>
    <w:rsid w:val="675302EE"/>
    <w:rsid w:val="676B2829"/>
    <w:rsid w:val="677A33C6"/>
    <w:rsid w:val="677F5C5F"/>
    <w:rsid w:val="67AA158D"/>
    <w:rsid w:val="67AF7BF0"/>
    <w:rsid w:val="67B67ADF"/>
    <w:rsid w:val="67D633A8"/>
    <w:rsid w:val="67DB4847"/>
    <w:rsid w:val="67E45FBD"/>
    <w:rsid w:val="67E85E0A"/>
    <w:rsid w:val="67E903A6"/>
    <w:rsid w:val="67ED25FD"/>
    <w:rsid w:val="68067806"/>
    <w:rsid w:val="680728E3"/>
    <w:rsid w:val="680D5D65"/>
    <w:rsid w:val="680F4D84"/>
    <w:rsid w:val="681C02EF"/>
    <w:rsid w:val="681F6961"/>
    <w:rsid w:val="68221ECA"/>
    <w:rsid w:val="68354398"/>
    <w:rsid w:val="68404D68"/>
    <w:rsid w:val="68412917"/>
    <w:rsid w:val="68431AAF"/>
    <w:rsid w:val="6843447F"/>
    <w:rsid w:val="684C356E"/>
    <w:rsid w:val="685077F4"/>
    <w:rsid w:val="68565731"/>
    <w:rsid w:val="685B0A7D"/>
    <w:rsid w:val="685F2D1B"/>
    <w:rsid w:val="68610A2F"/>
    <w:rsid w:val="686114E8"/>
    <w:rsid w:val="686B48E3"/>
    <w:rsid w:val="686F4CDF"/>
    <w:rsid w:val="687060E4"/>
    <w:rsid w:val="68790CC1"/>
    <w:rsid w:val="68805514"/>
    <w:rsid w:val="689301E4"/>
    <w:rsid w:val="68A71603"/>
    <w:rsid w:val="68B00BCB"/>
    <w:rsid w:val="68B03A63"/>
    <w:rsid w:val="68BF0F4D"/>
    <w:rsid w:val="68C7071F"/>
    <w:rsid w:val="68CC3C0A"/>
    <w:rsid w:val="68EE3E9C"/>
    <w:rsid w:val="690439F1"/>
    <w:rsid w:val="69075AC3"/>
    <w:rsid w:val="69316E2F"/>
    <w:rsid w:val="69396098"/>
    <w:rsid w:val="693C48AE"/>
    <w:rsid w:val="694B7CD3"/>
    <w:rsid w:val="694E2071"/>
    <w:rsid w:val="6953116E"/>
    <w:rsid w:val="69543C2F"/>
    <w:rsid w:val="695468E8"/>
    <w:rsid w:val="695D49DD"/>
    <w:rsid w:val="695F2B1A"/>
    <w:rsid w:val="696B42F1"/>
    <w:rsid w:val="69766163"/>
    <w:rsid w:val="69780EF0"/>
    <w:rsid w:val="697A3B33"/>
    <w:rsid w:val="69976C9A"/>
    <w:rsid w:val="699868C4"/>
    <w:rsid w:val="699E2F2E"/>
    <w:rsid w:val="69A233D8"/>
    <w:rsid w:val="69A81A94"/>
    <w:rsid w:val="69BC74AB"/>
    <w:rsid w:val="69C94E96"/>
    <w:rsid w:val="69CA65CF"/>
    <w:rsid w:val="69D24ADD"/>
    <w:rsid w:val="69D44760"/>
    <w:rsid w:val="69EE3831"/>
    <w:rsid w:val="69F05A0E"/>
    <w:rsid w:val="6A0A719B"/>
    <w:rsid w:val="6A0C70E1"/>
    <w:rsid w:val="6A142C40"/>
    <w:rsid w:val="6A1800B0"/>
    <w:rsid w:val="6A257283"/>
    <w:rsid w:val="6A25738F"/>
    <w:rsid w:val="6A3A7C96"/>
    <w:rsid w:val="6A4A496F"/>
    <w:rsid w:val="6A520EC7"/>
    <w:rsid w:val="6A5F6C12"/>
    <w:rsid w:val="6A620B6D"/>
    <w:rsid w:val="6A6E5D1D"/>
    <w:rsid w:val="6A7D7090"/>
    <w:rsid w:val="6A806176"/>
    <w:rsid w:val="6A9F08FA"/>
    <w:rsid w:val="6AA6010D"/>
    <w:rsid w:val="6AAC1AB1"/>
    <w:rsid w:val="6AB3536E"/>
    <w:rsid w:val="6AB43694"/>
    <w:rsid w:val="6AB443FA"/>
    <w:rsid w:val="6ABE49F0"/>
    <w:rsid w:val="6AC16793"/>
    <w:rsid w:val="6AF87E20"/>
    <w:rsid w:val="6AFD1ACB"/>
    <w:rsid w:val="6AFF0430"/>
    <w:rsid w:val="6B054C45"/>
    <w:rsid w:val="6B076116"/>
    <w:rsid w:val="6B1D6D91"/>
    <w:rsid w:val="6B1E63BA"/>
    <w:rsid w:val="6B1F588A"/>
    <w:rsid w:val="6B20284F"/>
    <w:rsid w:val="6B2666A0"/>
    <w:rsid w:val="6B2D5FC6"/>
    <w:rsid w:val="6B2D776E"/>
    <w:rsid w:val="6B322639"/>
    <w:rsid w:val="6B37144A"/>
    <w:rsid w:val="6B38483B"/>
    <w:rsid w:val="6B4138F0"/>
    <w:rsid w:val="6B42714C"/>
    <w:rsid w:val="6B512BB7"/>
    <w:rsid w:val="6B586082"/>
    <w:rsid w:val="6B6133F9"/>
    <w:rsid w:val="6B621CBF"/>
    <w:rsid w:val="6B673F71"/>
    <w:rsid w:val="6B73456F"/>
    <w:rsid w:val="6BB669DD"/>
    <w:rsid w:val="6BB70C42"/>
    <w:rsid w:val="6BB844A8"/>
    <w:rsid w:val="6BD063E4"/>
    <w:rsid w:val="6BE250D2"/>
    <w:rsid w:val="6BEF5BEA"/>
    <w:rsid w:val="6C0067D3"/>
    <w:rsid w:val="6C0C3470"/>
    <w:rsid w:val="6C0F1BB8"/>
    <w:rsid w:val="6C1247EE"/>
    <w:rsid w:val="6C184383"/>
    <w:rsid w:val="6C232C46"/>
    <w:rsid w:val="6C2F6B67"/>
    <w:rsid w:val="6C3502C7"/>
    <w:rsid w:val="6C39121A"/>
    <w:rsid w:val="6C411D6E"/>
    <w:rsid w:val="6C4D3454"/>
    <w:rsid w:val="6C636C38"/>
    <w:rsid w:val="6C6B508F"/>
    <w:rsid w:val="6C6E5253"/>
    <w:rsid w:val="6C77156E"/>
    <w:rsid w:val="6C830CAF"/>
    <w:rsid w:val="6C8E627E"/>
    <w:rsid w:val="6C940D74"/>
    <w:rsid w:val="6C9C62A5"/>
    <w:rsid w:val="6C9E62A1"/>
    <w:rsid w:val="6CA82B0A"/>
    <w:rsid w:val="6CB153A1"/>
    <w:rsid w:val="6CB73A9E"/>
    <w:rsid w:val="6CC02058"/>
    <w:rsid w:val="6CC176C2"/>
    <w:rsid w:val="6CC36F7E"/>
    <w:rsid w:val="6CD83CAC"/>
    <w:rsid w:val="6CEA441B"/>
    <w:rsid w:val="6CF6423E"/>
    <w:rsid w:val="6D053DAB"/>
    <w:rsid w:val="6D116999"/>
    <w:rsid w:val="6D142900"/>
    <w:rsid w:val="6D201CD7"/>
    <w:rsid w:val="6D2E30B3"/>
    <w:rsid w:val="6D3B3475"/>
    <w:rsid w:val="6D476A43"/>
    <w:rsid w:val="6D4B6F38"/>
    <w:rsid w:val="6D5B6A8F"/>
    <w:rsid w:val="6D5F5EFF"/>
    <w:rsid w:val="6D656DA3"/>
    <w:rsid w:val="6D7D2FCB"/>
    <w:rsid w:val="6D80759B"/>
    <w:rsid w:val="6D845BC3"/>
    <w:rsid w:val="6D856DAF"/>
    <w:rsid w:val="6D8B0AF5"/>
    <w:rsid w:val="6D8B2EFE"/>
    <w:rsid w:val="6DA35259"/>
    <w:rsid w:val="6DA974DA"/>
    <w:rsid w:val="6DB34098"/>
    <w:rsid w:val="6DB545B6"/>
    <w:rsid w:val="6DB66C3D"/>
    <w:rsid w:val="6DB67ED8"/>
    <w:rsid w:val="6DBD478F"/>
    <w:rsid w:val="6DD12AE8"/>
    <w:rsid w:val="6DD4714A"/>
    <w:rsid w:val="6DDB52F2"/>
    <w:rsid w:val="6DE02FB4"/>
    <w:rsid w:val="6DFA6436"/>
    <w:rsid w:val="6E1369D2"/>
    <w:rsid w:val="6E221FA3"/>
    <w:rsid w:val="6E242572"/>
    <w:rsid w:val="6E2761A8"/>
    <w:rsid w:val="6E33083A"/>
    <w:rsid w:val="6E504F60"/>
    <w:rsid w:val="6E514CED"/>
    <w:rsid w:val="6E6418EF"/>
    <w:rsid w:val="6E7647D3"/>
    <w:rsid w:val="6E7A4522"/>
    <w:rsid w:val="6E813C40"/>
    <w:rsid w:val="6E840270"/>
    <w:rsid w:val="6E9700FE"/>
    <w:rsid w:val="6E9B32AD"/>
    <w:rsid w:val="6E9C7C00"/>
    <w:rsid w:val="6EA439D0"/>
    <w:rsid w:val="6EB563D5"/>
    <w:rsid w:val="6EBE064A"/>
    <w:rsid w:val="6ECE2C0C"/>
    <w:rsid w:val="6ED45AED"/>
    <w:rsid w:val="6ED82B54"/>
    <w:rsid w:val="6ED92677"/>
    <w:rsid w:val="6EDC4E9E"/>
    <w:rsid w:val="6EE11076"/>
    <w:rsid w:val="6EE50F77"/>
    <w:rsid w:val="6EF20553"/>
    <w:rsid w:val="6EF246A9"/>
    <w:rsid w:val="6F1A0034"/>
    <w:rsid w:val="6F1F73A8"/>
    <w:rsid w:val="6F216D91"/>
    <w:rsid w:val="6F225983"/>
    <w:rsid w:val="6F260685"/>
    <w:rsid w:val="6F2F7F07"/>
    <w:rsid w:val="6F391FF7"/>
    <w:rsid w:val="6F4C4182"/>
    <w:rsid w:val="6F4F74B7"/>
    <w:rsid w:val="6F5A2595"/>
    <w:rsid w:val="6F650A29"/>
    <w:rsid w:val="6F6A730A"/>
    <w:rsid w:val="6F6C52CC"/>
    <w:rsid w:val="6F6D1057"/>
    <w:rsid w:val="6F766113"/>
    <w:rsid w:val="6F85511C"/>
    <w:rsid w:val="6F8721A7"/>
    <w:rsid w:val="6F9049AD"/>
    <w:rsid w:val="6F964491"/>
    <w:rsid w:val="6FAE7B11"/>
    <w:rsid w:val="6FB053D0"/>
    <w:rsid w:val="6FB95B3B"/>
    <w:rsid w:val="6FBD1170"/>
    <w:rsid w:val="6FC81D5C"/>
    <w:rsid w:val="6FD0156C"/>
    <w:rsid w:val="6FE611CF"/>
    <w:rsid w:val="6FE76191"/>
    <w:rsid w:val="6FFB5F32"/>
    <w:rsid w:val="6FFB7C2F"/>
    <w:rsid w:val="6FFC5590"/>
    <w:rsid w:val="70071906"/>
    <w:rsid w:val="70096622"/>
    <w:rsid w:val="700B31D1"/>
    <w:rsid w:val="703A567D"/>
    <w:rsid w:val="704135E2"/>
    <w:rsid w:val="704B40A4"/>
    <w:rsid w:val="704E58EB"/>
    <w:rsid w:val="70507049"/>
    <w:rsid w:val="70581715"/>
    <w:rsid w:val="705C010E"/>
    <w:rsid w:val="705F0C23"/>
    <w:rsid w:val="706D1DD0"/>
    <w:rsid w:val="70752359"/>
    <w:rsid w:val="70794A89"/>
    <w:rsid w:val="707A5607"/>
    <w:rsid w:val="70856B87"/>
    <w:rsid w:val="708A54FD"/>
    <w:rsid w:val="70A6704C"/>
    <w:rsid w:val="70A82AC5"/>
    <w:rsid w:val="70AC36C3"/>
    <w:rsid w:val="70B64377"/>
    <w:rsid w:val="70C90504"/>
    <w:rsid w:val="70CE78AA"/>
    <w:rsid w:val="70D527EE"/>
    <w:rsid w:val="70E1567B"/>
    <w:rsid w:val="70E76A1A"/>
    <w:rsid w:val="70F105F6"/>
    <w:rsid w:val="71255A18"/>
    <w:rsid w:val="712941E1"/>
    <w:rsid w:val="714449C3"/>
    <w:rsid w:val="7157185B"/>
    <w:rsid w:val="715B5300"/>
    <w:rsid w:val="716C3E79"/>
    <w:rsid w:val="71773C1B"/>
    <w:rsid w:val="717908AE"/>
    <w:rsid w:val="71793F15"/>
    <w:rsid w:val="717A459E"/>
    <w:rsid w:val="718C0ACD"/>
    <w:rsid w:val="719C32BA"/>
    <w:rsid w:val="719E337B"/>
    <w:rsid w:val="71AE7D73"/>
    <w:rsid w:val="71B67F02"/>
    <w:rsid w:val="71C4417B"/>
    <w:rsid w:val="71C87717"/>
    <w:rsid w:val="71D27F8A"/>
    <w:rsid w:val="71DB7B1F"/>
    <w:rsid w:val="71DE234D"/>
    <w:rsid w:val="71E52D2E"/>
    <w:rsid w:val="7202695B"/>
    <w:rsid w:val="72035E52"/>
    <w:rsid w:val="722075EF"/>
    <w:rsid w:val="72207FF4"/>
    <w:rsid w:val="7224201A"/>
    <w:rsid w:val="723C6643"/>
    <w:rsid w:val="724626DB"/>
    <w:rsid w:val="724A3746"/>
    <w:rsid w:val="724E1363"/>
    <w:rsid w:val="72553024"/>
    <w:rsid w:val="725773D2"/>
    <w:rsid w:val="72635D07"/>
    <w:rsid w:val="726944A0"/>
    <w:rsid w:val="7274676C"/>
    <w:rsid w:val="728D113A"/>
    <w:rsid w:val="72947F9F"/>
    <w:rsid w:val="72A71FBE"/>
    <w:rsid w:val="72A9362A"/>
    <w:rsid w:val="72BC1BD1"/>
    <w:rsid w:val="72CC7082"/>
    <w:rsid w:val="72D02E5B"/>
    <w:rsid w:val="72D95426"/>
    <w:rsid w:val="72DC29A6"/>
    <w:rsid w:val="72E160A4"/>
    <w:rsid w:val="72FA36CB"/>
    <w:rsid w:val="73025EA1"/>
    <w:rsid w:val="73101A58"/>
    <w:rsid w:val="731020D2"/>
    <w:rsid w:val="73122968"/>
    <w:rsid w:val="731F5D5E"/>
    <w:rsid w:val="732A3063"/>
    <w:rsid w:val="73414B6D"/>
    <w:rsid w:val="73462D9A"/>
    <w:rsid w:val="73504CF1"/>
    <w:rsid w:val="737065A8"/>
    <w:rsid w:val="73766C52"/>
    <w:rsid w:val="738721A7"/>
    <w:rsid w:val="73A363B2"/>
    <w:rsid w:val="73A73CBE"/>
    <w:rsid w:val="73AF6028"/>
    <w:rsid w:val="73B44625"/>
    <w:rsid w:val="73BC0FC0"/>
    <w:rsid w:val="73BD09C6"/>
    <w:rsid w:val="73C02111"/>
    <w:rsid w:val="73C51AD5"/>
    <w:rsid w:val="73D56EBB"/>
    <w:rsid w:val="73D826B6"/>
    <w:rsid w:val="73DB2DAE"/>
    <w:rsid w:val="73DB3BCD"/>
    <w:rsid w:val="73DC39E9"/>
    <w:rsid w:val="73EB2103"/>
    <w:rsid w:val="73F20A32"/>
    <w:rsid w:val="7402780D"/>
    <w:rsid w:val="74031340"/>
    <w:rsid w:val="7408229A"/>
    <w:rsid w:val="740A2887"/>
    <w:rsid w:val="74143AC7"/>
    <w:rsid w:val="741B5AFD"/>
    <w:rsid w:val="741E793C"/>
    <w:rsid w:val="742675DD"/>
    <w:rsid w:val="74415063"/>
    <w:rsid w:val="744324E1"/>
    <w:rsid w:val="7458159B"/>
    <w:rsid w:val="745B0F53"/>
    <w:rsid w:val="745E3944"/>
    <w:rsid w:val="74630C9F"/>
    <w:rsid w:val="74766DF5"/>
    <w:rsid w:val="74767B49"/>
    <w:rsid w:val="74815E4B"/>
    <w:rsid w:val="748C3054"/>
    <w:rsid w:val="74952731"/>
    <w:rsid w:val="74AB0844"/>
    <w:rsid w:val="74BB7D41"/>
    <w:rsid w:val="74C12983"/>
    <w:rsid w:val="74D76517"/>
    <w:rsid w:val="74F66CA0"/>
    <w:rsid w:val="750C3E7A"/>
    <w:rsid w:val="75127956"/>
    <w:rsid w:val="751D6227"/>
    <w:rsid w:val="754A6AEF"/>
    <w:rsid w:val="754C753D"/>
    <w:rsid w:val="755465B9"/>
    <w:rsid w:val="75692C7B"/>
    <w:rsid w:val="75697FF0"/>
    <w:rsid w:val="756D76B2"/>
    <w:rsid w:val="757A0E8F"/>
    <w:rsid w:val="757C2BC0"/>
    <w:rsid w:val="757F6ABB"/>
    <w:rsid w:val="75BE3856"/>
    <w:rsid w:val="75BF3FBC"/>
    <w:rsid w:val="75C049E5"/>
    <w:rsid w:val="75C04FC9"/>
    <w:rsid w:val="75C54CB1"/>
    <w:rsid w:val="75E44F35"/>
    <w:rsid w:val="75F04B04"/>
    <w:rsid w:val="760B3A17"/>
    <w:rsid w:val="76152B06"/>
    <w:rsid w:val="762A7AD4"/>
    <w:rsid w:val="762F0F11"/>
    <w:rsid w:val="7630676D"/>
    <w:rsid w:val="7635099D"/>
    <w:rsid w:val="76386708"/>
    <w:rsid w:val="7648456F"/>
    <w:rsid w:val="76516E10"/>
    <w:rsid w:val="76522799"/>
    <w:rsid w:val="765E4853"/>
    <w:rsid w:val="767A3699"/>
    <w:rsid w:val="768F7C2E"/>
    <w:rsid w:val="769A425A"/>
    <w:rsid w:val="76CB475A"/>
    <w:rsid w:val="76D13054"/>
    <w:rsid w:val="76D558A4"/>
    <w:rsid w:val="76DE63ED"/>
    <w:rsid w:val="76DE6C6E"/>
    <w:rsid w:val="76E12927"/>
    <w:rsid w:val="76E364B0"/>
    <w:rsid w:val="76EA6E08"/>
    <w:rsid w:val="76EE7ABE"/>
    <w:rsid w:val="76F84B2F"/>
    <w:rsid w:val="76FF74D8"/>
    <w:rsid w:val="77130D51"/>
    <w:rsid w:val="774B6510"/>
    <w:rsid w:val="775517EC"/>
    <w:rsid w:val="77621FBD"/>
    <w:rsid w:val="776A6F9B"/>
    <w:rsid w:val="776D2405"/>
    <w:rsid w:val="77734EF1"/>
    <w:rsid w:val="77762421"/>
    <w:rsid w:val="7781299F"/>
    <w:rsid w:val="778A22F2"/>
    <w:rsid w:val="77B56B1F"/>
    <w:rsid w:val="77C76A7F"/>
    <w:rsid w:val="77DE3189"/>
    <w:rsid w:val="77DE738A"/>
    <w:rsid w:val="77F9198A"/>
    <w:rsid w:val="780F09F4"/>
    <w:rsid w:val="78134D4F"/>
    <w:rsid w:val="781840B1"/>
    <w:rsid w:val="783476F2"/>
    <w:rsid w:val="783542C3"/>
    <w:rsid w:val="785048F4"/>
    <w:rsid w:val="785B6B1F"/>
    <w:rsid w:val="788A1419"/>
    <w:rsid w:val="789E30FA"/>
    <w:rsid w:val="78A22902"/>
    <w:rsid w:val="78A90480"/>
    <w:rsid w:val="78AC575A"/>
    <w:rsid w:val="78C72666"/>
    <w:rsid w:val="78DE02D9"/>
    <w:rsid w:val="78E000D6"/>
    <w:rsid w:val="78E469C1"/>
    <w:rsid w:val="78E92F4D"/>
    <w:rsid w:val="78FB1146"/>
    <w:rsid w:val="791825B7"/>
    <w:rsid w:val="792F2026"/>
    <w:rsid w:val="793C7BE5"/>
    <w:rsid w:val="794A3CC1"/>
    <w:rsid w:val="794F5771"/>
    <w:rsid w:val="795124DC"/>
    <w:rsid w:val="796516B4"/>
    <w:rsid w:val="7967694A"/>
    <w:rsid w:val="79681079"/>
    <w:rsid w:val="798B671A"/>
    <w:rsid w:val="79945BAD"/>
    <w:rsid w:val="79A10DF1"/>
    <w:rsid w:val="79A41886"/>
    <w:rsid w:val="79C17B9D"/>
    <w:rsid w:val="79D82550"/>
    <w:rsid w:val="79DC2BC9"/>
    <w:rsid w:val="79EC0B13"/>
    <w:rsid w:val="79F26729"/>
    <w:rsid w:val="79F73B38"/>
    <w:rsid w:val="7A053686"/>
    <w:rsid w:val="7A0C71A0"/>
    <w:rsid w:val="7A2C052B"/>
    <w:rsid w:val="7A350868"/>
    <w:rsid w:val="7A353894"/>
    <w:rsid w:val="7A364017"/>
    <w:rsid w:val="7A396F15"/>
    <w:rsid w:val="7A3F5DFD"/>
    <w:rsid w:val="7A400FD9"/>
    <w:rsid w:val="7A590CF0"/>
    <w:rsid w:val="7A596308"/>
    <w:rsid w:val="7A635149"/>
    <w:rsid w:val="7A654723"/>
    <w:rsid w:val="7A7179B3"/>
    <w:rsid w:val="7A7E283B"/>
    <w:rsid w:val="7A8265E1"/>
    <w:rsid w:val="7A827D54"/>
    <w:rsid w:val="7A9518F2"/>
    <w:rsid w:val="7A9C2937"/>
    <w:rsid w:val="7AA117F9"/>
    <w:rsid w:val="7AA32BEF"/>
    <w:rsid w:val="7AA46C6B"/>
    <w:rsid w:val="7ABD379D"/>
    <w:rsid w:val="7AC503FA"/>
    <w:rsid w:val="7ACE28D1"/>
    <w:rsid w:val="7ACE310F"/>
    <w:rsid w:val="7AD94FDC"/>
    <w:rsid w:val="7AE201AD"/>
    <w:rsid w:val="7AFD04AB"/>
    <w:rsid w:val="7B0B446E"/>
    <w:rsid w:val="7B1B2197"/>
    <w:rsid w:val="7B213F31"/>
    <w:rsid w:val="7B285B07"/>
    <w:rsid w:val="7B2B16B5"/>
    <w:rsid w:val="7B32083E"/>
    <w:rsid w:val="7B4A4F1A"/>
    <w:rsid w:val="7B6453AB"/>
    <w:rsid w:val="7B651315"/>
    <w:rsid w:val="7B686D42"/>
    <w:rsid w:val="7B821E26"/>
    <w:rsid w:val="7B841746"/>
    <w:rsid w:val="7BA13975"/>
    <w:rsid w:val="7BD048B6"/>
    <w:rsid w:val="7BDE3441"/>
    <w:rsid w:val="7BE060AB"/>
    <w:rsid w:val="7BE16300"/>
    <w:rsid w:val="7BE51D0B"/>
    <w:rsid w:val="7BED3FA0"/>
    <w:rsid w:val="7BF8168A"/>
    <w:rsid w:val="7C0563E3"/>
    <w:rsid w:val="7C0F587C"/>
    <w:rsid w:val="7C1345F0"/>
    <w:rsid w:val="7C5F0D4B"/>
    <w:rsid w:val="7C6C5AC7"/>
    <w:rsid w:val="7C821BA8"/>
    <w:rsid w:val="7C8975E4"/>
    <w:rsid w:val="7C9A660C"/>
    <w:rsid w:val="7CA54BE9"/>
    <w:rsid w:val="7CBF5BFF"/>
    <w:rsid w:val="7CC6544B"/>
    <w:rsid w:val="7CCB40F8"/>
    <w:rsid w:val="7CCD3E08"/>
    <w:rsid w:val="7CD00DD3"/>
    <w:rsid w:val="7CD95E56"/>
    <w:rsid w:val="7CE84CB9"/>
    <w:rsid w:val="7D0239FF"/>
    <w:rsid w:val="7D175D10"/>
    <w:rsid w:val="7D2307EA"/>
    <w:rsid w:val="7D3E1711"/>
    <w:rsid w:val="7D450A06"/>
    <w:rsid w:val="7D4D7FFB"/>
    <w:rsid w:val="7D511DF1"/>
    <w:rsid w:val="7D5E40CD"/>
    <w:rsid w:val="7D7B451A"/>
    <w:rsid w:val="7D7B6766"/>
    <w:rsid w:val="7D7F1618"/>
    <w:rsid w:val="7D7F18E0"/>
    <w:rsid w:val="7D813AE4"/>
    <w:rsid w:val="7D8524EE"/>
    <w:rsid w:val="7D9A01C2"/>
    <w:rsid w:val="7D9E264F"/>
    <w:rsid w:val="7DAD70F2"/>
    <w:rsid w:val="7DBE71E1"/>
    <w:rsid w:val="7DC006A3"/>
    <w:rsid w:val="7DCD56F2"/>
    <w:rsid w:val="7DCE4A4E"/>
    <w:rsid w:val="7DD16B13"/>
    <w:rsid w:val="7DD61CE6"/>
    <w:rsid w:val="7DF93E7E"/>
    <w:rsid w:val="7E014EC3"/>
    <w:rsid w:val="7E0619A6"/>
    <w:rsid w:val="7E322007"/>
    <w:rsid w:val="7E3E3F2B"/>
    <w:rsid w:val="7E4056D9"/>
    <w:rsid w:val="7E4B683B"/>
    <w:rsid w:val="7E5D4B63"/>
    <w:rsid w:val="7E607F7F"/>
    <w:rsid w:val="7E6822EC"/>
    <w:rsid w:val="7E7853D4"/>
    <w:rsid w:val="7E7A7734"/>
    <w:rsid w:val="7E7E220C"/>
    <w:rsid w:val="7E8009C8"/>
    <w:rsid w:val="7E8757D0"/>
    <w:rsid w:val="7EA40A3F"/>
    <w:rsid w:val="7EA570CE"/>
    <w:rsid w:val="7EAF03C8"/>
    <w:rsid w:val="7EE71B21"/>
    <w:rsid w:val="7EE80C2A"/>
    <w:rsid w:val="7EF110DB"/>
    <w:rsid w:val="7F001CE7"/>
    <w:rsid w:val="7F0526D9"/>
    <w:rsid w:val="7F067DC3"/>
    <w:rsid w:val="7F183705"/>
    <w:rsid w:val="7F244C9A"/>
    <w:rsid w:val="7F28334B"/>
    <w:rsid w:val="7F3B4BAE"/>
    <w:rsid w:val="7F412045"/>
    <w:rsid w:val="7F42486D"/>
    <w:rsid w:val="7F4B1A04"/>
    <w:rsid w:val="7F541932"/>
    <w:rsid w:val="7F543333"/>
    <w:rsid w:val="7F5645F8"/>
    <w:rsid w:val="7F573E1B"/>
    <w:rsid w:val="7F574468"/>
    <w:rsid w:val="7F770393"/>
    <w:rsid w:val="7F79315C"/>
    <w:rsid w:val="7F953509"/>
    <w:rsid w:val="7F9A0E3B"/>
    <w:rsid w:val="7F9B58E0"/>
    <w:rsid w:val="7F9D3DB2"/>
    <w:rsid w:val="7FAD1F1C"/>
    <w:rsid w:val="7FAE69F2"/>
    <w:rsid w:val="7FAF1A61"/>
    <w:rsid w:val="7FB223EB"/>
    <w:rsid w:val="7FC505AE"/>
    <w:rsid w:val="7FCE03EB"/>
    <w:rsid w:val="7FDE5BBD"/>
    <w:rsid w:val="7FE47E50"/>
    <w:rsid w:val="7FEB4060"/>
    <w:rsid w:val="7FFB1CB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nhideWhenUsed="0" w:uiPriority="9" w:semiHidden="0" w:name="heading 2" w:locked="1"/>
    <w:lsdException w:qFormat="1" w:unhideWhenUsed="0" w:uiPriority="0" w:semiHidden="0" w:name="heading 3" w:locked="1"/>
    <w:lsdException w:qFormat="1" w:unhideWhenUsed="0" w:uiPriority="9" w:semiHidden="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qFormat="1"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unhideWhenUsed="0" w:uiPriority="0" w:semiHidden="0" w:name="index 8" w:locked="1"/>
    <w:lsdException w:unhideWhenUsed="0" w:uiPriority="0" w:semiHidden="0" w:name="index 9" w:locked="1"/>
    <w:lsdException w:qFormat="1" w:unhideWhenUsed="0" w:uiPriority="39" w:semiHidden="0" w:name="toc 1" w:locked="1"/>
    <w:lsdException w:qFormat="1" w:unhideWhenUsed="0" w:uiPriority="0" w:semiHidden="0" w:name="toc 2" w:locked="1"/>
    <w:lsdException w:qFormat="1" w:unhideWhenUsed="0" w:uiPriority="39" w:semiHidden="0" w:name="toc 3" w:locked="1"/>
    <w:lsdException w:qFormat="1" w:unhideWhenUsed="0" w:uiPriority="0" w:semiHidden="0" w:name="toc 4" w:locked="1"/>
    <w:lsdException w:qFormat="1" w:unhideWhenUsed="0" w:uiPriority="0" w:semiHidden="0" w:name="toc 5" w:locked="1"/>
    <w:lsdException w:qFormat="1" w:unhideWhenUsed="0" w:uiPriority="0" w:semiHidden="0" w:name="toc 6" w:locked="1"/>
    <w:lsdException w:qFormat="1" w:unhideWhenUsed="0" w:uiPriority="0" w:semiHidden="0" w:name="toc 7" w:locked="1"/>
    <w:lsdException w:qFormat="1" w:unhideWhenUsed="0" w:uiPriority="0" w:semiHidden="0" w:name="toc 8" w:locked="1"/>
    <w:lsdException w:qFormat="1" w:unhideWhenUsed="0" w:uiPriority="0" w:semiHidden="0" w:name="toc 9" w:locked="1"/>
    <w:lsdException w:qFormat="1" w:unhideWhenUsed="0" w:uiPriority="0" w:semiHidden="0" w:name="Normal Indent" w:locked="1"/>
    <w:lsdException w:unhideWhenUsed="0" w:uiPriority="0" w:semiHidden="0" w:name="footnote text" w:locked="1"/>
    <w:lsdException w:qFormat="1" w:unhideWhenUsed="0" w:uiPriority="0" w:name="annotation text"/>
    <w:lsdException w:qFormat="1" w:unhideWhenUsed="0" w:uiPriority="0" w:semiHidden="0" w:name="header"/>
    <w:lsdException w:qFormat="1" w:unhideWhenUsed="0" w:uiPriority="99" w:semiHidden="0" w:name="footer"/>
    <w:lsdException w:qFormat="1" w:unhideWhenUsed="0" w:uiPriority="99" w:semiHidden="0" w:name="index heading" w:locked="1"/>
    <w:lsdException w:qFormat="1" w:unhideWhenUsed="0" w:uiPriority="35" w:semiHidden="0" w:name="caption" w:locked="1"/>
    <w:lsdException w:unhideWhenUsed="0" w:uiPriority="0" w:semiHidden="0" w:name="table of figures" w:locked="1"/>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qFormat="1" w:unhideWhenUsed="0" w:uiPriority="0" w:name="annotation reference"/>
    <w:lsdException w:unhideWhenUsed="0" w:uiPriority="0" w:semiHidden="0" w:name="line number" w:locked="1"/>
    <w:lsdException w:qFormat="1" w:unhideWhenUsed="0" w:uiPriority="0" w:semiHidden="0" w:name="page number" w:locked="1"/>
    <w:lsdException w:unhideWhenUsed="0" w:uiPriority="0" w:semiHidden="0" w:name="endnote reference" w:locked="1"/>
    <w:lsdException w:unhideWhenUsed="0" w:uiPriority="0" w:semiHidden="0" w:name="endnote text" w:locked="1"/>
    <w:lsdException w:unhideWhenUsed="0" w:uiPriority="0" w:semiHidden="0" w:name="table of authorities" w:locked="1"/>
    <w:lsdException w:unhideWhenUsed="0" w:uiPriority="0" w:semiHidden="0" w:name="macro" w:locked="1"/>
    <w:lsdException w:unhideWhenUsed="0" w:uiPriority="0" w:semiHidden="0" w:name="toa heading" w:locked="1"/>
    <w:lsdException w:qFormat="1" w:uiPriority="0"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unhideWhenUsed="0" w:uiPriority="0" w:semiHidden="0" w:name="List 3" w:locked="1"/>
    <w:lsdException w:unhideWhenUsed="0" w:uiPriority="0" w:semiHidden="0" w:name="List 4" w:locked="1"/>
    <w:lsdException w:unhideWhenUsed="0" w:uiPriority="0" w:semiHidden="0" w:name="List 5" w:locked="1"/>
    <w:lsdException w:unhideWhenUsed="0" w:uiPriority="0" w:semiHidden="0" w:name="List Bullet 2" w:locked="1"/>
    <w:lsdException w:unhideWhenUsed="0" w:uiPriority="0" w:semiHidden="0" w:name="List Bullet 3" w:locked="1"/>
    <w:lsdException w:unhideWhenUsed="0" w:uiPriority="0" w:semiHidden="0" w:name="List Bullet 4" w:locked="1"/>
    <w:lsdException w:qFormat="1"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nhideWhenUsed="0" w:uiPriority="0" w:semiHidden="0" w:name="Message Header" w:locked="1"/>
    <w:lsdException w:qFormat="1" w:unhideWhenUsed="0" w:uiPriority="0" w:semiHidden="0" w:name="Subtitle" w:locked="1"/>
    <w:lsdException w:unhideWhenUsed="0" w:uiPriority="0" w:semiHidden="0" w:name="Salutation" w:locked="1"/>
    <w:lsdException w:qFormat="1" w:unhideWhenUsed="0" w:uiPriority="0" w:semiHidden="0" w:name="Date"/>
    <w:lsdException w:qFormat="1" w:uiPriority="0" w:semiHidden="0" w:name="Body Text First Indent" w:locked="1"/>
    <w:lsdException w:qFormat="1" w:uiPriority="0" w:semiHidden="0" w:name="Body Text First Indent 2" w:locked="1"/>
    <w:lsdException w:unhideWhenUsed="0" w:uiPriority="0" w:semiHidden="0" w:name="Note Heading" w:locked="1"/>
    <w:lsdException w:unhideWhenUsed="0" w:uiPriority="0" w:semiHidden="0" w:name="Body Text 2" w:locked="1"/>
    <w:lsdException w:unhideWhenUsed="0" w:uiPriority="0" w:semiHidden="0" w:name="Body Text 3" w:locked="1"/>
    <w:lsdException w:unhideWhenUsed="0" w:uiPriority="0" w:semiHidden="0" w:name="Body Text Indent 2" w:locked="1"/>
    <w:lsdException w:unhideWhenUsed="0" w:uiPriority="0" w:semiHidden="0" w:name="Body Text Indent 3" w:locked="1"/>
    <w:lsdException w:unhideWhenUsed="0" w:uiPriority="0" w:semiHidden="0" w:name="Block Text" w:locked="1"/>
    <w:lsdException w:qFormat="1" w:uiPriority="99" w:semiHidden="0" w:name="Hyperlink" w:locked="1"/>
    <w:lsdException w:qFormat="1" w:unhideWhenUsed="0" w:uiPriority="0" w:semiHidden="0" w:name="FollowedHyperlink" w:locked="1"/>
    <w:lsdException w:qFormat="1" w:unhideWhenUsed="0" w:uiPriority="0" w:semiHidden="0" w:name="Strong" w:locked="1"/>
    <w:lsdException w:qFormat="1" w:unhideWhenUsed="0" w:uiPriority="0" w:semiHidden="0" w:name="Emphasis" w:locked="1"/>
    <w:lsdException w:qFormat="1" w:unhideWhenUsed="0" w:uiPriority="0" w:semiHidden="0" w:name="Document Map" w:locked="1"/>
    <w:lsdException w:qFormat="1" w:unhideWhenUsed="0" w:uiPriority="0" w:semiHidden="0" w:name="Plain Text" w:locked="1"/>
    <w:lsdException w:unhideWhenUsed="0" w:uiPriority="0" w:semiHidden="0" w:name="E-mail Signature" w:locked="1"/>
    <w:lsdException w:qFormat="1" w:unhideWhenUsed="0" w:uiPriority="0" w:semiHidden="0" w:name="Normal (Web)"/>
    <w:lsdException w:unhideWhenUsed="0" w:uiPriority="0" w:semiHidden="0" w:name="HTML Acronym" w:locked="1"/>
    <w:lsdException w:unhideWhenUsed="0" w:uiPriority="0" w:semiHidden="0" w:name="HTML Address" w:locked="1"/>
    <w:lsdException w:unhideWhenUsed="0" w:uiPriority="0" w:semiHidden="0" w:name="HTML Cite" w:locked="1"/>
    <w:lsdException w:unhideWhenUsed="0" w:uiPriority="0" w:semiHidden="0" w:name="HTML Code" w:locked="1"/>
    <w:lsdException w:unhideWhenUsed="0" w:uiPriority="0" w:semiHidden="0" w:name="HTML Definition" w:locked="1"/>
    <w:lsdException w:unhideWhenUsed="0" w:uiPriority="0" w:semiHidden="0" w:name="HTML Keyboard" w:locked="1"/>
    <w:lsdException w:unhideWhenUsed="0" w:uiPriority="0" w:semiHidden="0" w:name="HTML Preformatted" w:locked="1"/>
    <w:lsdException w:unhideWhenUsed="0" w:uiPriority="0" w:semiHidden="0" w:name="HTML Sample" w:locked="1"/>
    <w:lsdException w:unhideWhenUsed="0" w:uiPriority="0" w:semiHidden="0" w:name="HTML Typewriter" w:locked="1"/>
    <w:lsdException w:unhideWhenUsed="0" w:uiPriority="0" w:semiHidden="0" w:name="HTML Variable" w:locked="1"/>
    <w:lsdException w:qFormat="1" w:uiPriority="99" w:name="Normal Table"/>
    <w:lsdException w:qFormat="1" w:unhideWhenUsed="0" w:uiPriority="0" w:name="annotation subject"/>
    <w:lsdException w:unhideWhenUsed="0" w:uiPriority="0" w:semiHidden="0" w:name="Table Simple 1" w:locked="1"/>
    <w:lsdException w:unhideWhenUsed="0" w:uiPriority="0" w:semiHidden="0" w:name="Table Simple 2" w:locked="1"/>
    <w:lsdException w:unhideWhenUsed="0" w:uiPriority="0" w:semiHidden="0" w:name="Table Simple 3" w:locked="1"/>
    <w:lsdException w:unhideWhenUsed="0" w:uiPriority="0" w:semiHidden="0" w:name="Table Classic 1" w:locked="1"/>
    <w:lsdException w:unhideWhenUsed="0" w:uiPriority="0" w:semiHidden="0" w:name="Table Classic 2" w:locked="1"/>
    <w:lsdException w:unhideWhenUsed="0" w:uiPriority="0" w:semiHidden="0" w:name="Table Classic 3" w:locked="1"/>
    <w:lsdException w:unhideWhenUsed="0" w:uiPriority="0" w:semiHidden="0" w:name="Table Classic 4" w:locked="1"/>
    <w:lsdException w:unhideWhenUsed="0" w:uiPriority="0" w:semiHidden="0" w:name="Table Colorful 1" w:locked="1"/>
    <w:lsdException w:unhideWhenUsed="0" w:uiPriority="0" w:semiHidden="0" w:name="Table Colorful 2" w:locked="1"/>
    <w:lsdException w:unhideWhenUsed="0" w:uiPriority="0" w:semiHidden="0" w:name="Table Colorful 3" w:locked="1"/>
    <w:lsdException w:unhideWhenUsed="0" w:uiPriority="0" w:semiHidden="0" w:name="Table Columns 1" w:locked="1"/>
    <w:lsdException w:unhideWhenUsed="0" w:uiPriority="0" w:semiHidden="0" w:name="Table Columns 2" w:locked="1"/>
    <w:lsdException w:unhideWhenUsed="0" w:uiPriority="0" w:semiHidden="0" w:name="Table Columns 3" w:locked="1"/>
    <w:lsdException w:unhideWhenUsed="0" w:uiPriority="0" w:semiHidden="0" w:name="Table Columns 4" w:locked="1"/>
    <w:lsdException w:unhideWhenUsed="0" w:uiPriority="0" w:semiHidden="0" w:name="Table Columns 5" w:locked="1"/>
    <w:lsdException w:unhideWhenUsed="0" w:uiPriority="0" w:semiHidden="0" w:name="Table Grid 1" w:locked="1"/>
    <w:lsdException w:unhideWhenUsed="0" w:uiPriority="0" w:semiHidden="0" w:name="Table Grid 2" w:locked="1"/>
    <w:lsdException w:unhideWhenUsed="0" w:uiPriority="0" w:semiHidden="0" w:name="Table Grid 3" w:locked="1"/>
    <w:lsdException w:unhideWhenUsed="0" w:uiPriority="0" w:semiHidden="0" w:name="Table Grid 4" w:locked="1"/>
    <w:lsdException w:unhideWhenUsed="0" w:uiPriority="0" w:semiHidden="0" w:name="Table Grid 5" w:locked="1"/>
    <w:lsdException w:unhideWhenUsed="0" w:uiPriority="0" w:semiHidden="0" w:name="Table Grid 6" w:locked="1"/>
    <w:lsdException w:unhideWhenUsed="0" w:uiPriority="0" w:semiHidden="0" w:name="Table Grid 7" w:locked="1"/>
    <w:lsdException w:unhideWhenUsed="0" w:uiPriority="0" w:semiHidden="0" w:name="Table Grid 8" w:locked="1"/>
    <w:lsdException w:unhideWhenUsed="0" w:uiPriority="0" w:semiHidden="0" w:name="Table List 1" w:locked="1"/>
    <w:lsdException w:unhideWhenUsed="0" w:uiPriority="0" w:semiHidden="0" w:name="Table List 2" w:locked="1"/>
    <w:lsdException w:unhideWhenUsed="0" w:uiPriority="0" w:semiHidden="0" w:name="Table List 3" w:locked="1"/>
    <w:lsdException w:unhideWhenUsed="0" w:uiPriority="0" w:semiHidden="0" w:name="Table List 4" w:locked="1"/>
    <w:lsdException w:unhideWhenUsed="0" w:uiPriority="0" w:semiHidden="0" w:name="Table List 5" w:locked="1"/>
    <w:lsdException w:unhideWhenUsed="0" w:uiPriority="0" w:semiHidden="0" w:name="Table List 6" w:locked="1"/>
    <w:lsdException w:unhideWhenUsed="0" w:uiPriority="0" w:semiHidden="0" w:name="Table List 7" w:locked="1"/>
    <w:lsdException w:unhideWhenUsed="0" w:uiPriority="0" w:semiHidden="0" w:name="Table List 8" w:locked="1"/>
    <w:lsdException w:unhideWhenUsed="0" w:uiPriority="0" w:semiHidden="0" w:name="Table 3D effects 1" w:locked="1"/>
    <w:lsdException w:unhideWhenUsed="0" w:uiPriority="0" w:semiHidden="0" w:name="Table 3D effects 2" w:locked="1"/>
    <w:lsdException w:qFormat="1" w:unhideWhenUsed="0" w:uiPriority="0" w:semiHidden="0" w:name="Table 3D effects 3" w:locked="1"/>
    <w:lsdException w:unhideWhenUsed="0" w:uiPriority="0" w:semiHidden="0" w:name="Table Contemporary" w:locked="1"/>
    <w:lsdException w:unhideWhenUsed="0" w:uiPriority="0" w:semiHidden="0" w:name="Table Elegant" w:locked="1"/>
    <w:lsdException w:unhideWhenUsed="0" w:uiPriority="0" w:semiHidden="0" w:name="Table Professional" w:locked="1"/>
    <w:lsdException w:unhideWhenUsed="0" w:uiPriority="0" w:semiHidden="0" w:name="Table Subtle 1" w:locked="1"/>
    <w:lsdException w:unhideWhenUsed="0" w:uiPriority="0" w:semiHidden="0" w:name="Table Subtle 2" w:locked="1"/>
    <w:lsdException w:unhideWhenUsed="0" w:uiPriority="0" w:semiHidden="0" w:name="Table Web 1" w:locked="1"/>
    <w:lsdException w:unhideWhenUsed="0" w:uiPriority="0" w:semiHidden="0" w:name="Table Web 2" w:locked="1"/>
    <w:lsdException w:unhideWhenUsed="0" w:uiPriority="0" w:semiHidden="0" w:name="Table Web 3" w:locked="1"/>
    <w:lsdException w:qFormat="1" w:unhideWhenUsed="0" w:uiPriority="0" w:name="Balloon Text"/>
    <w:lsdException w:qFormat="1" w:unhideWhenUsed="0" w:uiPriority="59" w:semiHidden="0" w:name="Table Grid"/>
    <w:lsdException w:unhideWhenUsed="0" w:uiPriority="0" w:semiHidden="0" w:name="Table Theme" w:locked="1"/>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qFormat/>
    <w:locked/>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5">
    <w:name w:val="heading 2"/>
    <w:basedOn w:val="1"/>
    <w:next w:val="1"/>
    <w:qFormat/>
    <w:locked/>
    <w:uiPriority w:val="9"/>
    <w:pPr>
      <w:keepNext/>
      <w:keepLines/>
      <w:tabs>
        <w:tab w:val="left" w:pos="576"/>
      </w:tabs>
      <w:spacing w:before="120" w:after="120"/>
      <w:ind w:left="576"/>
      <w:jc w:val="left"/>
      <w:outlineLvl w:val="1"/>
    </w:pPr>
    <w:rPr>
      <w:b/>
      <w:bCs/>
      <w:sz w:val="30"/>
      <w:szCs w:val="32"/>
    </w:rPr>
  </w:style>
  <w:style w:type="paragraph" w:styleId="6">
    <w:name w:val="heading 3"/>
    <w:basedOn w:val="1"/>
    <w:next w:val="1"/>
    <w:qFormat/>
    <w:locked/>
    <w:uiPriority w:val="0"/>
    <w:pPr>
      <w:keepNext/>
      <w:keepLines/>
      <w:adjustRightInd w:val="0"/>
      <w:spacing w:line="360" w:lineRule="auto"/>
      <w:jc w:val="left"/>
      <w:outlineLvl w:val="2"/>
    </w:pPr>
    <w:rPr>
      <w:rFonts w:ascii="宋体" w:hAnsi="宋体"/>
      <w:color w:val="000000"/>
      <w:kern w:val="0"/>
      <w:sz w:val="28"/>
      <w:szCs w:val="20"/>
    </w:rPr>
  </w:style>
  <w:style w:type="paragraph" w:styleId="7">
    <w:name w:val="heading 4"/>
    <w:basedOn w:val="1"/>
    <w:next w:val="1"/>
    <w:qFormat/>
    <w:locked/>
    <w:uiPriority w:val="9"/>
    <w:pPr>
      <w:keepNext/>
      <w:keepLines/>
      <w:tabs>
        <w:tab w:val="left" w:pos="864"/>
      </w:tabs>
      <w:autoSpaceDE w:val="0"/>
      <w:autoSpaceDN w:val="0"/>
      <w:spacing w:after="120" w:line="400" w:lineRule="atLeast"/>
      <w:ind w:left="864"/>
      <w:jc w:val="left"/>
      <w:textAlignment w:val="baseline"/>
      <w:outlineLvl w:val="3"/>
    </w:pPr>
    <w:rPr>
      <w:b/>
      <w:bCs/>
      <w:kern w:val="0"/>
      <w:szCs w:val="28"/>
    </w:rPr>
  </w:style>
  <w:style w:type="character" w:default="1" w:styleId="37">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2">
    <w:name w:val="index heading"/>
    <w:basedOn w:val="1"/>
    <w:next w:val="3"/>
    <w:qFormat/>
    <w:locked/>
    <w:uiPriority w:val="99"/>
    <w:rPr>
      <w:szCs w:val="20"/>
    </w:rPr>
  </w:style>
  <w:style w:type="paragraph" w:styleId="3">
    <w:name w:val="index 1"/>
    <w:basedOn w:val="1"/>
    <w:next w:val="1"/>
    <w:qFormat/>
    <w:locked/>
    <w:uiPriority w:val="0"/>
    <w:pPr>
      <w:jc w:val="center"/>
    </w:pPr>
    <w:rPr>
      <w:szCs w:val="20"/>
    </w:rPr>
  </w:style>
  <w:style w:type="paragraph" w:styleId="8">
    <w:name w:val="toc 7"/>
    <w:basedOn w:val="1"/>
    <w:next w:val="1"/>
    <w:qFormat/>
    <w:locked/>
    <w:uiPriority w:val="0"/>
    <w:pPr>
      <w:ind w:left="1260"/>
      <w:jc w:val="left"/>
    </w:pPr>
    <w:rPr>
      <w:rFonts w:ascii="Calibri" w:hAnsi="Calibri"/>
      <w:sz w:val="18"/>
      <w:szCs w:val="18"/>
    </w:rPr>
  </w:style>
  <w:style w:type="paragraph" w:styleId="9">
    <w:name w:val="Normal Indent"/>
    <w:basedOn w:val="1"/>
    <w:qFormat/>
    <w:locked/>
    <w:uiPriority w:val="0"/>
    <w:pPr>
      <w:ind w:firstLine="420" w:firstLineChars="200"/>
    </w:pPr>
    <w:rPr>
      <w:kern w:val="0"/>
      <w:sz w:val="20"/>
    </w:rPr>
  </w:style>
  <w:style w:type="paragraph" w:styleId="10">
    <w:name w:val="caption"/>
    <w:basedOn w:val="1"/>
    <w:next w:val="1"/>
    <w:qFormat/>
    <w:locked/>
    <w:uiPriority w:val="35"/>
    <w:pPr>
      <w:keepNext/>
      <w:jc w:val="center"/>
    </w:pPr>
    <w:rPr>
      <w:b/>
      <w:szCs w:val="21"/>
    </w:rPr>
  </w:style>
  <w:style w:type="paragraph" w:styleId="11">
    <w:name w:val="Document Map"/>
    <w:basedOn w:val="1"/>
    <w:link w:val="126"/>
    <w:qFormat/>
    <w:locked/>
    <w:uiPriority w:val="0"/>
    <w:rPr>
      <w:rFonts w:ascii="宋体"/>
      <w:sz w:val="18"/>
      <w:szCs w:val="18"/>
    </w:rPr>
  </w:style>
  <w:style w:type="paragraph" w:styleId="12">
    <w:name w:val="annotation text"/>
    <w:basedOn w:val="1"/>
    <w:link w:val="44"/>
    <w:semiHidden/>
    <w:qFormat/>
    <w:uiPriority w:val="0"/>
    <w:pPr>
      <w:jc w:val="left"/>
    </w:pPr>
    <w:rPr>
      <w:kern w:val="0"/>
      <w:sz w:val="24"/>
      <w:szCs w:val="20"/>
    </w:rPr>
  </w:style>
  <w:style w:type="paragraph" w:styleId="13">
    <w:name w:val="Body Text"/>
    <w:basedOn w:val="1"/>
    <w:next w:val="1"/>
    <w:link w:val="45"/>
    <w:qFormat/>
    <w:uiPriority w:val="0"/>
    <w:pPr>
      <w:widowControl/>
      <w:snapToGrid w:val="0"/>
      <w:spacing w:before="60" w:after="160" w:line="259" w:lineRule="auto"/>
      <w:ind w:right="113"/>
    </w:pPr>
    <w:rPr>
      <w:kern w:val="0"/>
      <w:sz w:val="18"/>
      <w:szCs w:val="20"/>
    </w:rPr>
  </w:style>
  <w:style w:type="paragraph" w:styleId="14">
    <w:name w:val="Body Text Indent"/>
    <w:basedOn w:val="1"/>
    <w:link w:val="46"/>
    <w:qFormat/>
    <w:uiPriority w:val="0"/>
    <w:pPr>
      <w:spacing w:after="120"/>
      <w:ind w:left="420" w:leftChars="200"/>
    </w:pPr>
    <w:rPr>
      <w:kern w:val="0"/>
      <w:sz w:val="24"/>
      <w:szCs w:val="20"/>
    </w:rPr>
  </w:style>
  <w:style w:type="paragraph" w:styleId="15">
    <w:name w:val="toc 5"/>
    <w:basedOn w:val="1"/>
    <w:next w:val="1"/>
    <w:qFormat/>
    <w:locked/>
    <w:uiPriority w:val="0"/>
    <w:pPr>
      <w:ind w:left="840"/>
      <w:jc w:val="left"/>
    </w:pPr>
    <w:rPr>
      <w:rFonts w:ascii="Calibri" w:hAnsi="Calibri"/>
      <w:sz w:val="18"/>
      <w:szCs w:val="18"/>
    </w:rPr>
  </w:style>
  <w:style w:type="paragraph" w:styleId="16">
    <w:name w:val="toc 3"/>
    <w:basedOn w:val="1"/>
    <w:next w:val="1"/>
    <w:qFormat/>
    <w:locked/>
    <w:uiPriority w:val="39"/>
    <w:pPr>
      <w:ind w:left="420"/>
      <w:jc w:val="left"/>
    </w:pPr>
    <w:rPr>
      <w:rFonts w:ascii="Calibri" w:hAnsi="Calibri"/>
      <w:i/>
      <w:iCs/>
      <w:sz w:val="20"/>
      <w:szCs w:val="20"/>
    </w:rPr>
  </w:style>
  <w:style w:type="paragraph" w:styleId="17">
    <w:name w:val="Plain Text"/>
    <w:basedOn w:val="1"/>
    <w:link w:val="47"/>
    <w:qFormat/>
    <w:locked/>
    <w:uiPriority w:val="0"/>
    <w:pPr>
      <w:autoSpaceDE w:val="0"/>
      <w:autoSpaceDN w:val="0"/>
      <w:adjustRightInd w:val="0"/>
      <w:spacing w:line="440" w:lineRule="atLeast"/>
      <w:ind w:firstLine="425"/>
    </w:pPr>
    <w:rPr>
      <w:rFonts w:ascii="宋体" w:hAnsi="Tms Rmn"/>
      <w:kern w:val="0"/>
      <w:sz w:val="28"/>
      <w:szCs w:val="20"/>
    </w:rPr>
  </w:style>
  <w:style w:type="paragraph" w:styleId="18">
    <w:name w:val="List Bullet 5"/>
    <w:basedOn w:val="1"/>
    <w:qFormat/>
    <w:locked/>
    <w:uiPriority w:val="0"/>
    <w:pPr>
      <w:tabs>
        <w:tab w:val="left" w:pos="2040"/>
      </w:tabs>
      <w:ind w:left="2040" w:hanging="360"/>
    </w:pPr>
  </w:style>
  <w:style w:type="paragraph" w:styleId="19">
    <w:name w:val="toc 8"/>
    <w:basedOn w:val="1"/>
    <w:next w:val="1"/>
    <w:qFormat/>
    <w:locked/>
    <w:uiPriority w:val="0"/>
    <w:pPr>
      <w:ind w:left="1470"/>
      <w:jc w:val="left"/>
    </w:pPr>
    <w:rPr>
      <w:rFonts w:ascii="Calibri" w:hAnsi="Calibri"/>
      <w:sz w:val="18"/>
      <w:szCs w:val="18"/>
    </w:rPr>
  </w:style>
  <w:style w:type="paragraph" w:styleId="20">
    <w:name w:val="Date"/>
    <w:basedOn w:val="1"/>
    <w:next w:val="1"/>
    <w:link w:val="48"/>
    <w:qFormat/>
    <w:uiPriority w:val="0"/>
    <w:pPr>
      <w:ind w:left="100" w:leftChars="2500"/>
    </w:pPr>
    <w:rPr>
      <w:kern w:val="0"/>
      <w:sz w:val="24"/>
      <w:szCs w:val="20"/>
    </w:rPr>
  </w:style>
  <w:style w:type="paragraph" w:styleId="21">
    <w:name w:val="Balloon Text"/>
    <w:basedOn w:val="1"/>
    <w:link w:val="49"/>
    <w:semiHidden/>
    <w:qFormat/>
    <w:uiPriority w:val="0"/>
    <w:rPr>
      <w:kern w:val="0"/>
      <w:sz w:val="18"/>
      <w:szCs w:val="20"/>
    </w:rPr>
  </w:style>
  <w:style w:type="paragraph" w:styleId="22">
    <w:name w:val="footer"/>
    <w:basedOn w:val="1"/>
    <w:link w:val="50"/>
    <w:qFormat/>
    <w:uiPriority w:val="99"/>
    <w:pPr>
      <w:tabs>
        <w:tab w:val="center" w:pos="4153"/>
        <w:tab w:val="right" w:pos="8306"/>
      </w:tabs>
      <w:snapToGrid w:val="0"/>
      <w:jc w:val="left"/>
    </w:pPr>
    <w:rPr>
      <w:kern w:val="0"/>
      <w:sz w:val="18"/>
      <w:szCs w:val="20"/>
    </w:rPr>
  </w:style>
  <w:style w:type="paragraph" w:styleId="23">
    <w:name w:val="header"/>
    <w:basedOn w:val="1"/>
    <w:link w:val="51"/>
    <w:qFormat/>
    <w:uiPriority w:val="0"/>
    <w:pPr>
      <w:pBdr>
        <w:bottom w:val="single" w:color="auto" w:sz="6" w:space="1"/>
      </w:pBdr>
      <w:tabs>
        <w:tab w:val="center" w:pos="4153"/>
        <w:tab w:val="right" w:pos="8306"/>
      </w:tabs>
      <w:snapToGrid w:val="0"/>
      <w:jc w:val="center"/>
    </w:pPr>
    <w:rPr>
      <w:kern w:val="0"/>
      <w:sz w:val="18"/>
      <w:szCs w:val="20"/>
    </w:rPr>
  </w:style>
  <w:style w:type="paragraph" w:styleId="24">
    <w:name w:val="toc 1"/>
    <w:basedOn w:val="1"/>
    <w:next w:val="1"/>
    <w:qFormat/>
    <w:locked/>
    <w:uiPriority w:val="39"/>
    <w:pPr>
      <w:spacing w:before="120" w:after="120"/>
      <w:jc w:val="left"/>
    </w:pPr>
    <w:rPr>
      <w:rFonts w:ascii="Calibri" w:hAnsi="Calibri"/>
      <w:b/>
      <w:bCs/>
      <w:caps/>
      <w:sz w:val="20"/>
      <w:szCs w:val="20"/>
    </w:rPr>
  </w:style>
  <w:style w:type="paragraph" w:styleId="25">
    <w:name w:val="toc 4"/>
    <w:basedOn w:val="1"/>
    <w:next w:val="1"/>
    <w:qFormat/>
    <w:locked/>
    <w:uiPriority w:val="0"/>
    <w:pPr>
      <w:ind w:left="630"/>
      <w:jc w:val="left"/>
    </w:pPr>
    <w:rPr>
      <w:rFonts w:ascii="Calibri" w:hAnsi="Calibri"/>
      <w:sz w:val="18"/>
      <w:szCs w:val="18"/>
    </w:rPr>
  </w:style>
  <w:style w:type="paragraph" w:styleId="26">
    <w:name w:val="List"/>
    <w:basedOn w:val="1"/>
    <w:unhideWhenUsed/>
    <w:qFormat/>
    <w:locked/>
    <w:uiPriority w:val="0"/>
    <w:pPr>
      <w:spacing w:line="400" w:lineRule="exact"/>
      <w:jc w:val="center"/>
    </w:pPr>
    <w:rPr>
      <w:rFonts w:ascii="宋体" w:hAnsi="宋体"/>
      <w:sz w:val="24"/>
      <w:szCs w:val="20"/>
    </w:rPr>
  </w:style>
  <w:style w:type="paragraph" w:styleId="27">
    <w:name w:val="toc 6"/>
    <w:basedOn w:val="1"/>
    <w:next w:val="1"/>
    <w:qFormat/>
    <w:locked/>
    <w:uiPriority w:val="0"/>
    <w:pPr>
      <w:ind w:left="1050"/>
      <w:jc w:val="left"/>
    </w:pPr>
    <w:rPr>
      <w:rFonts w:ascii="Calibri" w:hAnsi="Calibri"/>
      <w:sz w:val="18"/>
      <w:szCs w:val="18"/>
    </w:rPr>
  </w:style>
  <w:style w:type="paragraph" w:styleId="28">
    <w:name w:val="toc 2"/>
    <w:basedOn w:val="1"/>
    <w:next w:val="1"/>
    <w:qFormat/>
    <w:locked/>
    <w:uiPriority w:val="0"/>
    <w:pPr>
      <w:ind w:left="210"/>
      <w:jc w:val="left"/>
    </w:pPr>
    <w:rPr>
      <w:rFonts w:ascii="Calibri" w:hAnsi="Calibri"/>
      <w:smallCaps/>
      <w:sz w:val="20"/>
      <w:szCs w:val="20"/>
    </w:rPr>
  </w:style>
  <w:style w:type="paragraph" w:styleId="29">
    <w:name w:val="toc 9"/>
    <w:basedOn w:val="1"/>
    <w:next w:val="1"/>
    <w:qFormat/>
    <w:locked/>
    <w:uiPriority w:val="0"/>
    <w:pPr>
      <w:ind w:left="1680"/>
      <w:jc w:val="left"/>
    </w:pPr>
    <w:rPr>
      <w:rFonts w:ascii="Calibri" w:hAnsi="Calibri"/>
      <w:sz w:val="18"/>
      <w:szCs w:val="18"/>
    </w:rPr>
  </w:style>
  <w:style w:type="paragraph" w:styleId="30">
    <w:name w:val="Normal (Web)"/>
    <w:basedOn w:val="1"/>
    <w:link w:val="52"/>
    <w:qFormat/>
    <w:uiPriority w:val="0"/>
    <w:pPr>
      <w:widowControl/>
      <w:spacing w:before="100" w:beforeAutospacing="1" w:after="100" w:afterAutospacing="1"/>
      <w:jc w:val="left"/>
    </w:pPr>
    <w:rPr>
      <w:rFonts w:ascii="宋体" w:hAnsi="宋体"/>
      <w:kern w:val="0"/>
      <w:sz w:val="24"/>
      <w:szCs w:val="20"/>
    </w:rPr>
  </w:style>
  <w:style w:type="paragraph" w:styleId="31">
    <w:name w:val="annotation subject"/>
    <w:basedOn w:val="12"/>
    <w:next w:val="12"/>
    <w:link w:val="53"/>
    <w:semiHidden/>
    <w:qFormat/>
    <w:uiPriority w:val="0"/>
    <w:rPr>
      <w:b/>
    </w:rPr>
  </w:style>
  <w:style w:type="paragraph" w:styleId="32">
    <w:name w:val="Body Text First Indent"/>
    <w:basedOn w:val="13"/>
    <w:next w:val="1"/>
    <w:unhideWhenUsed/>
    <w:qFormat/>
    <w:locked/>
    <w:uiPriority w:val="0"/>
    <w:pPr>
      <w:snapToGrid/>
      <w:spacing w:before="0" w:after="0" w:line="440" w:lineRule="exact"/>
      <w:ind w:firstLine="200"/>
    </w:pPr>
    <w:rPr>
      <w:b/>
      <w:sz w:val="24"/>
    </w:rPr>
  </w:style>
  <w:style w:type="paragraph" w:styleId="33">
    <w:name w:val="Body Text First Indent 2"/>
    <w:basedOn w:val="14"/>
    <w:next w:val="32"/>
    <w:unhideWhenUsed/>
    <w:qFormat/>
    <w:locked/>
    <w:uiPriority w:val="0"/>
    <w:pPr>
      <w:spacing w:line="520" w:lineRule="exact"/>
      <w:ind w:firstLine="200"/>
    </w:pPr>
    <w:rPr>
      <w:rFonts w:ascii="仿宋_GB2312"/>
      <w:kern w:val="18"/>
      <w:szCs w:val="28"/>
    </w:rPr>
  </w:style>
  <w:style w:type="table" w:styleId="35">
    <w:name w:val="Table Grid"/>
    <w:basedOn w:val="3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36">
    <w:name w:val="Table 3D effects 3"/>
    <w:basedOn w:val="34"/>
    <w:qFormat/>
    <w:locked/>
    <w:uiPriority w:val="0"/>
    <w:pPr>
      <w:widowControl w:val="0"/>
      <w:adjustRightInd w:val="0"/>
      <w:spacing w:line="360" w:lineRule="atLeast"/>
      <w:textAlignment w:val="baseline"/>
    </w:pPr>
    <w:tblPr>
      <w:tblCellMar>
        <w:top w:w="0" w:type="dxa"/>
        <w:left w:w="108" w:type="dxa"/>
        <w:bottom w:w="0" w:type="dxa"/>
        <w:right w:w="108" w:type="dxa"/>
      </w:tblCellMar>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color="808080" w:sz="6" w:space="0"/>
          <w:insideH w:val="nil"/>
          <w:insideV w:val="nil"/>
          <w:tl2br w:val="nil"/>
          <w:tr2bl w:val="nil"/>
        </w:tcBorders>
      </w:tcPr>
    </w:tblStylePr>
    <w:tblStylePr w:type="lastCol">
      <w:tblPr/>
      <w:tcPr>
        <w:tcBorders>
          <w:top w:val="nil"/>
          <w:left w:val="nil"/>
          <w:bottom w:val="nil"/>
          <w:right w:val="single" w:color="FFFFFF" w:sz="6" w:space="0"/>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color="808080" w:sz="6" w:space="0"/>
          <w:left w:val="single" w:color="FFFFFF" w:sz="6" w:space="0"/>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character" w:styleId="38">
    <w:name w:val="Strong"/>
    <w:qFormat/>
    <w:locked/>
    <w:uiPriority w:val="0"/>
    <w:rPr>
      <w:b/>
    </w:rPr>
  </w:style>
  <w:style w:type="character" w:styleId="39">
    <w:name w:val="page number"/>
    <w:qFormat/>
    <w:locked/>
    <w:uiPriority w:val="0"/>
  </w:style>
  <w:style w:type="character" w:styleId="40">
    <w:name w:val="FollowedHyperlink"/>
    <w:qFormat/>
    <w:locked/>
    <w:uiPriority w:val="0"/>
    <w:rPr>
      <w:color w:val="000000"/>
      <w:u w:val="none"/>
    </w:rPr>
  </w:style>
  <w:style w:type="character" w:styleId="41">
    <w:name w:val="Emphasis"/>
    <w:qFormat/>
    <w:locked/>
    <w:uiPriority w:val="0"/>
  </w:style>
  <w:style w:type="character" w:styleId="42">
    <w:name w:val="Hyperlink"/>
    <w:unhideWhenUsed/>
    <w:qFormat/>
    <w:locked/>
    <w:uiPriority w:val="99"/>
    <w:rPr>
      <w:rFonts w:ascii="Times New Roman" w:hAnsi="Times New Roman"/>
      <w:color w:val="0000FF"/>
      <w:sz w:val="21"/>
      <w:szCs w:val="21"/>
      <w:u w:val="single"/>
    </w:rPr>
  </w:style>
  <w:style w:type="character" w:styleId="43">
    <w:name w:val="annotation reference"/>
    <w:semiHidden/>
    <w:qFormat/>
    <w:uiPriority w:val="0"/>
    <w:rPr>
      <w:sz w:val="21"/>
    </w:rPr>
  </w:style>
  <w:style w:type="character" w:customStyle="1" w:styleId="44">
    <w:name w:val="批注文字 Char"/>
    <w:link w:val="12"/>
    <w:qFormat/>
    <w:locked/>
    <w:uiPriority w:val="0"/>
    <w:rPr>
      <w:rFonts w:ascii="Times New Roman" w:hAnsi="Times New Roman" w:eastAsia="宋体"/>
      <w:sz w:val="24"/>
    </w:rPr>
  </w:style>
  <w:style w:type="character" w:customStyle="1" w:styleId="45">
    <w:name w:val="正文文本 Char"/>
    <w:link w:val="13"/>
    <w:qFormat/>
    <w:locked/>
    <w:uiPriority w:val="0"/>
    <w:rPr>
      <w:sz w:val="18"/>
    </w:rPr>
  </w:style>
  <w:style w:type="character" w:customStyle="1" w:styleId="46">
    <w:name w:val="正文文本缩进 Char"/>
    <w:link w:val="14"/>
    <w:semiHidden/>
    <w:qFormat/>
    <w:locked/>
    <w:uiPriority w:val="0"/>
    <w:rPr>
      <w:rFonts w:ascii="Times New Roman" w:hAnsi="Times New Roman" w:eastAsia="宋体"/>
      <w:sz w:val="24"/>
    </w:rPr>
  </w:style>
  <w:style w:type="character" w:customStyle="1" w:styleId="47">
    <w:name w:val="纯文本 Char"/>
    <w:link w:val="17"/>
    <w:qFormat/>
    <w:uiPriority w:val="0"/>
    <w:rPr>
      <w:rFonts w:ascii="宋体" w:hAnsi="Tms Rmn"/>
      <w:sz w:val="28"/>
    </w:rPr>
  </w:style>
  <w:style w:type="character" w:customStyle="1" w:styleId="48">
    <w:name w:val="日期 Char"/>
    <w:link w:val="20"/>
    <w:qFormat/>
    <w:locked/>
    <w:uiPriority w:val="0"/>
    <w:rPr>
      <w:rFonts w:ascii="Times New Roman" w:hAnsi="Times New Roman" w:eastAsia="宋体"/>
      <w:sz w:val="24"/>
    </w:rPr>
  </w:style>
  <w:style w:type="character" w:customStyle="1" w:styleId="49">
    <w:name w:val="批注框文本 Char"/>
    <w:link w:val="21"/>
    <w:semiHidden/>
    <w:qFormat/>
    <w:locked/>
    <w:uiPriority w:val="0"/>
    <w:rPr>
      <w:rFonts w:ascii="Times New Roman" w:hAnsi="Times New Roman" w:eastAsia="宋体"/>
      <w:sz w:val="18"/>
    </w:rPr>
  </w:style>
  <w:style w:type="character" w:customStyle="1" w:styleId="50">
    <w:name w:val="页脚 Char"/>
    <w:link w:val="22"/>
    <w:qFormat/>
    <w:locked/>
    <w:uiPriority w:val="99"/>
    <w:rPr>
      <w:sz w:val="18"/>
    </w:rPr>
  </w:style>
  <w:style w:type="character" w:customStyle="1" w:styleId="51">
    <w:name w:val="页眉 Char"/>
    <w:link w:val="23"/>
    <w:qFormat/>
    <w:locked/>
    <w:uiPriority w:val="0"/>
    <w:rPr>
      <w:sz w:val="18"/>
    </w:rPr>
  </w:style>
  <w:style w:type="character" w:customStyle="1" w:styleId="52">
    <w:name w:val="普通(网站) Char"/>
    <w:link w:val="30"/>
    <w:qFormat/>
    <w:locked/>
    <w:uiPriority w:val="0"/>
    <w:rPr>
      <w:rFonts w:ascii="宋体" w:hAnsi="宋体" w:eastAsia="宋体"/>
      <w:sz w:val="24"/>
    </w:rPr>
  </w:style>
  <w:style w:type="character" w:customStyle="1" w:styleId="53">
    <w:name w:val="批注主题 Char"/>
    <w:link w:val="31"/>
    <w:semiHidden/>
    <w:qFormat/>
    <w:locked/>
    <w:uiPriority w:val="0"/>
    <w:rPr>
      <w:rFonts w:ascii="Times New Roman" w:hAnsi="Times New Roman" w:eastAsia="宋体"/>
      <w:b/>
      <w:kern w:val="2"/>
      <w:sz w:val="24"/>
    </w:rPr>
  </w:style>
  <w:style w:type="character" w:customStyle="1" w:styleId="54">
    <w:name w:val="表格 Char"/>
    <w:link w:val="55"/>
    <w:qFormat/>
    <w:locked/>
    <w:uiPriority w:val="0"/>
    <w:rPr>
      <w:rFonts w:ascii="宋体"/>
      <w:sz w:val="21"/>
    </w:rPr>
  </w:style>
  <w:style w:type="paragraph" w:customStyle="1" w:styleId="55">
    <w:name w:val="表格"/>
    <w:basedOn w:val="1"/>
    <w:next w:val="1"/>
    <w:link w:val="54"/>
    <w:qFormat/>
    <w:uiPriority w:val="0"/>
    <w:pPr>
      <w:adjustRightInd w:val="0"/>
      <w:snapToGrid w:val="0"/>
      <w:spacing w:beforeLines="10" w:afterLines="10" w:line="259" w:lineRule="auto"/>
      <w:jc w:val="center"/>
    </w:pPr>
    <w:rPr>
      <w:rFonts w:ascii="宋体"/>
      <w:kern w:val="0"/>
      <w:szCs w:val="20"/>
    </w:rPr>
  </w:style>
  <w:style w:type="character" w:customStyle="1" w:styleId="56">
    <w:name w:val="页脚 字符"/>
    <w:qFormat/>
    <w:uiPriority w:val="99"/>
  </w:style>
  <w:style w:type="character" w:customStyle="1" w:styleId="57">
    <w:name w:val="日期 字符"/>
    <w:semiHidden/>
    <w:qFormat/>
    <w:uiPriority w:val="0"/>
    <w:rPr>
      <w:rFonts w:ascii="Times New Roman" w:hAnsi="Times New Roman" w:eastAsia="宋体"/>
      <w:sz w:val="24"/>
    </w:rPr>
  </w:style>
  <w:style w:type="character" w:customStyle="1" w:styleId="58">
    <w:name w:val="apple-converted-space"/>
    <w:qFormat/>
    <w:uiPriority w:val="0"/>
  </w:style>
  <w:style w:type="character" w:customStyle="1" w:styleId="59">
    <w:name w:val="company-content"/>
    <w:qFormat/>
    <w:uiPriority w:val="0"/>
  </w:style>
  <w:style w:type="character" w:customStyle="1" w:styleId="60">
    <w:name w:val="正文文本 字符1"/>
    <w:semiHidden/>
    <w:qFormat/>
    <w:uiPriority w:val="0"/>
    <w:rPr>
      <w:rFonts w:ascii="Times New Roman" w:hAnsi="Times New Roman" w:eastAsia="宋体"/>
      <w:sz w:val="24"/>
    </w:rPr>
  </w:style>
  <w:style w:type="character" w:customStyle="1" w:styleId="61">
    <w:name w:val="批注文字 字符1"/>
    <w:semiHidden/>
    <w:qFormat/>
    <w:uiPriority w:val="0"/>
    <w:rPr>
      <w:rFonts w:ascii="Times New Roman" w:hAnsi="Times New Roman" w:eastAsia="宋体"/>
      <w:sz w:val="24"/>
    </w:rPr>
  </w:style>
  <w:style w:type="paragraph" w:customStyle="1" w:styleId="62">
    <w:name w:val="Table Paragraph"/>
    <w:basedOn w:val="1"/>
    <w:qFormat/>
    <w:uiPriority w:val="1"/>
    <w:pPr>
      <w:spacing w:before="94"/>
      <w:ind w:left="97"/>
    </w:pPr>
  </w:style>
  <w:style w:type="paragraph" w:customStyle="1" w:styleId="63">
    <w:name w:val="列表1"/>
    <w:basedOn w:val="1"/>
    <w:qFormat/>
    <w:uiPriority w:val="0"/>
    <w:pPr>
      <w:spacing w:line="400" w:lineRule="exact"/>
      <w:jc w:val="center"/>
    </w:pPr>
    <w:rPr>
      <w:rFonts w:ascii="宋体" w:hAnsi="宋体"/>
      <w:sz w:val="24"/>
      <w:szCs w:val="20"/>
    </w:rPr>
  </w:style>
  <w:style w:type="paragraph" w:customStyle="1" w:styleId="64">
    <w:name w:val="普通(网站)2"/>
    <w:basedOn w:val="1"/>
    <w:qFormat/>
    <w:uiPriority w:val="0"/>
    <w:pPr>
      <w:widowControl/>
      <w:spacing w:before="100" w:beforeAutospacing="1" w:after="100" w:afterAutospacing="1"/>
      <w:jc w:val="left"/>
    </w:pPr>
    <w:rPr>
      <w:rFonts w:ascii="宋体" w:hAnsi="宋体"/>
      <w:sz w:val="24"/>
      <w:szCs w:val="20"/>
    </w:rPr>
  </w:style>
  <w:style w:type="paragraph" w:customStyle="1" w:styleId="65">
    <w:name w:val="Default"/>
    <w:unhideWhenUsed/>
    <w:qFormat/>
    <w:uiPriority w:val="99"/>
    <w:pPr>
      <w:widowControl w:val="0"/>
      <w:autoSpaceDE w:val="0"/>
      <w:autoSpaceDN w:val="0"/>
      <w:adjustRightInd w:val="0"/>
    </w:pPr>
    <w:rPr>
      <w:rFonts w:hint="eastAsia" w:ascii="黑体" w:hAnsi="黑体" w:eastAsia="黑体" w:cs="Times New Roman"/>
      <w:color w:val="000000"/>
      <w:sz w:val="24"/>
      <w:lang w:val="en-US" w:eastAsia="zh-CN" w:bidi="ar-SA"/>
    </w:rPr>
  </w:style>
  <w:style w:type="paragraph" w:customStyle="1" w:styleId="66">
    <w:name w:val="正文文本缩进1"/>
    <w:basedOn w:val="1"/>
    <w:qFormat/>
    <w:uiPriority w:val="0"/>
    <w:pPr>
      <w:spacing w:line="360" w:lineRule="auto"/>
      <w:ind w:firstLine="480" w:firstLineChars="200"/>
    </w:pPr>
    <w:rPr>
      <w:sz w:val="24"/>
    </w:rPr>
  </w:style>
  <w:style w:type="paragraph" w:customStyle="1" w:styleId="67">
    <w:name w:val="表头"/>
    <w:basedOn w:val="1"/>
    <w:qFormat/>
    <w:uiPriority w:val="0"/>
    <w:pPr>
      <w:spacing w:line="320" w:lineRule="atLeast"/>
      <w:jc w:val="center"/>
    </w:pPr>
    <w:rPr>
      <w:rFonts w:eastAsia="黑体"/>
      <w:spacing w:val="-10"/>
      <w:kern w:val="0"/>
      <w:szCs w:val="11"/>
    </w:rPr>
  </w:style>
  <w:style w:type="paragraph" w:customStyle="1" w:styleId="68">
    <w:name w:val="正文_1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69">
    <w:name w:val="样式 首行缩进:  2 字符1"/>
    <w:basedOn w:val="1"/>
    <w:qFormat/>
    <w:uiPriority w:val="0"/>
    <w:pPr>
      <w:spacing w:line="420" w:lineRule="exact"/>
      <w:ind w:firstLine="200" w:firstLineChars="200"/>
    </w:pPr>
    <w:rPr>
      <w:rFonts w:cs="宋体"/>
      <w:sz w:val="24"/>
      <w:szCs w:val="20"/>
    </w:rPr>
  </w:style>
  <w:style w:type="paragraph" w:styleId="70">
    <w:name w:val="List Paragraph"/>
    <w:basedOn w:val="1"/>
    <w:qFormat/>
    <w:uiPriority w:val="1"/>
    <w:pPr>
      <w:spacing w:before="161"/>
      <w:ind w:left="933" w:hanging="421"/>
    </w:pPr>
  </w:style>
  <w:style w:type="paragraph" w:customStyle="1" w:styleId="71">
    <w:name w:val="xl37"/>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olor w:val="FF0000"/>
      <w:kern w:val="0"/>
      <w:sz w:val="24"/>
    </w:rPr>
  </w:style>
  <w:style w:type="paragraph" w:customStyle="1" w:styleId="72">
    <w:name w:val="日期1"/>
    <w:basedOn w:val="1"/>
    <w:next w:val="1"/>
    <w:qFormat/>
    <w:uiPriority w:val="0"/>
    <w:rPr>
      <w:rFonts w:ascii="宋体" w:hAnsi="Courier New"/>
      <w:sz w:val="24"/>
      <w:szCs w:val="20"/>
    </w:rPr>
  </w:style>
  <w:style w:type="paragraph" w:customStyle="1" w:styleId="73">
    <w:name w:val="表格内文字"/>
    <w:basedOn w:val="1"/>
    <w:qFormat/>
    <w:uiPriority w:val="0"/>
    <w:pPr>
      <w:tabs>
        <w:tab w:val="left" w:pos="0"/>
      </w:tabs>
      <w:snapToGrid w:val="0"/>
      <w:jc w:val="center"/>
    </w:pPr>
    <w:rPr>
      <w:sz w:val="24"/>
    </w:rPr>
  </w:style>
  <w:style w:type="paragraph" w:customStyle="1" w:styleId="74">
    <w:name w:val="Date1"/>
    <w:basedOn w:val="1"/>
    <w:next w:val="1"/>
    <w:qFormat/>
    <w:uiPriority w:val="0"/>
    <w:pPr>
      <w:adjustRightInd w:val="0"/>
      <w:textAlignment w:val="baseline"/>
    </w:pPr>
    <w:rPr>
      <w:szCs w:val="20"/>
    </w:rPr>
  </w:style>
  <w:style w:type="paragraph" w:customStyle="1" w:styleId="75">
    <w:name w:val="表格文字"/>
    <w:basedOn w:val="1"/>
    <w:link w:val="76"/>
    <w:qFormat/>
    <w:uiPriority w:val="0"/>
    <w:pPr>
      <w:jc w:val="center"/>
    </w:pPr>
    <w:rPr>
      <w:rFonts w:ascii="仿宋_GB2312" w:hAnsi="Arial Black" w:eastAsia="仿宋_GB2312"/>
      <w:kern w:val="44"/>
      <w:sz w:val="24"/>
      <w:szCs w:val="20"/>
    </w:rPr>
  </w:style>
  <w:style w:type="character" w:customStyle="1" w:styleId="76">
    <w:name w:val="表格文字 Char"/>
    <w:link w:val="75"/>
    <w:qFormat/>
    <w:uiPriority w:val="0"/>
    <w:rPr>
      <w:rFonts w:ascii="仿宋_GB2312" w:hAnsi="Arial Black" w:eastAsia="仿宋_GB2312"/>
      <w:kern w:val="44"/>
      <w:sz w:val="24"/>
    </w:rPr>
  </w:style>
  <w:style w:type="paragraph" w:customStyle="1" w:styleId="77">
    <w:name w:val="图文框"/>
    <w:basedOn w:val="1"/>
    <w:qFormat/>
    <w:uiPriority w:val="0"/>
    <w:pPr>
      <w:jc w:val="center"/>
    </w:pPr>
  </w:style>
  <w:style w:type="paragraph" w:customStyle="1" w:styleId="78">
    <w:name w:val="报告表-表文"/>
    <w:basedOn w:val="62"/>
    <w:qFormat/>
    <w:uiPriority w:val="0"/>
    <w:pPr>
      <w:jc w:val="center"/>
    </w:pPr>
    <w:rPr>
      <w:szCs w:val="21"/>
    </w:rPr>
  </w:style>
  <w:style w:type="paragraph" w:customStyle="1" w:styleId="79">
    <w:name w:val="Default Text"/>
    <w:basedOn w:val="1"/>
    <w:qFormat/>
    <w:uiPriority w:val="0"/>
    <w:pPr>
      <w:autoSpaceDE w:val="0"/>
      <w:autoSpaceDN w:val="0"/>
      <w:jc w:val="left"/>
    </w:pPr>
    <w:rPr>
      <w:kern w:val="0"/>
      <w:sz w:val="24"/>
    </w:rPr>
  </w:style>
  <w:style w:type="paragraph" w:customStyle="1" w:styleId="80">
    <w:name w:val="正文 4"/>
    <w:basedOn w:val="1"/>
    <w:qFormat/>
    <w:uiPriority w:val="0"/>
    <w:pPr>
      <w:autoSpaceDE w:val="0"/>
      <w:autoSpaceDN w:val="0"/>
      <w:adjustRightInd w:val="0"/>
      <w:snapToGrid w:val="0"/>
      <w:spacing w:line="360" w:lineRule="auto"/>
      <w:ind w:firstLine="480" w:firstLineChars="200"/>
    </w:pPr>
    <w:rPr>
      <w:rFonts w:hAnsi="宋体"/>
      <w:bCs/>
      <w:kern w:val="0"/>
      <w:sz w:val="24"/>
    </w:rPr>
  </w:style>
  <w:style w:type="paragraph" w:customStyle="1" w:styleId="81">
    <w:name w:val="正文4"/>
    <w:basedOn w:val="80"/>
    <w:qFormat/>
    <w:uiPriority w:val="0"/>
    <w:pPr>
      <w:ind w:firstLine="200"/>
    </w:pPr>
    <w:rPr>
      <w:rFonts w:hAnsi="Times New Roman"/>
    </w:rPr>
  </w:style>
  <w:style w:type="paragraph" w:customStyle="1" w:styleId="82">
    <w:name w:val="纯文本1"/>
    <w:basedOn w:val="1"/>
    <w:qFormat/>
    <w:uiPriority w:val="0"/>
    <w:pPr>
      <w:adjustRightInd w:val="0"/>
      <w:snapToGrid w:val="0"/>
      <w:spacing w:line="500" w:lineRule="exact"/>
    </w:pPr>
    <w:rPr>
      <w:rFonts w:ascii="宋体" w:hAnsi="Courier New"/>
      <w:szCs w:val="20"/>
    </w:rPr>
  </w:style>
  <w:style w:type="paragraph" w:customStyle="1" w:styleId="83">
    <w:name w:val="普通(网站)1"/>
    <w:basedOn w:val="1"/>
    <w:qFormat/>
    <w:uiPriority w:val="0"/>
    <w:rPr>
      <w:sz w:val="24"/>
    </w:rPr>
  </w:style>
  <w:style w:type="paragraph" w:customStyle="1" w:styleId="84">
    <w:name w:val="正文四号加粗"/>
    <w:basedOn w:val="1"/>
    <w:next w:val="1"/>
    <w:qFormat/>
    <w:uiPriority w:val="0"/>
    <w:rPr>
      <w:b/>
      <w:sz w:val="28"/>
      <w:szCs w:val="20"/>
    </w:rPr>
  </w:style>
  <w:style w:type="paragraph" w:customStyle="1" w:styleId="85">
    <w:name w:val="列出段落2"/>
    <w:basedOn w:val="1"/>
    <w:qFormat/>
    <w:uiPriority w:val="99"/>
    <w:pPr>
      <w:ind w:firstLine="420" w:firstLineChars="200"/>
    </w:pPr>
    <w:rPr>
      <w:szCs w:val="20"/>
    </w:rPr>
  </w:style>
  <w:style w:type="character" w:customStyle="1" w:styleId="86">
    <w:name w:val="radio-btn"/>
    <w:qFormat/>
    <w:uiPriority w:val="0"/>
    <w:rPr>
      <w:sz w:val="24"/>
      <w:szCs w:val="24"/>
    </w:rPr>
  </w:style>
  <w:style w:type="character" w:customStyle="1" w:styleId="87">
    <w:name w:val="radio-btn1"/>
    <w:qFormat/>
    <w:uiPriority w:val="0"/>
    <w:rPr>
      <w:sz w:val="21"/>
      <w:szCs w:val="21"/>
    </w:rPr>
  </w:style>
  <w:style w:type="character" w:customStyle="1" w:styleId="88">
    <w:name w:val="radio-btn2"/>
    <w:qFormat/>
    <w:uiPriority w:val="0"/>
    <w:rPr>
      <w:sz w:val="24"/>
      <w:szCs w:val="24"/>
    </w:rPr>
  </w:style>
  <w:style w:type="character" w:customStyle="1" w:styleId="89">
    <w:name w:val="lishishuju"/>
    <w:qFormat/>
    <w:uiPriority w:val="0"/>
    <w:rPr>
      <w:b/>
      <w:bCs/>
      <w:color w:val="000052"/>
      <w:sz w:val="24"/>
      <w:szCs w:val="24"/>
      <w:bdr w:val="single" w:color="E3E3E3" w:sz="6" w:space="0"/>
    </w:rPr>
  </w:style>
  <w:style w:type="character" w:customStyle="1" w:styleId="90">
    <w:name w:val="znspantitle"/>
    <w:qFormat/>
    <w:uiPriority w:val="0"/>
    <w:rPr>
      <w:b/>
      <w:bCs/>
      <w:color w:val="333333"/>
    </w:rPr>
  </w:style>
  <w:style w:type="character" w:customStyle="1" w:styleId="91">
    <w:name w:val="cur1"/>
    <w:qFormat/>
    <w:uiPriority w:val="0"/>
    <w:rPr>
      <w:color w:val="FFFFFF"/>
      <w:shd w:val="clear" w:color="auto" w:fill="2F6B98"/>
    </w:rPr>
  </w:style>
  <w:style w:type="character" w:customStyle="1" w:styleId="92">
    <w:name w:val="lable"/>
    <w:qFormat/>
    <w:uiPriority w:val="0"/>
    <w:rPr>
      <w:sz w:val="24"/>
      <w:szCs w:val="24"/>
    </w:rPr>
  </w:style>
  <w:style w:type="paragraph" w:customStyle="1" w:styleId="93">
    <w:name w:val="表居中（中文）"/>
    <w:basedOn w:val="1"/>
    <w:qFormat/>
    <w:uiPriority w:val="0"/>
    <w:pPr>
      <w:adjustRightInd w:val="0"/>
      <w:spacing w:line="380" w:lineRule="atLeast"/>
      <w:jc w:val="center"/>
      <w:textAlignment w:val="baseline"/>
    </w:pPr>
    <w:rPr>
      <w:rFonts w:eastAsia="楷体_GB2312"/>
      <w:kern w:val="0"/>
      <w:sz w:val="24"/>
      <w:szCs w:val="20"/>
    </w:rPr>
  </w:style>
  <w:style w:type="paragraph" w:customStyle="1" w:styleId="94">
    <w:name w:val="表格标题新"/>
    <w:basedOn w:val="73"/>
    <w:qFormat/>
    <w:uiPriority w:val="0"/>
    <w:pPr>
      <w:spacing w:beforeLines="50" w:afterLines="50"/>
    </w:pPr>
    <w:rPr>
      <w:rFonts w:eastAsia="黑体"/>
      <w:snapToGrid w:val="0"/>
      <w:kern w:val="0"/>
    </w:rPr>
  </w:style>
  <w:style w:type="character" w:customStyle="1" w:styleId="95">
    <w:name w:val="fontstyle01"/>
    <w:qFormat/>
    <w:uiPriority w:val="0"/>
    <w:rPr>
      <w:rFonts w:hint="eastAsia" w:ascii="新宋体" w:hAnsi="新宋体" w:eastAsia="新宋体"/>
      <w:color w:val="000000"/>
      <w:sz w:val="28"/>
      <w:szCs w:val="28"/>
    </w:rPr>
  </w:style>
  <w:style w:type="character" w:customStyle="1" w:styleId="96">
    <w:name w:val="NormalCharacter"/>
    <w:link w:val="97"/>
    <w:qFormat/>
    <w:uiPriority w:val="0"/>
    <w:rPr>
      <w:bCs/>
      <w:kern w:val="2"/>
      <w:sz w:val="21"/>
    </w:rPr>
  </w:style>
  <w:style w:type="paragraph" w:customStyle="1" w:styleId="97">
    <w:name w:val="UserStyle_17"/>
    <w:basedOn w:val="1"/>
    <w:link w:val="96"/>
    <w:qFormat/>
    <w:uiPriority w:val="0"/>
    <w:pPr>
      <w:widowControl/>
      <w:tabs>
        <w:tab w:val="left" w:pos="0"/>
      </w:tabs>
      <w:textAlignment w:val="baseline"/>
    </w:pPr>
    <w:rPr>
      <w:bCs/>
      <w:szCs w:val="20"/>
    </w:rPr>
  </w:style>
  <w:style w:type="paragraph" w:customStyle="1" w:styleId="98">
    <w:name w:val="UserStyle_22"/>
    <w:basedOn w:val="1"/>
    <w:qFormat/>
    <w:uiPriority w:val="0"/>
    <w:pPr>
      <w:widowControl/>
      <w:snapToGrid w:val="0"/>
      <w:jc w:val="left"/>
      <w:textAlignment w:val="baseline"/>
    </w:pPr>
    <w:rPr>
      <w:rFonts w:cs="宋体"/>
      <w:bCs/>
      <w:kern w:val="0"/>
      <w:sz w:val="24"/>
      <w:szCs w:val="20"/>
    </w:rPr>
  </w:style>
  <w:style w:type="paragraph" w:customStyle="1" w:styleId="99">
    <w:name w:val="默认段落字体 Para Char"/>
    <w:basedOn w:val="1"/>
    <w:qFormat/>
    <w:uiPriority w:val="0"/>
    <w:rPr>
      <w:sz w:val="24"/>
    </w:rPr>
  </w:style>
  <w:style w:type="character" w:customStyle="1" w:styleId="100">
    <w:name w:val="fontstyle21"/>
    <w:qFormat/>
    <w:uiPriority w:val="0"/>
    <w:rPr>
      <w:rFonts w:hint="eastAsia" w:ascii="宋体" w:hAnsi="宋体" w:eastAsia="宋体"/>
      <w:color w:val="000000"/>
      <w:sz w:val="22"/>
      <w:szCs w:val="22"/>
    </w:rPr>
  </w:style>
  <w:style w:type="paragraph" w:customStyle="1" w:styleId="101">
    <w:name w:val="3表格正文"/>
    <w:basedOn w:val="1"/>
    <w:link w:val="102"/>
    <w:qFormat/>
    <w:uiPriority w:val="0"/>
    <w:pPr>
      <w:jc w:val="center"/>
    </w:pPr>
    <w:rPr>
      <w:bCs/>
      <w:szCs w:val="21"/>
    </w:rPr>
  </w:style>
  <w:style w:type="character" w:customStyle="1" w:styleId="102">
    <w:name w:val="3表格正文 Char"/>
    <w:link w:val="101"/>
    <w:qFormat/>
    <w:uiPriority w:val="0"/>
    <w:rPr>
      <w:bCs/>
      <w:kern w:val="2"/>
      <w:sz w:val="21"/>
      <w:szCs w:val="21"/>
    </w:rPr>
  </w:style>
  <w:style w:type="paragraph" w:customStyle="1" w:styleId="103">
    <w:name w:val="Char Char8"/>
    <w:basedOn w:val="1"/>
    <w:qFormat/>
    <w:uiPriority w:val="0"/>
    <w:rPr>
      <w:sz w:val="24"/>
    </w:rPr>
  </w:style>
  <w:style w:type="paragraph" w:customStyle="1" w:styleId="104">
    <w:name w:val="表格标题GH"/>
    <w:basedOn w:val="1"/>
    <w:qFormat/>
    <w:uiPriority w:val="0"/>
    <w:pPr>
      <w:keepNext/>
      <w:jc w:val="center"/>
    </w:pPr>
    <w:rPr>
      <w:b/>
      <w:kern w:val="0"/>
      <w:szCs w:val="21"/>
    </w:rPr>
  </w:style>
  <w:style w:type="paragraph" w:customStyle="1" w:styleId="105">
    <w:name w:val="表格内容"/>
    <w:basedOn w:val="1"/>
    <w:next w:val="1"/>
    <w:link w:val="125"/>
    <w:qFormat/>
    <w:uiPriority w:val="0"/>
    <w:pPr>
      <w:jc w:val="center"/>
    </w:pPr>
  </w:style>
  <w:style w:type="paragraph" w:styleId="106">
    <w:name w:val="No Spacing"/>
    <w:qFormat/>
    <w:uiPriority w:val="1"/>
    <w:pPr>
      <w:widowControl w:val="0"/>
      <w:adjustRightInd w:val="0"/>
      <w:snapToGrid w:val="0"/>
      <w:ind w:firstLine="200" w:firstLineChars="200"/>
      <w:jc w:val="both"/>
    </w:pPr>
    <w:rPr>
      <w:rFonts w:ascii="Times New Roman" w:hAnsi="Times New Roman" w:eastAsia="仿宋_GB2312" w:cs="Times New Roman"/>
      <w:kern w:val="2"/>
      <w:sz w:val="28"/>
      <w:szCs w:val="22"/>
      <w:lang w:val="en-US" w:eastAsia="zh-CN" w:bidi="ar-SA"/>
    </w:rPr>
  </w:style>
  <w:style w:type="table" w:customStyle="1" w:styleId="107">
    <w:name w:val="Table Normal2"/>
    <w:unhideWhenUsed/>
    <w:qFormat/>
    <w:uiPriority w:val="2"/>
    <w:pPr>
      <w:widowControl w:val="0"/>
      <w:autoSpaceDE w:val="0"/>
      <w:autoSpaceDN w:val="0"/>
    </w:pPr>
    <w:rPr>
      <w:sz w:val="22"/>
      <w:szCs w:val="22"/>
      <w:lang w:eastAsia="en-US"/>
    </w:rPr>
    <w:tblPr>
      <w:tblCellMar>
        <w:top w:w="0" w:type="dxa"/>
        <w:left w:w="0" w:type="dxa"/>
        <w:bottom w:w="0" w:type="dxa"/>
        <w:right w:w="0" w:type="dxa"/>
      </w:tblCellMar>
    </w:tblPr>
  </w:style>
  <w:style w:type="table" w:customStyle="1" w:styleId="108">
    <w:name w:val="Table Normal3"/>
    <w:unhideWhenUsed/>
    <w:qFormat/>
    <w:uiPriority w:val="2"/>
    <w:pPr>
      <w:widowControl w:val="0"/>
      <w:autoSpaceDE w:val="0"/>
      <w:autoSpaceDN w:val="0"/>
    </w:pPr>
    <w:rPr>
      <w:sz w:val="22"/>
      <w:szCs w:val="22"/>
      <w:lang w:eastAsia="en-US"/>
    </w:rPr>
    <w:tblPr>
      <w:tblCellMar>
        <w:top w:w="0" w:type="dxa"/>
        <w:left w:w="0" w:type="dxa"/>
        <w:bottom w:w="0" w:type="dxa"/>
        <w:right w:w="0" w:type="dxa"/>
      </w:tblCellMar>
    </w:tblPr>
  </w:style>
  <w:style w:type="table" w:customStyle="1" w:styleId="109">
    <w:name w:val="Table Normal6"/>
    <w:unhideWhenUsed/>
    <w:qFormat/>
    <w:uiPriority w:val="2"/>
    <w:pPr>
      <w:widowControl w:val="0"/>
      <w:autoSpaceDE w:val="0"/>
      <w:autoSpaceDN w:val="0"/>
    </w:pPr>
    <w:rPr>
      <w:sz w:val="22"/>
      <w:szCs w:val="22"/>
      <w:lang w:eastAsia="en-US"/>
    </w:rPr>
    <w:tblPr>
      <w:tblCellMar>
        <w:top w:w="0" w:type="dxa"/>
        <w:left w:w="0" w:type="dxa"/>
        <w:bottom w:w="0" w:type="dxa"/>
        <w:right w:w="0" w:type="dxa"/>
      </w:tblCellMar>
    </w:tblPr>
  </w:style>
  <w:style w:type="table" w:customStyle="1" w:styleId="110">
    <w:name w:val="Table Normal7"/>
    <w:unhideWhenUsed/>
    <w:qFormat/>
    <w:uiPriority w:val="2"/>
    <w:pPr>
      <w:widowControl w:val="0"/>
      <w:autoSpaceDE w:val="0"/>
      <w:autoSpaceDN w:val="0"/>
    </w:pPr>
    <w:rPr>
      <w:sz w:val="22"/>
      <w:szCs w:val="22"/>
      <w:lang w:eastAsia="en-US"/>
    </w:rPr>
    <w:tblPr>
      <w:tblCellMar>
        <w:top w:w="0" w:type="dxa"/>
        <w:left w:w="0" w:type="dxa"/>
        <w:bottom w:w="0" w:type="dxa"/>
        <w:right w:w="0" w:type="dxa"/>
      </w:tblCellMar>
    </w:tblPr>
  </w:style>
  <w:style w:type="table" w:customStyle="1" w:styleId="111">
    <w:name w:val="Table Normal8"/>
    <w:unhideWhenUsed/>
    <w:qFormat/>
    <w:uiPriority w:val="2"/>
    <w:pPr>
      <w:widowControl w:val="0"/>
      <w:autoSpaceDE w:val="0"/>
      <w:autoSpaceDN w:val="0"/>
    </w:pPr>
    <w:rPr>
      <w:sz w:val="22"/>
      <w:szCs w:val="22"/>
      <w:lang w:eastAsia="en-US"/>
    </w:rPr>
    <w:tblPr>
      <w:tblCellMar>
        <w:top w:w="0" w:type="dxa"/>
        <w:left w:w="0" w:type="dxa"/>
        <w:bottom w:w="0" w:type="dxa"/>
        <w:right w:w="0" w:type="dxa"/>
      </w:tblCellMar>
    </w:tblPr>
  </w:style>
  <w:style w:type="table" w:customStyle="1" w:styleId="112">
    <w:name w:val="Table Normal10"/>
    <w:unhideWhenUsed/>
    <w:qFormat/>
    <w:uiPriority w:val="2"/>
    <w:pPr>
      <w:widowControl w:val="0"/>
      <w:autoSpaceDE w:val="0"/>
      <w:autoSpaceDN w:val="0"/>
    </w:pPr>
    <w:rPr>
      <w:sz w:val="22"/>
      <w:szCs w:val="22"/>
      <w:lang w:eastAsia="en-US"/>
    </w:rPr>
    <w:tblPr>
      <w:tblCellMar>
        <w:top w:w="0" w:type="dxa"/>
        <w:left w:w="0" w:type="dxa"/>
        <w:bottom w:w="0" w:type="dxa"/>
        <w:right w:w="0" w:type="dxa"/>
      </w:tblCellMar>
    </w:tblPr>
  </w:style>
  <w:style w:type="table" w:customStyle="1" w:styleId="113">
    <w:name w:val="Table Normal"/>
    <w:unhideWhenUsed/>
    <w:qFormat/>
    <w:uiPriority w:val="2"/>
    <w:pPr>
      <w:widowControl w:val="0"/>
    </w:pPr>
    <w:rPr>
      <w:sz w:val="22"/>
      <w:szCs w:val="22"/>
      <w:lang w:eastAsia="en-US"/>
    </w:rPr>
    <w:tblPr>
      <w:tblCellMar>
        <w:top w:w="0" w:type="dxa"/>
        <w:left w:w="0" w:type="dxa"/>
        <w:bottom w:w="0" w:type="dxa"/>
        <w:right w:w="0" w:type="dxa"/>
      </w:tblCellMar>
    </w:tblPr>
  </w:style>
  <w:style w:type="table" w:customStyle="1" w:styleId="114">
    <w:name w:val="Table Normal12"/>
    <w:unhideWhenUsed/>
    <w:qFormat/>
    <w:uiPriority w:val="2"/>
    <w:pPr>
      <w:widowControl w:val="0"/>
      <w:autoSpaceDE w:val="0"/>
      <w:autoSpaceDN w:val="0"/>
    </w:pPr>
    <w:rPr>
      <w:sz w:val="22"/>
      <w:szCs w:val="22"/>
      <w:lang w:eastAsia="en-US"/>
    </w:rPr>
    <w:tblPr>
      <w:tblCellMar>
        <w:top w:w="0" w:type="dxa"/>
        <w:left w:w="0" w:type="dxa"/>
        <w:bottom w:w="0" w:type="dxa"/>
        <w:right w:w="0" w:type="dxa"/>
      </w:tblCellMar>
    </w:tblPr>
  </w:style>
  <w:style w:type="table" w:customStyle="1" w:styleId="115">
    <w:name w:val="Table Normal13"/>
    <w:unhideWhenUsed/>
    <w:qFormat/>
    <w:uiPriority w:val="2"/>
    <w:pPr>
      <w:widowControl w:val="0"/>
      <w:autoSpaceDE w:val="0"/>
      <w:autoSpaceDN w:val="0"/>
    </w:pPr>
    <w:rPr>
      <w:sz w:val="22"/>
      <w:szCs w:val="22"/>
      <w:lang w:eastAsia="en-US"/>
    </w:rPr>
    <w:tblPr>
      <w:tblCellMar>
        <w:top w:w="0" w:type="dxa"/>
        <w:left w:w="0" w:type="dxa"/>
        <w:bottom w:w="0" w:type="dxa"/>
        <w:right w:w="0" w:type="dxa"/>
      </w:tblCellMar>
    </w:tblPr>
  </w:style>
  <w:style w:type="table" w:customStyle="1" w:styleId="116">
    <w:name w:val="Table Normal14"/>
    <w:unhideWhenUsed/>
    <w:qFormat/>
    <w:uiPriority w:val="2"/>
    <w:pPr>
      <w:widowControl w:val="0"/>
      <w:autoSpaceDE w:val="0"/>
      <w:autoSpaceDN w:val="0"/>
    </w:pPr>
    <w:rPr>
      <w:sz w:val="22"/>
      <w:szCs w:val="22"/>
      <w:lang w:eastAsia="en-US"/>
    </w:rPr>
    <w:tblPr>
      <w:tblCellMar>
        <w:top w:w="0" w:type="dxa"/>
        <w:left w:w="0" w:type="dxa"/>
        <w:bottom w:w="0" w:type="dxa"/>
        <w:right w:w="0" w:type="dxa"/>
      </w:tblCellMar>
    </w:tblPr>
  </w:style>
  <w:style w:type="table" w:customStyle="1" w:styleId="117">
    <w:name w:val="Table Normal15"/>
    <w:unhideWhenUsed/>
    <w:qFormat/>
    <w:uiPriority w:val="2"/>
    <w:pPr>
      <w:widowControl w:val="0"/>
      <w:autoSpaceDE w:val="0"/>
      <w:autoSpaceDN w:val="0"/>
    </w:pPr>
    <w:rPr>
      <w:sz w:val="22"/>
      <w:szCs w:val="22"/>
      <w:lang w:eastAsia="en-US"/>
    </w:rPr>
    <w:tblPr>
      <w:tblCellMar>
        <w:top w:w="0" w:type="dxa"/>
        <w:left w:w="0" w:type="dxa"/>
        <w:bottom w:w="0" w:type="dxa"/>
        <w:right w:w="0" w:type="dxa"/>
      </w:tblCellMar>
    </w:tblPr>
  </w:style>
  <w:style w:type="table" w:customStyle="1" w:styleId="118">
    <w:name w:val="Table 12"/>
    <w:basedOn w:val="34"/>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19">
    <w:name w:val="Table 13"/>
    <w:basedOn w:val="34"/>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20">
    <w:name w:val="Table 14"/>
    <w:basedOn w:val="34"/>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21">
    <w:name w:val="03表格正文"/>
    <w:basedOn w:val="1"/>
    <w:qFormat/>
    <w:uiPriority w:val="0"/>
    <w:pPr>
      <w:adjustRightInd w:val="0"/>
      <w:snapToGrid w:val="0"/>
      <w:jc w:val="center"/>
    </w:pPr>
    <w:rPr>
      <w:szCs w:val="21"/>
    </w:rPr>
  </w:style>
  <w:style w:type="paragraph" w:customStyle="1" w:styleId="122">
    <w:name w:val="msolistparagraph"/>
    <w:basedOn w:val="1"/>
    <w:qFormat/>
    <w:uiPriority w:val="0"/>
    <w:pPr>
      <w:ind w:firstLine="420" w:firstLineChars="200"/>
    </w:pPr>
    <w:rPr>
      <w:rFonts w:ascii="Calibri" w:hAnsi="Calibri"/>
      <w:szCs w:val="22"/>
    </w:rPr>
  </w:style>
  <w:style w:type="paragraph" w:customStyle="1" w:styleId="123">
    <w:name w:val="表格字体"/>
    <w:basedOn w:val="1"/>
    <w:qFormat/>
    <w:uiPriority w:val="2"/>
    <w:pPr>
      <w:widowControl/>
      <w:wordWrap w:val="0"/>
      <w:overflowPunct w:val="0"/>
      <w:jc w:val="center"/>
    </w:pPr>
    <w:rPr>
      <w:snapToGrid w:val="0"/>
      <w:kern w:val="0"/>
      <w:szCs w:val="20"/>
    </w:rPr>
  </w:style>
  <w:style w:type="paragraph" w:customStyle="1" w:styleId="124">
    <w:name w:val="表格（少字）"/>
    <w:basedOn w:val="1"/>
    <w:qFormat/>
    <w:uiPriority w:val="4"/>
    <w:pPr>
      <w:widowControl/>
      <w:jc w:val="center"/>
    </w:pPr>
    <w:rPr>
      <w:snapToGrid w:val="0"/>
      <w:kern w:val="0"/>
    </w:rPr>
  </w:style>
  <w:style w:type="character" w:customStyle="1" w:styleId="125">
    <w:name w:val="表格内容 Char"/>
    <w:link w:val="105"/>
    <w:qFormat/>
    <w:uiPriority w:val="0"/>
    <w:rPr>
      <w:kern w:val="2"/>
      <w:sz w:val="21"/>
      <w:szCs w:val="24"/>
    </w:rPr>
  </w:style>
  <w:style w:type="character" w:customStyle="1" w:styleId="126">
    <w:name w:val="文档结构图 Char"/>
    <w:basedOn w:val="37"/>
    <w:link w:val="11"/>
    <w:qFormat/>
    <w:uiPriority w:val="0"/>
    <w:rPr>
      <w:rFonts w:ascii="宋体"/>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1.bin"/><Relationship Id="rId8" Type="http://schemas.openxmlformats.org/officeDocument/2006/relationships/image" Target="media/image1.emf"/><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5" Type="http://schemas.openxmlformats.org/officeDocument/2006/relationships/fontTable" Target="fontTable.xml"/><Relationship Id="rId24" Type="http://schemas.openxmlformats.org/officeDocument/2006/relationships/customXml" Target="../customXml/item2.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9.png"/><Relationship Id="rId20" Type="http://schemas.openxmlformats.org/officeDocument/2006/relationships/image" Target="media/image8.emf"/><Relationship Id="rId2" Type="http://schemas.openxmlformats.org/officeDocument/2006/relationships/settings" Target="settings.xml"/><Relationship Id="rId19" Type="http://schemas.openxmlformats.org/officeDocument/2006/relationships/oleObject" Target="embeddings/oleObject5.bin"/><Relationship Id="rId18" Type="http://schemas.openxmlformats.org/officeDocument/2006/relationships/image" Target="media/image7.emf"/><Relationship Id="rId17" Type="http://schemas.openxmlformats.org/officeDocument/2006/relationships/oleObject" Target="embeddings/oleObject4.bin"/><Relationship Id="rId16" Type="http://schemas.openxmlformats.org/officeDocument/2006/relationships/image" Target="media/image6.emf"/><Relationship Id="rId15" Type="http://schemas.openxmlformats.org/officeDocument/2006/relationships/oleObject" Target="embeddings/oleObject3.bin"/><Relationship Id="rId14" Type="http://schemas.openxmlformats.org/officeDocument/2006/relationships/image" Target="media/image5.jpeg"/><Relationship Id="rId13" Type="http://schemas.openxmlformats.org/officeDocument/2006/relationships/image" Target="media/image4.png"/><Relationship Id="rId12" Type="http://schemas.openxmlformats.org/officeDocument/2006/relationships/image" Target="media/image3.emf"/><Relationship Id="rId11" Type="http://schemas.openxmlformats.org/officeDocument/2006/relationships/oleObject" Target="embeddings/oleObject2.bin"/><Relationship Id="rId10" Type="http://schemas.openxmlformats.org/officeDocument/2006/relationships/image" Target="media/image2.e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3073"/>
    <customShpInfo spid="_x0000_s3074"/>
  </customShpExts>
</s:customData>
</file>

<file path=customXml/item2.xml><?xml version="1.0" encoding="utf-8"?>
<b:Sources xmlns:b="http://schemas.openxmlformats.org/officeDocument/2006/bibliography" xmlns="http://schemas.openxmlformats.org/officeDocument/2006/bibliography" SelectedStyle="\TURABIAN.XSL" StyleName="Turabia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659A4C7-AF8B-4666-B652-5648260F73E1}">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73</Pages>
  <Words>42680</Words>
  <Characters>50203</Characters>
  <Lines>448</Lines>
  <Paragraphs>126</Paragraphs>
  <TotalTime>5</TotalTime>
  <ScaleCrop>false</ScaleCrop>
  <LinksUpToDate>false</LinksUpToDate>
  <CharactersWithSpaces>50549</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2022-06-24T12:56:00Z</dcterms:created>
  <dc:creator>lhj</dc:creator>
  <cp:lastModifiedBy>Daisy</cp:lastModifiedBy>
  <cp:lastPrinted>2022-05-09T00:59:00Z</cp:lastPrinted>
  <dcterms:modified xsi:type="dcterms:W3CDTF">2022-10-09T02:48:29Z</dcterms:modified>
  <dc:title>附件2</dc:title>
  <cp:revision>47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84470C9FEFCA4BFB8F7D969833BC0070</vt:lpwstr>
  </property>
</Properties>
</file>